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theme/themeOverride33.xml" ContentType="application/vnd.openxmlformats-officedocument.themeOverride+xml"/>
  <Override PartName="/word/charts/chart40.xml" ContentType="application/vnd.openxmlformats-officedocument.drawingml.chart+xml"/>
  <Override PartName="/word/theme/themeOverride34.xml" ContentType="application/vnd.openxmlformats-officedocument.themeOverride+xml"/>
  <Override PartName="/word/charts/chart41.xml" ContentType="application/vnd.openxmlformats-officedocument.drawingml.chart+xml"/>
  <Override PartName="/word/theme/themeOverride35.xml" ContentType="application/vnd.openxmlformats-officedocument.themeOverride+xml"/>
  <Override PartName="/word/charts/chart42.xml" ContentType="application/vnd.openxmlformats-officedocument.drawingml.chart+xml"/>
  <Override PartName="/word/theme/themeOverride36.xml" ContentType="application/vnd.openxmlformats-officedocument.themeOverride+xml"/>
  <Override PartName="/word/charts/chart43.xml" ContentType="application/vnd.openxmlformats-officedocument.drawingml.chart+xml"/>
  <Override PartName="/word/theme/themeOverride37.xml" ContentType="application/vnd.openxmlformats-officedocument.themeOverride+xml"/>
  <Override PartName="/word/charts/chart44.xml" ContentType="application/vnd.openxmlformats-officedocument.drawingml.chart+xml"/>
  <Override PartName="/word/theme/themeOverride38.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E6" w:rsidRPr="00EE4D0D" w:rsidRDefault="00224EE6" w:rsidP="00DA0A59">
      <w:pPr>
        <w:spacing w:after="0" w:line="240" w:lineRule="auto"/>
        <w:ind w:firstLine="709"/>
        <w:jc w:val="both"/>
        <w:rPr>
          <w:rFonts w:ascii="Times New Roman" w:hAnsi="Times New Roman"/>
          <w:sz w:val="28"/>
          <w:szCs w:val="28"/>
        </w:rPr>
      </w:pPr>
    </w:p>
    <w:p w:rsidR="00070E8D" w:rsidRPr="00EE4D0D" w:rsidRDefault="00070E8D" w:rsidP="00DA0A59">
      <w:pPr>
        <w:spacing w:after="0" w:line="240" w:lineRule="auto"/>
        <w:ind w:firstLine="709"/>
        <w:jc w:val="both"/>
        <w:rPr>
          <w:rFonts w:ascii="Times New Roman" w:hAnsi="Times New Roman"/>
          <w:sz w:val="28"/>
          <w:szCs w:val="28"/>
        </w:rPr>
      </w:pPr>
    </w:p>
    <w:p w:rsidR="00266243" w:rsidRPr="00EE4D0D" w:rsidRDefault="00266243" w:rsidP="00DA0A59">
      <w:pPr>
        <w:spacing w:after="0" w:line="240" w:lineRule="auto"/>
        <w:ind w:firstLine="709"/>
        <w:jc w:val="both"/>
        <w:rPr>
          <w:rFonts w:ascii="Times New Roman" w:hAnsi="Times New Roman"/>
          <w:sz w:val="28"/>
          <w:szCs w:val="28"/>
        </w:rPr>
      </w:pPr>
    </w:p>
    <w:p w:rsidR="00266243" w:rsidRPr="00EE4D0D" w:rsidRDefault="006A6F81" w:rsidP="00DA0A59">
      <w:pPr>
        <w:spacing w:after="0" w:line="240" w:lineRule="auto"/>
        <w:ind w:firstLine="709"/>
        <w:jc w:val="center"/>
        <w:rPr>
          <w:rFonts w:ascii="Times New Roman" w:hAnsi="Times New Roman"/>
          <w:b/>
          <w:sz w:val="28"/>
          <w:szCs w:val="28"/>
        </w:rPr>
      </w:pPr>
      <w:r>
        <w:rPr>
          <w:rFonts w:ascii="Times New Roman" w:hAnsi="Times New Roman"/>
          <w:noProof/>
          <w:color w:val="FF0000"/>
          <w:sz w:val="28"/>
          <w:szCs w:val="28"/>
          <w:lang w:eastAsia="bg-BG"/>
        </w:rPr>
        <w:drawing>
          <wp:inline distT="0" distB="0" distL="0" distR="0">
            <wp:extent cx="2971800" cy="3686175"/>
            <wp:effectExtent l="0" t="0" r="0" b="9525"/>
            <wp:docPr id="55" name="Картина 58" descr="p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8" descr="p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3686175"/>
                    </a:xfrm>
                    <a:prstGeom prst="rect">
                      <a:avLst/>
                    </a:prstGeom>
                    <a:noFill/>
                    <a:ln>
                      <a:noFill/>
                    </a:ln>
                  </pic:spPr>
                </pic:pic>
              </a:graphicData>
            </a:graphic>
          </wp:inline>
        </w:drawing>
      </w:r>
    </w:p>
    <w:p w:rsidR="00266243" w:rsidRPr="00EE4D0D" w:rsidRDefault="00266243" w:rsidP="00DA0A59">
      <w:pPr>
        <w:spacing w:after="0" w:line="240" w:lineRule="auto"/>
        <w:ind w:firstLine="709"/>
        <w:jc w:val="center"/>
        <w:rPr>
          <w:rFonts w:ascii="Times New Roman" w:hAnsi="Times New Roman"/>
          <w:b/>
          <w:sz w:val="28"/>
          <w:szCs w:val="28"/>
        </w:rPr>
      </w:pPr>
    </w:p>
    <w:p w:rsidR="00266243" w:rsidRPr="005D2BAC" w:rsidRDefault="00266243" w:rsidP="00DA0A59">
      <w:pPr>
        <w:spacing w:after="0" w:line="240" w:lineRule="auto"/>
        <w:ind w:firstLine="709"/>
        <w:jc w:val="center"/>
        <w:rPr>
          <w:rFonts w:ascii="Times New Roman" w:hAnsi="Times New Roman"/>
          <w:b/>
          <w:sz w:val="56"/>
          <w:szCs w:val="56"/>
        </w:rPr>
      </w:pPr>
    </w:p>
    <w:p w:rsidR="00266243" w:rsidRPr="005D2BAC" w:rsidRDefault="00266243" w:rsidP="00DA0A59">
      <w:pPr>
        <w:keepNext/>
        <w:spacing w:after="0" w:line="240" w:lineRule="auto"/>
        <w:ind w:right="-567"/>
        <w:jc w:val="center"/>
        <w:outlineLvl w:val="0"/>
        <w:rPr>
          <w:rFonts w:ascii="Times New Roman" w:eastAsia="Times New Roman" w:hAnsi="Times New Roman"/>
          <w:b/>
          <w:bCs/>
          <w:color w:val="76923C"/>
          <w:sz w:val="56"/>
          <w:szCs w:val="56"/>
        </w:rPr>
      </w:pPr>
      <w:r w:rsidRPr="005D2BAC">
        <w:rPr>
          <w:rFonts w:ascii="Times New Roman" w:eastAsia="Times New Roman" w:hAnsi="Times New Roman"/>
          <w:b/>
          <w:bCs/>
          <w:color w:val="76923C"/>
          <w:sz w:val="56"/>
          <w:szCs w:val="56"/>
        </w:rPr>
        <w:t>ОТЧЕТЕН ДОКЛАД</w:t>
      </w:r>
    </w:p>
    <w:p w:rsidR="005D2BAC" w:rsidRDefault="00266243" w:rsidP="00DA0A59">
      <w:pPr>
        <w:keepNext/>
        <w:spacing w:after="0" w:line="240" w:lineRule="auto"/>
        <w:ind w:right="-567"/>
        <w:jc w:val="center"/>
        <w:outlineLvl w:val="0"/>
        <w:rPr>
          <w:rFonts w:ascii="Times New Roman" w:eastAsia="Times New Roman" w:hAnsi="Times New Roman"/>
          <w:b/>
          <w:bCs/>
          <w:color w:val="76923C"/>
          <w:sz w:val="56"/>
          <w:szCs w:val="56"/>
        </w:rPr>
      </w:pPr>
      <w:r w:rsidRPr="005D2BAC">
        <w:rPr>
          <w:rFonts w:ascii="Times New Roman" w:eastAsia="Times New Roman" w:hAnsi="Times New Roman"/>
          <w:b/>
          <w:bCs/>
          <w:color w:val="76923C"/>
          <w:sz w:val="56"/>
          <w:szCs w:val="56"/>
        </w:rPr>
        <w:t>ЗА ДЕЙНОСТТА</w:t>
      </w:r>
    </w:p>
    <w:p w:rsidR="00266243" w:rsidRPr="005D2BAC" w:rsidRDefault="00266243" w:rsidP="00DA0A59">
      <w:pPr>
        <w:keepNext/>
        <w:spacing w:after="0" w:line="240" w:lineRule="auto"/>
        <w:ind w:right="-567"/>
        <w:jc w:val="center"/>
        <w:outlineLvl w:val="0"/>
        <w:rPr>
          <w:rFonts w:ascii="Times New Roman" w:eastAsia="Times New Roman" w:hAnsi="Times New Roman"/>
          <w:b/>
          <w:bCs/>
          <w:color w:val="76923C"/>
          <w:sz w:val="56"/>
          <w:szCs w:val="56"/>
        </w:rPr>
      </w:pPr>
      <w:r w:rsidRPr="005D2BAC">
        <w:rPr>
          <w:rFonts w:ascii="Times New Roman" w:eastAsia="Times New Roman" w:hAnsi="Times New Roman"/>
          <w:b/>
          <w:bCs/>
          <w:color w:val="76923C"/>
          <w:sz w:val="56"/>
          <w:szCs w:val="56"/>
        </w:rPr>
        <w:t>НА ОКРЪЖНА ПРОКУРАТУРА</w:t>
      </w:r>
    </w:p>
    <w:p w:rsidR="00266243" w:rsidRPr="005D2BAC" w:rsidRDefault="00266243" w:rsidP="00DA0A59">
      <w:pPr>
        <w:keepNext/>
        <w:spacing w:after="0" w:line="240" w:lineRule="auto"/>
        <w:ind w:right="-567"/>
        <w:jc w:val="center"/>
        <w:outlineLvl w:val="0"/>
        <w:rPr>
          <w:rFonts w:ascii="Times New Roman" w:eastAsia="Times New Roman" w:hAnsi="Times New Roman"/>
          <w:b/>
          <w:bCs/>
          <w:color w:val="76923C"/>
          <w:sz w:val="56"/>
          <w:szCs w:val="56"/>
        </w:rPr>
      </w:pPr>
      <w:r w:rsidRPr="005D2BAC">
        <w:rPr>
          <w:rFonts w:ascii="Times New Roman" w:eastAsia="Times New Roman" w:hAnsi="Times New Roman"/>
          <w:b/>
          <w:bCs/>
          <w:color w:val="76923C"/>
          <w:sz w:val="56"/>
          <w:szCs w:val="56"/>
        </w:rPr>
        <w:t>ГРАД РАЗГРАД</w:t>
      </w:r>
    </w:p>
    <w:p w:rsidR="00266243" w:rsidRPr="005D2BAC" w:rsidRDefault="00266243" w:rsidP="00DA0A59">
      <w:pPr>
        <w:spacing w:after="0" w:line="240" w:lineRule="auto"/>
        <w:jc w:val="center"/>
        <w:rPr>
          <w:rFonts w:ascii="Times New Roman" w:hAnsi="Times New Roman"/>
          <w:color w:val="76923C"/>
          <w:sz w:val="56"/>
          <w:szCs w:val="56"/>
        </w:rPr>
      </w:pPr>
    </w:p>
    <w:p w:rsidR="00266243" w:rsidRPr="005D2BAC" w:rsidRDefault="003903AE" w:rsidP="00DA0A59">
      <w:pPr>
        <w:spacing w:after="0" w:line="240" w:lineRule="auto"/>
        <w:ind w:left="-540" w:right="-491"/>
        <w:jc w:val="center"/>
        <w:rPr>
          <w:rFonts w:ascii="Times New Roman" w:hAnsi="Times New Roman"/>
          <w:b/>
          <w:bCs/>
          <w:color w:val="76923C"/>
          <w:sz w:val="56"/>
          <w:szCs w:val="56"/>
        </w:rPr>
      </w:pPr>
      <w:r w:rsidRPr="0015426D">
        <w:rPr>
          <w:rFonts w:ascii="Times New Roman" w:hAnsi="Times New Roman"/>
          <w:b/>
          <w:bCs/>
          <w:color w:val="76923C"/>
          <w:sz w:val="56"/>
          <w:szCs w:val="56"/>
        </w:rPr>
        <w:t xml:space="preserve">     </w:t>
      </w:r>
      <w:r w:rsidR="005D2BAC">
        <w:rPr>
          <w:rFonts w:ascii="Times New Roman" w:hAnsi="Times New Roman"/>
          <w:b/>
          <w:bCs/>
          <w:color w:val="76923C"/>
          <w:sz w:val="56"/>
          <w:szCs w:val="56"/>
        </w:rPr>
        <w:t>през</w:t>
      </w:r>
      <w:r w:rsidR="00266243" w:rsidRPr="005D2BAC">
        <w:rPr>
          <w:rFonts w:ascii="Times New Roman" w:hAnsi="Times New Roman"/>
          <w:b/>
          <w:bCs/>
          <w:color w:val="76923C"/>
          <w:sz w:val="56"/>
          <w:szCs w:val="56"/>
        </w:rPr>
        <w:t xml:space="preserve"> 20</w:t>
      </w:r>
      <w:r w:rsidR="00CB082E" w:rsidRPr="005D2BAC">
        <w:rPr>
          <w:rFonts w:ascii="Times New Roman" w:hAnsi="Times New Roman"/>
          <w:b/>
          <w:bCs/>
          <w:color w:val="76923C"/>
          <w:sz w:val="56"/>
          <w:szCs w:val="56"/>
        </w:rPr>
        <w:t>1</w:t>
      </w:r>
      <w:r w:rsidRPr="0015426D">
        <w:rPr>
          <w:rFonts w:ascii="Times New Roman" w:hAnsi="Times New Roman"/>
          <w:b/>
          <w:bCs/>
          <w:color w:val="76923C"/>
          <w:sz w:val="56"/>
          <w:szCs w:val="56"/>
        </w:rPr>
        <w:t>9</w:t>
      </w:r>
      <w:r w:rsidR="00266243" w:rsidRPr="005D2BAC">
        <w:rPr>
          <w:rFonts w:ascii="Times New Roman" w:hAnsi="Times New Roman"/>
          <w:b/>
          <w:bCs/>
          <w:color w:val="76923C"/>
          <w:sz w:val="56"/>
          <w:szCs w:val="56"/>
        </w:rPr>
        <w:t xml:space="preserve"> </w:t>
      </w:r>
      <w:r w:rsidR="005D2BAC">
        <w:rPr>
          <w:rFonts w:ascii="Times New Roman" w:hAnsi="Times New Roman"/>
          <w:b/>
          <w:bCs/>
          <w:color w:val="76923C"/>
          <w:sz w:val="56"/>
          <w:szCs w:val="56"/>
        </w:rPr>
        <w:t>година</w:t>
      </w:r>
    </w:p>
    <w:p w:rsidR="00EE4D0D" w:rsidRDefault="00EE4D0D" w:rsidP="00DA0A59">
      <w:pPr>
        <w:spacing w:after="0" w:line="240" w:lineRule="auto"/>
        <w:ind w:left="-540" w:right="-491" w:firstLine="709"/>
        <w:jc w:val="center"/>
        <w:rPr>
          <w:rFonts w:ascii="Times New Roman" w:hAnsi="Times New Roman"/>
          <w:b/>
          <w:bCs/>
          <w:i/>
          <w:color w:val="76923C"/>
          <w:sz w:val="28"/>
          <w:szCs w:val="28"/>
        </w:rPr>
      </w:pPr>
    </w:p>
    <w:p w:rsidR="00EE4D0D" w:rsidRDefault="00EE4D0D" w:rsidP="00DA0A59">
      <w:pPr>
        <w:spacing w:after="0" w:line="240" w:lineRule="auto"/>
        <w:ind w:left="-540" w:right="-491" w:firstLine="709"/>
        <w:jc w:val="center"/>
        <w:rPr>
          <w:rFonts w:ascii="Times New Roman" w:hAnsi="Times New Roman"/>
          <w:b/>
          <w:bCs/>
          <w:i/>
          <w:color w:val="76923C"/>
          <w:sz w:val="28"/>
          <w:szCs w:val="28"/>
        </w:rPr>
      </w:pPr>
    </w:p>
    <w:p w:rsidR="00EE4D0D" w:rsidRDefault="00EE4D0D" w:rsidP="00DA0A59">
      <w:pPr>
        <w:spacing w:after="0" w:line="240" w:lineRule="auto"/>
        <w:ind w:left="-540" w:right="-491" w:firstLine="709"/>
        <w:jc w:val="center"/>
        <w:rPr>
          <w:rFonts w:ascii="Times New Roman" w:hAnsi="Times New Roman"/>
          <w:b/>
          <w:bCs/>
          <w:i/>
          <w:color w:val="76923C"/>
          <w:sz w:val="28"/>
          <w:szCs w:val="28"/>
        </w:rPr>
      </w:pPr>
    </w:p>
    <w:p w:rsidR="00EE4D0D" w:rsidRPr="00EE4D0D" w:rsidRDefault="00EE4D0D" w:rsidP="00DA0A59">
      <w:pPr>
        <w:spacing w:after="0" w:line="240" w:lineRule="auto"/>
        <w:ind w:right="-491" w:firstLine="709"/>
        <w:rPr>
          <w:rFonts w:ascii="Times New Roman" w:hAnsi="Times New Roman"/>
          <w:b/>
          <w:bCs/>
          <w:i/>
          <w:color w:val="76923C"/>
          <w:sz w:val="28"/>
          <w:szCs w:val="28"/>
        </w:rPr>
      </w:pPr>
    </w:p>
    <w:p w:rsidR="00B22855" w:rsidRPr="00464557" w:rsidRDefault="00B22855" w:rsidP="00B22855">
      <w:pPr>
        <w:spacing w:after="0" w:line="240" w:lineRule="auto"/>
        <w:ind w:firstLine="709"/>
        <w:jc w:val="both"/>
        <w:rPr>
          <w:rFonts w:ascii="Times New Roman" w:hAnsi="Times New Roman"/>
          <w:b/>
          <w:sz w:val="28"/>
          <w:szCs w:val="28"/>
        </w:rPr>
      </w:pPr>
      <w:r w:rsidRPr="00464557">
        <w:rPr>
          <w:rFonts w:ascii="Times New Roman" w:hAnsi="Times New Roman"/>
          <w:b/>
          <w:sz w:val="28"/>
          <w:szCs w:val="28"/>
        </w:rPr>
        <w:lastRenderedPageBreak/>
        <w:t>Раздел І: Обобщени изводи за дейността на прокуратурата и на разследващите органи.</w:t>
      </w:r>
    </w:p>
    <w:p w:rsidR="00B22855" w:rsidRPr="00464557" w:rsidRDefault="00B22855" w:rsidP="00B22855">
      <w:pPr>
        <w:spacing w:after="0" w:line="240" w:lineRule="auto"/>
        <w:ind w:firstLine="709"/>
        <w:jc w:val="both"/>
        <w:rPr>
          <w:rFonts w:ascii="Times New Roman" w:hAnsi="Times New Roman"/>
          <w:b/>
          <w:sz w:val="28"/>
          <w:szCs w:val="28"/>
        </w:rPr>
      </w:pPr>
    </w:p>
    <w:p w:rsidR="00B22855" w:rsidRPr="00464557" w:rsidRDefault="00B22855" w:rsidP="00B22855">
      <w:pPr>
        <w:numPr>
          <w:ilvl w:val="0"/>
          <w:numId w:val="8"/>
        </w:numPr>
        <w:spacing w:after="0" w:line="240" w:lineRule="auto"/>
        <w:ind w:left="0" w:firstLine="709"/>
        <w:contextualSpacing/>
        <w:jc w:val="both"/>
        <w:rPr>
          <w:rFonts w:ascii="Times New Roman" w:eastAsia="Times New Roman" w:hAnsi="Times New Roman"/>
          <w:b/>
          <w:sz w:val="28"/>
          <w:szCs w:val="28"/>
        </w:rPr>
      </w:pPr>
      <w:r w:rsidRPr="00464557">
        <w:rPr>
          <w:rFonts w:ascii="Times New Roman" w:eastAsia="Times New Roman" w:hAnsi="Times New Roman"/>
          <w:b/>
          <w:sz w:val="28"/>
          <w:szCs w:val="28"/>
        </w:rPr>
        <w:t xml:space="preserve">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w:t>
      </w:r>
      <w:proofErr w:type="spellStart"/>
      <w:r w:rsidRPr="00464557">
        <w:rPr>
          <w:rFonts w:ascii="Times New Roman" w:eastAsia="Times New Roman" w:hAnsi="Times New Roman"/>
          <w:b/>
          <w:sz w:val="28"/>
          <w:szCs w:val="28"/>
        </w:rPr>
        <w:t>правоприлагащи</w:t>
      </w:r>
      <w:proofErr w:type="spellEnd"/>
      <w:r w:rsidRPr="00464557">
        <w:rPr>
          <w:rFonts w:ascii="Times New Roman" w:eastAsia="Times New Roman" w:hAnsi="Times New Roman"/>
          <w:b/>
          <w:sz w:val="28"/>
          <w:szCs w:val="28"/>
        </w:rPr>
        <w:t xml:space="preserve"> органи, ангажирани с противодействието на престъпността.</w:t>
      </w:r>
    </w:p>
    <w:p w:rsidR="00B22855" w:rsidRPr="00464557" w:rsidRDefault="00B22855" w:rsidP="00B22855">
      <w:pPr>
        <w:spacing w:after="0" w:line="240" w:lineRule="auto"/>
        <w:ind w:firstLine="709"/>
        <w:jc w:val="both"/>
        <w:rPr>
          <w:rFonts w:ascii="Times New Roman" w:hAnsi="Times New Roman"/>
          <w:sz w:val="28"/>
          <w:szCs w:val="28"/>
        </w:rPr>
      </w:pPr>
    </w:p>
    <w:p w:rsidR="00B22855" w:rsidRPr="00464557" w:rsidRDefault="00B22855" w:rsidP="00B22855">
      <w:pPr>
        <w:spacing w:after="0" w:line="240" w:lineRule="auto"/>
        <w:ind w:firstLine="709"/>
        <w:jc w:val="both"/>
        <w:rPr>
          <w:rFonts w:ascii="Times New Roman" w:hAnsi="Times New Roman"/>
          <w:sz w:val="28"/>
          <w:szCs w:val="28"/>
        </w:rPr>
      </w:pPr>
      <w:r w:rsidRPr="00464557">
        <w:rPr>
          <w:rFonts w:ascii="Times New Roman" w:hAnsi="Times New Roman"/>
          <w:sz w:val="28"/>
          <w:szCs w:val="28"/>
        </w:rPr>
        <w:t>Изводите за резултатите и тенденциите в противодействието на престъпността от дейността на прокуратурата предполагат анализ на основата, на която тя се осъществява.</w:t>
      </w:r>
    </w:p>
    <w:p w:rsidR="00B22855" w:rsidRPr="00464557" w:rsidRDefault="00B22855" w:rsidP="00B22855">
      <w:pPr>
        <w:spacing w:after="0" w:line="240" w:lineRule="auto"/>
        <w:ind w:firstLine="709"/>
        <w:jc w:val="both"/>
        <w:rPr>
          <w:rFonts w:ascii="Times New Roman" w:hAnsi="Times New Roman"/>
          <w:sz w:val="28"/>
          <w:szCs w:val="28"/>
        </w:rPr>
      </w:pPr>
      <w:r w:rsidRPr="00464557">
        <w:rPr>
          <w:rFonts w:ascii="Times New Roman" w:hAnsi="Times New Roman"/>
          <w:sz w:val="28"/>
          <w:szCs w:val="28"/>
        </w:rPr>
        <w:t xml:space="preserve">Тази основа е </w:t>
      </w:r>
      <w:proofErr w:type="spellStart"/>
      <w:r w:rsidRPr="00464557">
        <w:rPr>
          <w:rFonts w:ascii="Times New Roman" w:hAnsi="Times New Roman"/>
          <w:sz w:val="28"/>
          <w:szCs w:val="28"/>
        </w:rPr>
        <w:t>оперативно-издирвателната</w:t>
      </w:r>
      <w:proofErr w:type="spellEnd"/>
      <w:r w:rsidRPr="00464557">
        <w:rPr>
          <w:rFonts w:ascii="Times New Roman" w:hAnsi="Times New Roman"/>
          <w:sz w:val="28"/>
          <w:szCs w:val="28"/>
        </w:rPr>
        <w:t xml:space="preserve"> и превантивната дейност на полицейските органи.</w:t>
      </w:r>
    </w:p>
    <w:p w:rsidR="00B22855" w:rsidRPr="00464557" w:rsidRDefault="00B22855" w:rsidP="00B22855">
      <w:pPr>
        <w:spacing w:after="0" w:line="240" w:lineRule="auto"/>
        <w:ind w:firstLine="709"/>
        <w:jc w:val="both"/>
        <w:rPr>
          <w:rFonts w:ascii="Times New Roman" w:hAnsi="Times New Roman"/>
          <w:sz w:val="28"/>
          <w:szCs w:val="28"/>
        </w:rPr>
      </w:pPr>
      <w:r w:rsidRPr="00464557">
        <w:rPr>
          <w:rFonts w:ascii="Times New Roman" w:hAnsi="Times New Roman"/>
          <w:sz w:val="28"/>
          <w:szCs w:val="28"/>
        </w:rPr>
        <w:t>Разградският съдебен регион се обслужва от ОД на МВР Разград и съставните му районни управления със седалища в гр.Разград, гр.Лозница, гр.Исперих и гр.Кубрат.</w:t>
      </w:r>
    </w:p>
    <w:p w:rsidR="00B22855" w:rsidRPr="00464557" w:rsidRDefault="00B22855" w:rsidP="00B22855">
      <w:pPr>
        <w:spacing w:after="0" w:line="240" w:lineRule="auto"/>
        <w:ind w:firstLine="709"/>
        <w:jc w:val="both"/>
        <w:rPr>
          <w:rFonts w:ascii="Times New Roman" w:hAnsi="Times New Roman"/>
          <w:sz w:val="28"/>
          <w:szCs w:val="28"/>
        </w:rPr>
      </w:pPr>
      <w:r w:rsidRPr="00464557">
        <w:rPr>
          <w:rFonts w:ascii="Times New Roman" w:hAnsi="Times New Roman"/>
          <w:sz w:val="28"/>
          <w:szCs w:val="28"/>
        </w:rPr>
        <w:t>От началото на 2019г. в ОДМВР Разград са регистрирани общо 1314 престъпления, от които по криминална линия – 1098, а по икономическа 216 престъпления. Броят на регистрираните престъпления през 2018г. е бил 1382, от които по криминална линия 1232, а по икономическа 150.</w:t>
      </w:r>
    </w:p>
    <w:p w:rsidR="00B22855" w:rsidRPr="00464557" w:rsidRDefault="00B22855" w:rsidP="00B22855">
      <w:pPr>
        <w:spacing w:after="0" w:line="240" w:lineRule="auto"/>
        <w:ind w:firstLine="709"/>
        <w:jc w:val="both"/>
        <w:rPr>
          <w:rFonts w:ascii="Times New Roman" w:hAnsi="Times New Roman"/>
          <w:sz w:val="28"/>
          <w:szCs w:val="28"/>
        </w:rPr>
      </w:pPr>
      <w:r w:rsidRPr="00464557">
        <w:rPr>
          <w:rFonts w:ascii="Times New Roman" w:hAnsi="Times New Roman"/>
          <w:sz w:val="28"/>
          <w:szCs w:val="28"/>
        </w:rPr>
        <w:t>Сравнителният анализ на посочените данни показва, че съществува намаление с почти 5% на общия брой регистрирани престъпления, като по криминална линия се отчита намаление с 10,88%, а по икономическа линия с 44%.</w:t>
      </w:r>
    </w:p>
    <w:p w:rsidR="00B22855" w:rsidRPr="00464557" w:rsidRDefault="00B22855" w:rsidP="00B22855">
      <w:pPr>
        <w:spacing w:after="0" w:line="240" w:lineRule="auto"/>
        <w:ind w:firstLine="709"/>
        <w:jc w:val="both"/>
        <w:rPr>
          <w:rFonts w:ascii="Times New Roman" w:hAnsi="Times New Roman"/>
          <w:sz w:val="28"/>
          <w:szCs w:val="28"/>
        </w:rPr>
      </w:pPr>
      <w:r w:rsidRPr="00464557">
        <w:rPr>
          <w:rFonts w:ascii="Times New Roman" w:hAnsi="Times New Roman"/>
          <w:sz w:val="28"/>
          <w:szCs w:val="28"/>
        </w:rPr>
        <w:t>За областта коефициентът на престъпността е1176,17 престъпления на сто хиляди души, което е с 55 престъпления по-малко в сравнение с 2018г.</w:t>
      </w:r>
    </w:p>
    <w:p w:rsidR="00B22855" w:rsidRPr="00464557" w:rsidRDefault="00B22855" w:rsidP="00B22855">
      <w:pPr>
        <w:spacing w:after="0" w:line="240" w:lineRule="auto"/>
        <w:ind w:firstLine="709"/>
        <w:jc w:val="both"/>
        <w:rPr>
          <w:rFonts w:ascii="Times New Roman" w:hAnsi="Times New Roman"/>
          <w:sz w:val="28"/>
          <w:szCs w:val="28"/>
        </w:rPr>
      </w:pPr>
      <w:r w:rsidRPr="00464557">
        <w:rPr>
          <w:rFonts w:ascii="Times New Roman" w:hAnsi="Times New Roman"/>
          <w:sz w:val="28"/>
          <w:szCs w:val="28"/>
        </w:rPr>
        <w:t xml:space="preserve">В структурата на регистрираната криминална престъпност доминиращи за периода са </w:t>
      </w:r>
      <w:proofErr w:type="spellStart"/>
      <w:r w:rsidRPr="00464557">
        <w:rPr>
          <w:rFonts w:ascii="Times New Roman" w:hAnsi="Times New Roman"/>
          <w:sz w:val="28"/>
          <w:szCs w:val="28"/>
        </w:rPr>
        <w:t>общоопасните</w:t>
      </w:r>
      <w:proofErr w:type="spellEnd"/>
      <w:r w:rsidRPr="00464557">
        <w:rPr>
          <w:rFonts w:ascii="Times New Roman" w:hAnsi="Times New Roman"/>
          <w:sz w:val="28"/>
          <w:szCs w:val="28"/>
        </w:rPr>
        <w:t xml:space="preserve"> престъпления с относителен дял от 41,3%. Толкова е бил и делът им и за 2018г. /41,6%/. С висок относителен дял остават и престъпленията против собствеността – 35,5% от общо регистрираните криминални престъпления, през 2018г. този процент е бил 34,4%, т.е увеличение в относителен дял с 1%.</w:t>
      </w:r>
    </w:p>
    <w:p w:rsidR="00B22855" w:rsidRPr="00464557" w:rsidRDefault="00B22855" w:rsidP="00B22855">
      <w:pPr>
        <w:spacing w:after="0" w:line="240" w:lineRule="auto"/>
        <w:ind w:firstLine="709"/>
        <w:jc w:val="both"/>
        <w:rPr>
          <w:rFonts w:ascii="Times New Roman" w:hAnsi="Times New Roman"/>
          <w:sz w:val="28"/>
          <w:szCs w:val="28"/>
        </w:rPr>
      </w:pPr>
      <w:proofErr w:type="spellStart"/>
      <w:r w:rsidRPr="00464557">
        <w:rPr>
          <w:rFonts w:ascii="Times New Roman" w:hAnsi="Times New Roman"/>
          <w:sz w:val="28"/>
          <w:szCs w:val="28"/>
          <w:lang w:val="en-US"/>
        </w:rPr>
        <w:t>По</w:t>
      </w:r>
      <w:proofErr w:type="spellEnd"/>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данни</w:t>
      </w:r>
      <w:proofErr w:type="spellEnd"/>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на</w:t>
      </w:r>
      <w:proofErr w:type="spellEnd"/>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полицейската</w:t>
      </w:r>
      <w:proofErr w:type="spellEnd"/>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статистика</w:t>
      </w:r>
      <w:proofErr w:type="spellEnd"/>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през</w:t>
      </w:r>
      <w:proofErr w:type="spellEnd"/>
      <w:r w:rsidRPr="00464557">
        <w:rPr>
          <w:rFonts w:ascii="Times New Roman" w:hAnsi="Times New Roman"/>
          <w:sz w:val="28"/>
          <w:szCs w:val="28"/>
          <w:lang w:val="en-US"/>
        </w:rPr>
        <w:t xml:space="preserve"> 201</w:t>
      </w:r>
      <w:r w:rsidRPr="00464557">
        <w:rPr>
          <w:rFonts w:ascii="Times New Roman" w:hAnsi="Times New Roman"/>
          <w:sz w:val="28"/>
          <w:szCs w:val="28"/>
        </w:rPr>
        <w:t>8</w:t>
      </w:r>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година</w:t>
      </w:r>
      <w:proofErr w:type="spellEnd"/>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на</w:t>
      </w:r>
      <w:proofErr w:type="spellEnd"/>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територията</w:t>
      </w:r>
      <w:proofErr w:type="spellEnd"/>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на</w:t>
      </w:r>
      <w:proofErr w:type="spellEnd"/>
      <w:r w:rsidRPr="00464557">
        <w:rPr>
          <w:rFonts w:ascii="Times New Roman" w:hAnsi="Times New Roman"/>
          <w:sz w:val="28"/>
          <w:szCs w:val="28"/>
          <w:lang w:val="en-US"/>
        </w:rPr>
        <w:t xml:space="preserve"> ОД </w:t>
      </w:r>
      <w:proofErr w:type="spellStart"/>
      <w:r w:rsidRPr="00464557">
        <w:rPr>
          <w:rFonts w:ascii="Times New Roman" w:hAnsi="Times New Roman"/>
          <w:sz w:val="28"/>
          <w:szCs w:val="28"/>
          <w:lang w:val="en-US"/>
        </w:rPr>
        <w:t>на</w:t>
      </w:r>
      <w:proofErr w:type="spellEnd"/>
      <w:r w:rsidRPr="00464557">
        <w:rPr>
          <w:rFonts w:ascii="Times New Roman" w:hAnsi="Times New Roman"/>
          <w:sz w:val="28"/>
          <w:szCs w:val="28"/>
          <w:lang w:val="en-US"/>
        </w:rPr>
        <w:t xml:space="preserve"> МВР </w:t>
      </w:r>
      <w:proofErr w:type="spellStart"/>
      <w:r w:rsidRPr="00464557">
        <w:rPr>
          <w:rFonts w:ascii="Times New Roman" w:hAnsi="Times New Roman"/>
          <w:sz w:val="28"/>
          <w:szCs w:val="28"/>
          <w:lang w:val="en-US"/>
        </w:rPr>
        <w:t>гр.Разград</w:t>
      </w:r>
      <w:proofErr w:type="spellEnd"/>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били</w:t>
      </w:r>
      <w:proofErr w:type="spellEnd"/>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регистрирани</w:t>
      </w:r>
      <w:proofErr w:type="spellEnd"/>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общо</w:t>
      </w:r>
      <w:proofErr w:type="spellEnd"/>
      <w:r w:rsidRPr="00464557">
        <w:rPr>
          <w:rFonts w:ascii="Times New Roman" w:hAnsi="Times New Roman"/>
          <w:sz w:val="28"/>
          <w:szCs w:val="28"/>
          <w:lang w:val="en-US"/>
        </w:rPr>
        <w:t xml:space="preserve"> 13</w:t>
      </w:r>
      <w:r w:rsidRPr="00464557">
        <w:rPr>
          <w:rFonts w:ascii="Times New Roman" w:hAnsi="Times New Roman"/>
          <w:sz w:val="28"/>
          <w:szCs w:val="28"/>
        </w:rPr>
        <w:t>35</w:t>
      </w:r>
      <w:r w:rsidRPr="00464557">
        <w:rPr>
          <w:rFonts w:ascii="Times New Roman" w:hAnsi="Times New Roman"/>
          <w:sz w:val="28"/>
          <w:szCs w:val="28"/>
          <w:lang w:val="en-US"/>
        </w:rPr>
        <w:t xml:space="preserve"> </w:t>
      </w:r>
      <w:proofErr w:type="spellStart"/>
      <w:proofErr w:type="gramStart"/>
      <w:r w:rsidRPr="00464557">
        <w:rPr>
          <w:rFonts w:ascii="Times New Roman" w:hAnsi="Times New Roman"/>
          <w:sz w:val="28"/>
          <w:szCs w:val="28"/>
          <w:lang w:val="en-US"/>
        </w:rPr>
        <w:t>престъпления</w:t>
      </w:r>
      <w:proofErr w:type="spellEnd"/>
      <w:proofErr w:type="gramEnd"/>
      <w:r w:rsidRPr="00464557">
        <w:rPr>
          <w:rFonts w:ascii="Times New Roman" w:hAnsi="Times New Roman"/>
          <w:sz w:val="28"/>
          <w:szCs w:val="28"/>
          <w:lang w:val="en-US"/>
        </w:rPr>
        <w:t xml:space="preserve">, </w:t>
      </w:r>
      <w:r w:rsidRPr="00464557">
        <w:rPr>
          <w:rFonts w:ascii="Times New Roman" w:hAnsi="Times New Roman"/>
          <w:sz w:val="28"/>
          <w:szCs w:val="28"/>
        </w:rPr>
        <w:t xml:space="preserve">от тях са разкрити 858. Процента на </w:t>
      </w:r>
      <w:proofErr w:type="spellStart"/>
      <w:r w:rsidRPr="00464557">
        <w:rPr>
          <w:rFonts w:ascii="Times New Roman" w:hAnsi="Times New Roman"/>
          <w:sz w:val="28"/>
          <w:szCs w:val="28"/>
        </w:rPr>
        <w:t>разкриваемост</w:t>
      </w:r>
      <w:proofErr w:type="spellEnd"/>
      <w:r w:rsidRPr="00464557">
        <w:rPr>
          <w:rFonts w:ascii="Times New Roman" w:hAnsi="Times New Roman"/>
          <w:sz w:val="28"/>
          <w:szCs w:val="28"/>
        </w:rPr>
        <w:t xml:space="preserve"> е 64,27%, а коефициента на престъпност (или брой престъпления на 100 хиляди души) е 1035,48.</w:t>
      </w:r>
    </w:p>
    <w:p w:rsidR="00B22855" w:rsidRPr="00464557" w:rsidRDefault="00B22855" w:rsidP="00B22855">
      <w:pPr>
        <w:spacing w:after="0" w:line="240" w:lineRule="auto"/>
        <w:ind w:firstLine="709"/>
        <w:jc w:val="both"/>
        <w:rPr>
          <w:rFonts w:ascii="Times New Roman" w:hAnsi="Times New Roman"/>
          <w:sz w:val="28"/>
          <w:szCs w:val="28"/>
        </w:rPr>
      </w:pPr>
      <w:r w:rsidRPr="00464557">
        <w:rPr>
          <w:rFonts w:ascii="Times New Roman" w:hAnsi="Times New Roman"/>
          <w:sz w:val="28"/>
          <w:szCs w:val="28"/>
        </w:rPr>
        <w:t>През</w:t>
      </w:r>
      <w:r w:rsidRPr="00464557">
        <w:rPr>
          <w:rFonts w:ascii="Times New Roman" w:hAnsi="Times New Roman"/>
          <w:sz w:val="28"/>
          <w:szCs w:val="28"/>
          <w:lang w:val="en-US"/>
        </w:rPr>
        <w:t xml:space="preserve"> 201</w:t>
      </w:r>
      <w:r w:rsidRPr="00464557">
        <w:rPr>
          <w:rFonts w:ascii="Times New Roman" w:hAnsi="Times New Roman"/>
          <w:sz w:val="28"/>
          <w:szCs w:val="28"/>
        </w:rPr>
        <w:t>7</w:t>
      </w:r>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година</w:t>
      </w:r>
      <w:proofErr w:type="spellEnd"/>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на</w:t>
      </w:r>
      <w:proofErr w:type="spellEnd"/>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територията</w:t>
      </w:r>
      <w:proofErr w:type="spellEnd"/>
      <w:r w:rsidRPr="00464557">
        <w:rPr>
          <w:rFonts w:ascii="Times New Roman" w:hAnsi="Times New Roman"/>
          <w:sz w:val="28"/>
          <w:szCs w:val="28"/>
        </w:rPr>
        <w:t>, която се обслужва от</w:t>
      </w:r>
      <w:r w:rsidRPr="00464557">
        <w:rPr>
          <w:rFonts w:ascii="Times New Roman" w:hAnsi="Times New Roman"/>
          <w:sz w:val="28"/>
          <w:szCs w:val="28"/>
          <w:lang w:val="en-US"/>
        </w:rPr>
        <w:t xml:space="preserve"> ОД </w:t>
      </w:r>
      <w:proofErr w:type="spellStart"/>
      <w:r w:rsidRPr="00464557">
        <w:rPr>
          <w:rFonts w:ascii="Times New Roman" w:hAnsi="Times New Roman"/>
          <w:sz w:val="28"/>
          <w:szCs w:val="28"/>
          <w:lang w:val="en-US"/>
        </w:rPr>
        <w:t>на</w:t>
      </w:r>
      <w:proofErr w:type="spellEnd"/>
      <w:r w:rsidRPr="00464557">
        <w:rPr>
          <w:rFonts w:ascii="Times New Roman" w:hAnsi="Times New Roman"/>
          <w:sz w:val="28"/>
          <w:szCs w:val="28"/>
          <w:lang w:val="en-US"/>
        </w:rPr>
        <w:t xml:space="preserve"> МВР </w:t>
      </w:r>
      <w:proofErr w:type="spellStart"/>
      <w:r w:rsidRPr="00464557">
        <w:rPr>
          <w:rFonts w:ascii="Times New Roman" w:hAnsi="Times New Roman"/>
          <w:sz w:val="28"/>
          <w:szCs w:val="28"/>
          <w:lang w:val="en-US"/>
        </w:rPr>
        <w:t>гр.Разград</w:t>
      </w:r>
      <w:proofErr w:type="spellEnd"/>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били</w:t>
      </w:r>
      <w:proofErr w:type="spellEnd"/>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регистрирани</w:t>
      </w:r>
      <w:proofErr w:type="spellEnd"/>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общо</w:t>
      </w:r>
      <w:proofErr w:type="spellEnd"/>
      <w:r w:rsidRPr="00464557">
        <w:rPr>
          <w:rFonts w:ascii="Times New Roman" w:hAnsi="Times New Roman"/>
          <w:sz w:val="28"/>
          <w:szCs w:val="28"/>
          <w:lang w:val="en-US"/>
        </w:rPr>
        <w:t xml:space="preserve"> 13</w:t>
      </w:r>
      <w:r w:rsidRPr="00464557">
        <w:rPr>
          <w:rFonts w:ascii="Times New Roman" w:hAnsi="Times New Roman"/>
          <w:sz w:val="28"/>
          <w:szCs w:val="28"/>
        </w:rPr>
        <w:t>87</w:t>
      </w:r>
      <w:r w:rsidRPr="00464557">
        <w:rPr>
          <w:rFonts w:ascii="Times New Roman" w:hAnsi="Times New Roman"/>
          <w:sz w:val="28"/>
          <w:szCs w:val="28"/>
          <w:lang w:val="en-US"/>
        </w:rPr>
        <w:t xml:space="preserve"> </w:t>
      </w:r>
      <w:proofErr w:type="spellStart"/>
      <w:r w:rsidRPr="00464557">
        <w:rPr>
          <w:rFonts w:ascii="Times New Roman" w:hAnsi="Times New Roman"/>
          <w:sz w:val="28"/>
          <w:szCs w:val="28"/>
          <w:lang w:val="en-US"/>
        </w:rPr>
        <w:t>престъпления</w:t>
      </w:r>
      <w:proofErr w:type="spellEnd"/>
      <w:r w:rsidRPr="00464557">
        <w:rPr>
          <w:rFonts w:ascii="Times New Roman" w:hAnsi="Times New Roman"/>
          <w:sz w:val="28"/>
          <w:szCs w:val="28"/>
          <w:lang w:val="en-US"/>
        </w:rPr>
        <w:t xml:space="preserve">, </w:t>
      </w:r>
      <w:r w:rsidRPr="00464557">
        <w:rPr>
          <w:rFonts w:ascii="Times New Roman" w:hAnsi="Times New Roman"/>
          <w:sz w:val="28"/>
          <w:szCs w:val="28"/>
        </w:rPr>
        <w:t xml:space="preserve">а от тях разкрити 976. Процента на </w:t>
      </w:r>
      <w:proofErr w:type="spellStart"/>
      <w:r w:rsidRPr="00464557">
        <w:rPr>
          <w:rFonts w:ascii="Times New Roman" w:hAnsi="Times New Roman"/>
          <w:sz w:val="28"/>
          <w:szCs w:val="28"/>
        </w:rPr>
        <w:t>разкриваемост</w:t>
      </w:r>
      <w:proofErr w:type="spellEnd"/>
      <w:r w:rsidRPr="00464557">
        <w:rPr>
          <w:rFonts w:ascii="Times New Roman" w:hAnsi="Times New Roman"/>
          <w:sz w:val="28"/>
          <w:szCs w:val="28"/>
        </w:rPr>
        <w:t xml:space="preserve"> е 61,36%, а коефициента на престъпност (или брой престъпления на 100 хиляди души) е 1074,20.</w:t>
      </w:r>
    </w:p>
    <w:p w:rsidR="00B22855" w:rsidRPr="00464557" w:rsidRDefault="00B22855" w:rsidP="00B22855">
      <w:pPr>
        <w:spacing w:after="0" w:line="240" w:lineRule="auto"/>
        <w:ind w:firstLine="709"/>
        <w:jc w:val="both"/>
        <w:rPr>
          <w:rFonts w:ascii="Times New Roman" w:hAnsi="Times New Roman"/>
          <w:sz w:val="28"/>
          <w:szCs w:val="28"/>
        </w:rPr>
      </w:pPr>
      <w:r w:rsidRPr="00464557">
        <w:rPr>
          <w:rFonts w:ascii="Times New Roman" w:hAnsi="Times New Roman"/>
          <w:sz w:val="28"/>
          <w:szCs w:val="28"/>
        </w:rPr>
        <w:t xml:space="preserve">Оперативната обстановка на територията, обслужвана от ОДМВР Разград през 2019г. се характеризира със стабилност и устойчивост, като не са били допуснати действия и прояви, съдържащи рискове и заплахи за </w:t>
      </w:r>
      <w:r w:rsidRPr="00464557">
        <w:rPr>
          <w:rFonts w:ascii="Times New Roman" w:hAnsi="Times New Roman"/>
          <w:sz w:val="28"/>
          <w:szCs w:val="28"/>
        </w:rPr>
        <w:lastRenderedPageBreak/>
        <w:t>националната сигурност, терористична дейност, нарушаване на гражданския, социалния и етническия мир в региона.</w:t>
      </w:r>
    </w:p>
    <w:p w:rsidR="00B22855" w:rsidRPr="00464557" w:rsidRDefault="00B22855" w:rsidP="00B22855">
      <w:pPr>
        <w:spacing w:after="0" w:line="240" w:lineRule="auto"/>
        <w:ind w:firstLine="709"/>
        <w:jc w:val="both"/>
        <w:rPr>
          <w:rFonts w:ascii="Times New Roman" w:hAnsi="Times New Roman"/>
          <w:sz w:val="28"/>
          <w:szCs w:val="28"/>
        </w:rPr>
      </w:pPr>
      <w:r w:rsidRPr="00464557">
        <w:rPr>
          <w:rFonts w:ascii="Times New Roman" w:hAnsi="Times New Roman"/>
          <w:sz w:val="28"/>
          <w:szCs w:val="28"/>
        </w:rPr>
        <w:t>Общият поглед върху статистическите данни за престъпността през отчетния период показва относителна стабилност и устойчивост на криминогенната обстановка в региона, като се отчита лек спад в нивото на регистрираните престъпления.</w:t>
      </w:r>
    </w:p>
    <w:p w:rsidR="00B22855" w:rsidRPr="00464557" w:rsidRDefault="00B22855" w:rsidP="00B22855">
      <w:pPr>
        <w:spacing w:after="0" w:line="240" w:lineRule="auto"/>
        <w:ind w:firstLine="709"/>
        <w:jc w:val="both"/>
        <w:rPr>
          <w:rFonts w:ascii="Times New Roman" w:hAnsi="Times New Roman"/>
          <w:sz w:val="28"/>
          <w:szCs w:val="28"/>
        </w:rPr>
      </w:pPr>
      <w:r w:rsidRPr="00464557">
        <w:rPr>
          <w:rFonts w:ascii="Times New Roman" w:hAnsi="Times New Roman"/>
          <w:sz w:val="28"/>
          <w:szCs w:val="28"/>
        </w:rPr>
        <w:t xml:space="preserve">Във връзка с произвеждане на изборите за членове на Европейски парламент от Република България и тези за общински </w:t>
      </w:r>
      <w:proofErr w:type="spellStart"/>
      <w:r w:rsidRPr="00464557">
        <w:rPr>
          <w:rFonts w:ascii="Times New Roman" w:hAnsi="Times New Roman"/>
          <w:sz w:val="28"/>
          <w:szCs w:val="28"/>
        </w:rPr>
        <w:t>съветници</w:t>
      </w:r>
      <w:proofErr w:type="spellEnd"/>
      <w:r w:rsidRPr="00464557">
        <w:rPr>
          <w:rFonts w:ascii="Times New Roman" w:hAnsi="Times New Roman"/>
          <w:sz w:val="28"/>
          <w:szCs w:val="28"/>
        </w:rPr>
        <w:t xml:space="preserve"> и кметове през 2019г. в ОДМВР Разград са били предприети всички необходими мерки за гарантиране на сигурността, противодействие на престъпленията против политическите права на гражданите и опазване на обществения ред на територията на областта.</w:t>
      </w:r>
    </w:p>
    <w:p w:rsidR="00B22855" w:rsidRPr="00464557" w:rsidRDefault="00B22855" w:rsidP="00B22855">
      <w:pPr>
        <w:spacing w:after="0" w:line="240" w:lineRule="auto"/>
        <w:ind w:firstLine="709"/>
        <w:jc w:val="both"/>
        <w:rPr>
          <w:rFonts w:ascii="Times New Roman" w:hAnsi="Times New Roman"/>
          <w:sz w:val="28"/>
          <w:szCs w:val="28"/>
        </w:rPr>
      </w:pPr>
      <w:r w:rsidRPr="00464557">
        <w:rPr>
          <w:rFonts w:ascii="Times New Roman" w:hAnsi="Times New Roman"/>
          <w:sz w:val="28"/>
          <w:szCs w:val="28"/>
        </w:rPr>
        <w:t>Превантивната дейност в ОДМВР Разград е съобразена с динамиката на социално-икономическата среда, както и особеностите на криминогенната обстановка. Системно са се анализирали съществуващите причини и условия за престъпността, както и факторите за появата на нови такива.</w:t>
      </w:r>
    </w:p>
    <w:p w:rsidR="00B22855" w:rsidRPr="00464557" w:rsidRDefault="00B22855" w:rsidP="00B22855">
      <w:pPr>
        <w:spacing w:after="0" w:line="240" w:lineRule="auto"/>
        <w:ind w:firstLine="709"/>
        <w:jc w:val="both"/>
        <w:rPr>
          <w:rFonts w:ascii="Times New Roman" w:hAnsi="Times New Roman"/>
          <w:sz w:val="28"/>
          <w:szCs w:val="28"/>
        </w:rPr>
      </w:pPr>
      <w:r w:rsidRPr="00464557">
        <w:rPr>
          <w:rFonts w:ascii="Times New Roman" w:hAnsi="Times New Roman"/>
          <w:sz w:val="28"/>
          <w:szCs w:val="28"/>
        </w:rPr>
        <w:t xml:space="preserve">Основните мероприятия които се планират и изпълняват са насочени към използването на превантивни инструменти с широкоспектърно действие. Акцентът е поставен върху ранното </w:t>
      </w:r>
      <w:proofErr w:type="spellStart"/>
      <w:r w:rsidRPr="00464557">
        <w:rPr>
          <w:rFonts w:ascii="Times New Roman" w:hAnsi="Times New Roman"/>
          <w:sz w:val="28"/>
          <w:szCs w:val="28"/>
        </w:rPr>
        <w:t>диагностициране</w:t>
      </w:r>
      <w:proofErr w:type="spellEnd"/>
      <w:r w:rsidRPr="00464557">
        <w:rPr>
          <w:rFonts w:ascii="Times New Roman" w:hAnsi="Times New Roman"/>
          <w:sz w:val="28"/>
          <w:szCs w:val="28"/>
        </w:rPr>
        <w:t xml:space="preserve"> на криминогенните и </w:t>
      </w:r>
      <w:proofErr w:type="spellStart"/>
      <w:r w:rsidRPr="00464557">
        <w:rPr>
          <w:rFonts w:ascii="Times New Roman" w:hAnsi="Times New Roman"/>
          <w:sz w:val="28"/>
          <w:szCs w:val="28"/>
        </w:rPr>
        <w:t>конфликтогенните</w:t>
      </w:r>
      <w:proofErr w:type="spellEnd"/>
      <w:r w:rsidRPr="00464557">
        <w:rPr>
          <w:rFonts w:ascii="Times New Roman" w:hAnsi="Times New Roman"/>
          <w:sz w:val="28"/>
          <w:szCs w:val="28"/>
        </w:rPr>
        <w:t xml:space="preserve"> фактори особено в местата с ромско население, предотвратяване на социални конфликти и търсене на потенциални партньори, с цел общи усилия за разрешаване на възникнал проблем. Гъвкавата организация при изпълнение на патрулно-постовата дейност и териториално обслужване на населението, увеличения брой беседи и работа с криминалния контингент, както и активното му наблюдение спомагат за сравнително устойчив контрол на средата за сигурност и адекватна намеса в случай на необходимост.</w:t>
      </w:r>
    </w:p>
    <w:p w:rsidR="00B22855" w:rsidRPr="00464557" w:rsidRDefault="00B22855" w:rsidP="00B22855">
      <w:pPr>
        <w:spacing w:after="0" w:line="240" w:lineRule="auto"/>
        <w:ind w:firstLine="709"/>
        <w:jc w:val="both"/>
        <w:rPr>
          <w:rFonts w:ascii="Times New Roman" w:hAnsi="Times New Roman"/>
          <w:sz w:val="28"/>
          <w:szCs w:val="28"/>
        </w:rPr>
      </w:pPr>
    </w:p>
    <w:p w:rsidR="00B22855" w:rsidRPr="00464557" w:rsidRDefault="00B22855" w:rsidP="00B22855">
      <w:pPr>
        <w:spacing w:after="0" w:line="240" w:lineRule="auto"/>
        <w:jc w:val="both"/>
        <w:rPr>
          <w:rFonts w:ascii="Times New Roman" w:hAnsi="Times New Roman"/>
          <w:sz w:val="28"/>
          <w:szCs w:val="28"/>
          <w:lang w:val="en-US"/>
        </w:rPr>
      </w:pPr>
    </w:p>
    <w:p w:rsidR="00B22855" w:rsidRPr="00464557" w:rsidRDefault="00B22855" w:rsidP="00B22855">
      <w:pPr>
        <w:numPr>
          <w:ilvl w:val="0"/>
          <w:numId w:val="8"/>
        </w:numPr>
        <w:spacing w:after="0" w:line="240" w:lineRule="auto"/>
        <w:ind w:firstLine="709"/>
        <w:contextualSpacing/>
        <w:jc w:val="both"/>
        <w:rPr>
          <w:rFonts w:ascii="Times New Roman" w:eastAsia="Times New Roman" w:hAnsi="Times New Roman"/>
          <w:b/>
          <w:sz w:val="28"/>
          <w:szCs w:val="28"/>
        </w:rPr>
      </w:pPr>
      <w:r w:rsidRPr="00464557">
        <w:rPr>
          <w:rFonts w:ascii="Times New Roman" w:eastAsia="Times New Roman" w:hAnsi="Times New Roman"/>
          <w:b/>
          <w:sz w:val="28"/>
          <w:szCs w:val="28"/>
        </w:rPr>
        <w:t>Необходими мерки и законодателни промени.</w:t>
      </w:r>
    </w:p>
    <w:p w:rsidR="00B22855" w:rsidRPr="00464557" w:rsidRDefault="00B22855" w:rsidP="00B22855">
      <w:pPr>
        <w:spacing w:after="0" w:line="240" w:lineRule="auto"/>
        <w:ind w:left="709" w:firstLine="709"/>
        <w:contextualSpacing/>
        <w:jc w:val="both"/>
        <w:rPr>
          <w:rFonts w:ascii="Times New Roman" w:eastAsia="Times New Roman" w:hAnsi="Times New Roman"/>
          <w:b/>
          <w:sz w:val="28"/>
          <w:szCs w:val="28"/>
        </w:rPr>
      </w:pPr>
    </w:p>
    <w:p w:rsidR="00B22855" w:rsidRDefault="00B22855" w:rsidP="00B22855">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За </w:t>
      </w:r>
      <w:r w:rsidR="000975E1">
        <w:rPr>
          <w:rFonts w:ascii="Times New Roman" w:eastAsia="Times New Roman" w:hAnsi="Times New Roman"/>
          <w:sz w:val="28"/>
          <w:szCs w:val="28"/>
        </w:rPr>
        <w:t>повишаване</w:t>
      </w:r>
      <w:r w:rsidRPr="00464557">
        <w:rPr>
          <w:rFonts w:ascii="Times New Roman" w:eastAsia="Times New Roman" w:hAnsi="Times New Roman"/>
          <w:sz w:val="28"/>
          <w:szCs w:val="28"/>
        </w:rPr>
        <w:t xml:space="preserve"> на ефективността </w:t>
      </w:r>
      <w:r w:rsidR="006C109C">
        <w:rPr>
          <w:rFonts w:ascii="Times New Roman" w:eastAsia="Times New Roman" w:hAnsi="Times New Roman"/>
          <w:sz w:val="28"/>
          <w:szCs w:val="28"/>
        </w:rPr>
        <w:t xml:space="preserve">в противодействие на </w:t>
      </w:r>
      <w:r w:rsidR="000975E1">
        <w:rPr>
          <w:rFonts w:ascii="Times New Roman" w:eastAsia="Times New Roman" w:hAnsi="Times New Roman"/>
          <w:sz w:val="28"/>
          <w:szCs w:val="28"/>
        </w:rPr>
        <w:t xml:space="preserve">престъпността </w:t>
      </w:r>
      <w:r w:rsidRPr="00464557">
        <w:rPr>
          <w:rFonts w:ascii="Times New Roman" w:eastAsia="Times New Roman" w:hAnsi="Times New Roman"/>
          <w:sz w:val="28"/>
          <w:szCs w:val="28"/>
        </w:rPr>
        <w:t xml:space="preserve">и </w:t>
      </w:r>
      <w:r w:rsidR="000975E1">
        <w:rPr>
          <w:rFonts w:ascii="Times New Roman" w:eastAsia="Times New Roman" w:hAnsi="Times New Roman"/>
          <w:sz w:val="28"/>
          <w:szCs w:val="28"/>
        </w:rPr>
        <w:t xml:space="preserve">подобряван </w:t>
      </w:r>
      <w:proofErr w:type="spellStart"/>
      <w:r w:rsidRPr="00464557">
        <w:rPr>
          <w:rFonts w:ascii="Times New Roman" w:eastAsia="Times New Roman" w:hAnsi="Times New Roman"/>
          <w:sz w:val="28"/>
          <w:szCs w:val="28"/>
        </w:rPr>
        <w:t>срочността</w:t>
      </w:r>
      <w:proofErr w:type="spellEnd"/>
      <w:r w:rsidRPr="00464557">
        <w:rPr>
          <w:rFonts w:ascii="Times New Roman" w:eastAsia="Times New Roman" w:hAnsi="Times New Roman"/>
          <w:sz w:val="28"/>
          <w:szCs w:val="28"/>
        </w:rPr>
        <w:t xml:space="preserve"> на наказателното производство </w:t>
      </w:r>
      <w:r w:rsidR="00F27F78">
        <w:rPr>
          <w:rFonts w:ascii="Times New Roman" w:eastAsia="Times New Roman" w:hAnsi="Times New Roman"/>
          <w:sz w:val="28"/>
          <w:szCs w:val="28"/>
        </w:rPr>
        <w:t>предлагаме следните законодателни мерки:</w:t>
      </w:r>
    </w:p>
    <w:p w:rsidR="00001643" w:rsidRPr="00464557" w:rsidRDefault="00001643" w:rsidP="00B22855">
      <w:pPr>
        <w:spacing w:after="0" w:line="240" w:lineRule="auto"/>
        <w:ind w:firstLine="709"/>
        <w:jc w:val="both"/>
        <w:rPr>
          <w:rFonts w:ascii="Times New Roman" w:eastAsia="Times New Roman" w:hAnsi="Times New Roman"/>
          <w:sz w:val="28"/>
          <w:szCs w:val="28"/>
        </w:rPr>
      </w:pPr>
    </w:p>
    <w:p w:rsidR="00056E8B" w:rsidRPr="00F27F78" w:rsidRDefault="00001643" w:rsidP="00F27F78">
      <w:pPr>
        <w:pStyle w:val="a9"/>
        <w:numPr>
          <w:ilvl w:val="0"/>
          <w:numId w:val="15"/>
        </w:numPr>
        <w:tabs>
          <w:tab w:val="left" w:pos="993"/>
        </w:tabs>
        <w:ind w:firstLine="349"/>
        <w:rPr>
          <w:rFonts w:ascii="Times New Roman" w:eastAsia="Times New Roman" w:hAnsi="Times New Roman"/>
          <w:sz w:val="28"/>
          <w:szCs w:val="28"/>
        </w:rPr>
      </w:pPr>
      <w:r>
        <w:rPr>
          <w:rFonts w:ascii="Times New Roman" w:eastAsia="Times New Roman" w:hAnsi="Times New Roman"/>
          <w:sz w:val="28"/>
          <w:szCs w:val="28"/>
        </w:rPr>
        <w:t xml:space="preserve"> </w:t>
      </w:r>
      <w:r w:rsidR="00DA7AAE">
        <w:rPr>
          <w:rFonts w:ascii="Times New Roman" w:eastAsia="Times New Roman" w:hAnsi="Times New Roman"/>
          <w:sz w:val="28"/>
          <w:szCs w:val="28"/>
        </w:rPr>
        <w:t>В</w:t>
      </w:r>
      <w:r w:rsidR="00056E8B" w:rsidRPr="00F27F78">
        <w:rPr>
          <w:rFonts w:ascii="Times New Roman" w:eastAsia="Times New Roman" w:hAnsi="Times New Roman"/>
          <w:sz w:val="28"/>
          <w:szCs w:val="28"/>
        </w:rPr>
        <w:t xml:space="preserve"> Н</w:t>
      </w:r>
      <w:r w:rsidR="00D24768">
        <w:rPr>
          <w:rFonts w:ascii="Times New Roman" w:eastAsia="Times New Roman" w:hAnsi="Times New Roman"/>
          <w:sz w:val="28"/>
          <w:szCs w:val="28"/>
        </w:rPr>
        <w:t>аказателно-процесуалния кодекс</w:t>
      </w:r>
      <w:r w:rsidR="00056E8B" w:rsidRPr="00F27F78">
        <w:rPr>
          <w:rFonts w:ascii="Times New Roman" w:eastAsia="Times New Roman" w:hAnsi="Times New Roman"/>
          <w:sz w:val="28"/>
          <w:szCs w:val="28"/>
        </w:rPr>
        <w:t>:</w:t>
      </w:r>
    </w:p>
    <w:p w:rsidR="00056E8B" w:rsidRPr="00056E8B" w:rsidRDefault="00056E8B" w:rsidP="00D24768">
      <w:pPr>
        <w:tabs>
          <w:tab w:val="left" w:pos="993"/>
        </w:tabs>
        <w:ind w:firstLine="709"/>
        <w:jc w:val="both"/>
        <w:rPr>
          <w:rFonts w:ascii="Times New Roman" w:eastAsia="Times New Roman" w:hAnsi="Times New Roman"/>
          <w:sz w:val="28"/>
          <w:szCs w:val="28"/>
        </w:rPr>
      </w:pPr>
      <w:r w:rsidRPr="00056E8B">
        <w:rPr>
          <w:rFonts w:ascii="Times New Roman" w:eastAsia="Times New Roman" w:hAnsi="Times New Roman"/>
          <w:sz w:val="28"/>
          <w:szCs w:val="28"/>
        </w:rPr>
        <w:t>-</w:t>
      </w:r>
      <w:r w:rsidRPr="00056E8B">
        <w:rPr>
          <w:rFonts w:ascii="Times New Roman" w:eastAsia="Times New Roman" w:hAnsi="Times New Roman"/>
          <w:sz w:val="28"/>
          <w:szCs w:val="28"/>
        </w:rPr>
        <w:tab/>
        <w:t xml:space="preserve">В нормата на чл.159а, ал.1 от НПК да отпадне изискването предоставянето на данни, създадени при осъществяване дейността на предприятията, предоставящи обществени електронни съобщения да е въз основа на мотивирано разпореждане на съдия от съответния </w:t>
      </w:r>
      <w:proofErr w:type="spellStart"/>
      <w:r w:rsidRPr="00056E8B">
        <w:rPr>
          <w:rFonts w:ascii="Times New Roman" w:eastAsia="Times New Roman" w:hAnsi="Times New Roman"/>
          <w:sz w:val="28"/>
          <w:szCs w:val="28"/>
        </w:rPr>
        <w:t>първоинстанционен</w:t>
      </w:r>
      <w:proofErr w:type="spellEnd"/>
      <w:r w:rsidRPr="00056E8B">
        <w:rPr>
          <w:rFonts w:ascii="Times New Roman" w:eastAsia="Times New Roman" w:hAnsi="Times New Roman"/>
          <w:sz w:val="28"/>
          <w:szCs w:val="28"/>
        </w:rPr>
        <w:t xml:space="preserve"> съд по искане на прокурора.Следва да бъде върнат предишния режим, при който не беше необходимо разпореждане на съда в </w:t>
      </w:r>
      <w:r w:rsidRPr="00056E8B">
        <w:rPr>
          <w:rFonts w:ascii="Times New Roman" w:eastAsia="Times New Roman" w:hAnsi="Times New Roman"/>
          <w:sz w:val="28"/>
          <w:szCs w:val="28"/>
        </w:rPr>
        <w:lastRenderedPageBreak/>
        <w:t xml:space="preserve">тези случаи, а по искане на прокуратурата тези данни и бяха предоставяни от предприятията; </w:t>
      </w:r>
    </w:p>
    <w:p w:rsidR="00056E8B" w:rsidRPr="00056E8B" w:rsidRDefault="00056E8B" w:rsidP="00001643">
      <w:pPr>
        <w:tabs>
          <w:tab w:val="left" w:pos="993"/>
        </w:tabs>
        <w:ind w:firstLine="709"/>
        <w:jc w:val="both"/>
        <w:rPr>
          <w:rFonts w:ascii="Times New Roman" w:eastAsia="Times New Roman" w:hAnsi="Times New Roman"/>
          <w:sz w:val="28"/>
          <w:szCs w:val="28"/>
        </w:rPr>
      </w:pPr>
      <w:r w:rsidRPr="00056E8B">
        <w:rPr>
          <w:rFonts w:ascii="Times New Roman" w:eastAsia="Times New Roman" w:hAnsi="Times New Roman"/>
          <w:sz w:val="28"/>
          <w:szCs w:val="28"/>
        </w:rPr>
        <w:t>-</w:t>
      </w:r>
      <w:r w:rsidRPr="00056E8B">
        <w:rPr>
          <w:rFonts w:ascii="Times New Roman" w:eastAsia="Times New Roman" w:hAnsi="Times New Roman"/>
          <w:sz w:val="28"/>
          <w:szCs w:val="28"/>
        </w:rPr>
        <w:tab/>
        <w:t>В нормата на чл. 279, ал.1 следва да отпадне изискването за прочитане обясненията на обвиняем само в случаите, когато същите са дадени пред съдия.</w:t>
      </w:r>
    </w:p>
    <w:p w:rsidR="00001643" w:rsidRPr="00F27F78" w:rsidRDefault="00DA7AAE" w:rsidP="00001643">
      <w:pPr>
        <w:pStyle w:val="a9"/>
        <w:numPr>
          <w:ilvl w:val="0"/>
          <w:numId w:val="15"/>
        </w:numPr>
        <w:tabs>
          <w:tab w:val="left" w:pos="993"/>
        </w:tabs>
        <w:ind w:firstLine="349"/>
        <w:rPr>
          <w:rFonts w:ascii="Times New Roman" w:eastAsia="Times New Roman" w:hAnsi="Times New Roman"/>
          <w:sz w:val="28"/>
          <w:szCs w:val="28"/>
        </w:rPr>
      </w:pPr>
      <w:r>
        <w:rPr>
          <w:rFonts w:ascii="Times New Roman" w:eastAsia="Times New Roman" w:hAnsi="Times New Roman"/>
          <w:sz w:val="28"/>
          <w:szCs w:val="28"/>
        </w:rPr>
        <w:t>В</w:t>
      </w:r>
      <w:r w:rsidR="00001643" w:rsidRPr="00F27F78">
        <w:rPr>
          <w:rFonts w:ascii="Times New Roman" w:eastAsia="Times New Roman" w:hAnsi="Times New Roman"/>
          <w:sz w:val="28"/>
          <w:szCs w:val="28"/>
        </w:rPr>
        <w:t xml:space="preserve"> Н</w:t>
      </w:r>
      <w:r w:rsidR="00001643">
        <w:rPr>
          <w:rFonts w:ascii="Times New Roman" w:eastAsia="Times New Roman" w:hAnsi="Times New Roman"/>
          <w:sz w:val="28"/>
          <w:szCs w:val="28"/>
        </w:rPr>
        <w:t>аказателн</w:t>
      </w:r>
      <w:r>
        <w:rPr>
          <w:rFonts w:ascii="Times New Roman" w:eastAsia="Times New Roman" w:hAnsi="Times New Roman"/>
          <w:sz w:val="28"/>
          <w:szCs w:val="28"/>
        </w:rPr>
        <w:t>ия кодекс</w:t>
      </w:r>
      <w:r w:rsidR="00001643" w:rsidRPr="00F27F78">
        <w:rPr>
          <w:rFonts w:ascii="Times New Roman" w:eastAsia="Times New Roman" w:hAnsi="Times New Roman"/>
          <w:sz w:val="28"/>
          <w:szCs w:val="28"/>
        </w:rPr>
        <w:t>:</w:t>
      </w:r>
    </w:p>
    <w:p w:rsidR="00B22855" w:rsidRPr="00056E8B" w:rsidRDefault="00DA7AAE" w:rsidP="00DA7AAE">
      <w:pPr>
        <w:ind w:firstLine="709"/>
        <w:jc w:val="both"/>
        <w:rPr>
          <w:rFonts w:ascii="Times New Roman" w:eastAsia="Times New Roman" w:hAnsi="Times New Roman"/>
          <w:sz w:val="28"/>
          <w:szCs w:val="28"/>
        </w:rPr>
      </w:pPr>
      <w:r>
        <w:rPr>
          <w:rFonts w:ascii="Times New Roman" w:eastAsia="Times New Roman" w:hAnsi="Times New Roman"/>
          <w:sz w:val="28"/>
          <w:szCs w:val="28"/>
        </w:rPr>
        <w:t>- Д</w:t>
      </w:r>
      <w:r w:rsidR="00056E8B" w:rsidRPr="00056E8B">
        <w:rPr>
          <w:rFonts w:ascii="Times New Roman" w:eastAsia="Times New Roman" w:hAnsi="Times New Roman"/>
          <w:sz w:val="28"/>
          <w:szCs w:val="28"/>
        </w:rPr>
        <w:t xml:space="preserve">а се </w:t>
      </w:r>
      <w:proofErr w:type="spellStart"/>
      <w:r w:rsidR="00056E8B" w:rsidRPr="00056E8B">
        <w:rPr>
          <w:rFonts w:ascii="Times New Roman" w:eastAsia="Times New Roman" w:hAnsi="Times New Roman"/>
          <w:sz w:val="28"/>
          <w:szCs w:val="28"/>
        </w:rPr>
        <w:t>декриминализират</w:t>
      </w:r>
      <w:proofErr w:type="spellEnd"/>
      <w:r w:rsidR="00056E8B" w:rsidRPr="00056E8B">
        <w:rPr>
          <w:rFonts w:ascii="Times New Roman" w:eastAsia="Times New Roman" w:hAnsi="Times New Roman"/>
          <w:sz w:val="28"/>
          <w:szCs w:val="28"/>
        </w:rPr>
        <w:t xml:space="preserve"> някои престъпления, като същите бъдат наказвани по административен ред от контролните органи в Република България, като по този начин прокуратурата си насочи усилията и капацитета за работа с тежки дела.</w:t>
      </w:r>
    </w:p>
    <w:p w:rsidR="00485582" w:rsidRPr="00056E8B" w:rsidRDefault="00485582" w:rsidP="00DA0A59">
      <w:pPr>
        <w:shd w:val="clear" w:color="auto" w:fill="FFFFFF"/>
        <w:spacing w:after="0" w:line="240" w:lineRule="auto"/>
        <w:ind w:firstLine="709"/>
        <w:jc w:val="both"/>
        <w:rPr>
          <w:rFonts w:ascii="Times New Roman" w:eastAsia="Times New Roman" w:hAnsi="Times New Roman"/>
          <w:sz w:val="28"/>
          <w:szCs w:val="28"/>
        </w:rPr>
      </w:pPr>
    </w:p>
    <w:p w:rsidR="00485582" w:rsidRPr="00464557" w:rsidRDefault="00485582" w:rsidP="00DA0A59">
      <w:pPr>
        <w:shd w:val="clear" w:color="auto" w:fill="FFFFFF"/>
        <w:spacing w:after="0" w:line="240" w:lineRule="auto"/>
        <w:ind w:firstLine="709"/>
        <w:jc w:val="both"/>
        <w:rPr>
          <w:rFonts w:ascii="Times New Roman" w:hAnsi="Times New Roman"/>
          <w:b/>
          <w:sz w:val="28"/>
          <w:szCs w:val="28"/>
        </w:rPr>
      </w:pPr>
    </w:p>
    <w:p w:rsidR="00485582" w:rsidRPr="00464557" w:rsidRDefault="00485582" w:rsidP="00DA0A59">
      <w:pPr>
        <w:shd w:val="clear" w:color="auto" w:fill="FFFFFF"/>
        <w:spacing w:after="0" w:line="240" w:lineRule="auto"/>
        <w:ind w:firstLine="709"/>
        <w:jc w:val="both"/>
        <w:rPr>
          <w:rFonts w:ascii="Times New Roman" w:hAnsi="Times New Roman"/>
          <w:b/>
          <w:sz w:val="28"/>
          <w:szCs w:val="28"/>
        </w:rPr>
      </w:pPr>
    </w:p>
    <w:p w:rsidR="00485582" w:rsidRPr="00464557" w:rsidRDefault="00485582" w:rsidP="00DA0A59">
      <w:pPr>
        <w:shd w:val="clear" w:color="auto" w:fill="FFFFFF"/>
        <w:spacing w:after="0" w:line="240" w:lineRule="auto"/>
        <w:ind w:firstLine="709"/>
        <w:jc w:val="both"/>
        <w:rPr>
          <w:rFonts w:ascii="Times New Roman" w:hAnsi="Times New Roman"/>
          <w:b/>
          <w:sz w:val="28"/>
          <w:szCs w:val="28"/>
        </w:rPr>
      </w:pPr>
    </w:p>
    <w:p w:rsidR="00485582" w:rsidRPr="00464557" w:rsidRDefault="00485582" w:rsidP="00DA0A59">
      <w:pPr>
        <w:shd w:val="clear" w:color="auto" w:fill="FFFFFF"/>
        <w:spacing w:after="0" w:line="240" w:lineRule="auto"/>
        <w:ind w:firstLine="709"/>
        <w:jc w:val="both"/>
        <w:rPr>
          <w:rFonts w:ascii="Times New Roman" w:hAnsi="Times New Roman"/>
          <w:b/>
          <w:sz w:val="28"/>
          <w:szCs w:val="28"/>
        </w:rPr>
      </w:pPr>
    </w:p>
    <w:p w:rsidR="00485582" w:rsidRPr="00464557" w:rsidRDefault="00485582" w:rsidP="00DA0A59">
      <w:pPr>
        <w:shd w:val="clear" w:color="auto" w:fill="FFFFFF"/>
        <w:spacing w:after="0" w:line="240" w:lineRule="auto"/>
        <w:ind w:firstLine="709"/>
        <w:jc w:val="both"/>
        <w:rPr>
          <w:rFonts w:ascii="Times New Roman" w:hAnsi="Times New Roman"/>
          <w:b/>
          <w:sz w:val="28"/>
          <w:szCs w:val="28"/>
        </w:rPr>
      </w:pPr>
    </w:p>
    <w:p w:rsidR="00485582" w:rsidRPr="00464557" w:rsidRDefault="00485582" w:rsidP="00DA0A59">
      <w:pPr>
        <w:shd w:val="clear" w:color="auto" w:fill="FFFFFF"/>
        <w:spacing w:after="0" w:line="240" w:lineRule="auto"/>
        <w:ind w:firstLine="709"/>
        <w:jc w:val="both"/>
        <w:rPr>
          <w:rFonts w:ascii="Times New Roman" w:hAnsi="Times New Roman"/>
          <w:b/>
          <w:sz w:val="28"/>
          <w:szCs w:val="28"/>
        </w:rPr>
      </w:pPr>
    </w:p>
    <w:p w:rsidR="00485582" w:rsidRPr="00464557" w:rsidRDefault="00485582" w:rsidP="00DA0A59">
      <w:pPr>
        <w:shd w:val="clear" w:color="auto" w:fill="FFFFFF"/>
        <w:spacing w:after="0" w:line="240" w:lineRule="auto"/>
        <w:ind w:firstLine="709"/>
        <w:jc w:val="both"/>
        <w:rPr>
          <w:rFonts w:ascii="Times New Roman" w:hAnsi="Times New Roman"/>
          <w:b/>
          <w:sz w:val="28"/>
          <w:szCs w:val="28"/>
        </w:rPr>
      </w:pPr>
    </w:p>
    <w:p w:rsidR="00485582" w:rsidRDefault="00485582"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Default="00DA7AAE" w:rsidP="00DA0A59">
      <w:pPr>
        <w:shd w:val="clear" w:color="auto" w:fill="FFFFFF"/>
        <w:spacing w:after="0" w:line="240" w:lineRule="auto"/>
        <w:ind w:firstLine="709"/>
        <w:jc w:val="both"/>
        <w:rPr>
          <w:rFonts w:ascii="Times New Roman" w:hAnsi="Times New Roman"/>
          <w:b/>
          <w:sz w:val="28"/>
          <w:szCs w:val="28"/>
        </w:rPr>
      </w:pPr>
    </w:p>
    <w:p w:rsidR="00DA7AAE" w:rsidRPr="00464557" w:rsidRDefault="00DA7AAE" w:rsidP="00DA0A59">
      <w:pPr>
        <w:shd w:val="clear" w:color="auto" w:fill="FFFFFF"/>
        <w:spacing w:after="0" w:line="240" w:lineRule="auto"/>
        <w:ind w:firstLine="709"/>
        <w:jc w:val="both"/>
        <w:rPr>
          <w:rFonts w:ascii="Times New Roman" w:hAnsi="Times New Roman"/>
          <w:b/>
          <w:sz w:val="28"/>
          <w:szCs w:val="28"/>
        </w:rPr>
      </w:pPr>
    </w:p>
    <w:p w:rsidR="00485582" w:rsidRPr="00464557" w:rsidRDefault="00485582" w:rsidP="00DA0A59">
      <w:pPr>
        <w:shd w:val="clear" w:color="auto" w:fill="FFFFFF"/>
        <w:spacing w:after="0" w:line="240" w:lineRule="auto"/>
        <w:ind w:firstLine="709"/>
        <w:jc w:val="both"/>
        <w:rPr>
          <w:rFonts w:ascii="Times New Roman" w:hAnsi="Times New Roman"/>
          <w:b/>
          <w:sz w:val="28"/>
          <w:szCs w:val="28"/>
        </w:rPr>
      </w:pPr>
    </w:p>
    <w:p w:rsidR="00207A6A" w:rsidRPr="00464557" w:rsidRDefault="00207A6A" w:rsidP="00207A6A">
      <w:pPr>
        <w:spacing w:after="0" w:line="240" w:lineRule="auto"/>
        <w:ind w:firstLine="709"/>
        <w:jc w:val="both"/>
        <w:rPr>
          <w:rFonts w:ascii="Times New Roman" w:eastAsia="Times New Roman" w:hAnsi="Times New Roman"/>
          <w:b/>
          <w:sz w:val="28"/>
          <w:szCs w:val="28"/>
        </w:rPr>
      </w:pPr>
      <w:r w:rsidRPr="00464557">
        <w:rPr>
          <w:rFonts w:ascii="Times New Roman" w:eastAsia="Times New Roman" w:hAnsi="Times New Roman"/>
          <w:b/>
          <w:sz w:val="28"/>
          <w:szCs w:val="28"/>
        </w:rPr>
        <w:lastRenderedPageBreak/>
        <w:t>Раздел ІІ: Дейност на териториалните прокуратури.</w:t>
      </w:r>
    </w:p>
    <w:p w:rsidR="00207A6A" w:rsidRPr="00464557" w:rsidRDefault="00207A6A" w:rsidP="00207A6A">
      <w:pPr>
        <w:spacing w:after="0" w:line="240" w:lineRule="auto"/>
        <w:ind w:firstLine="709"/>
        <w:jc w:val="both"/>
        <w:rPr>
          <w:rFonts w:ascii="Times New Roman" w:eastAsia="Times New Roman" w:hAnsi="Times New Roman"/>
          <w:b/>
          <w:sz w:val="28"/>
          <w:szCs w:val="28"/>
        </w:rPr>
      </w:pPr>
    </w:p>
    <w:p w:rsidR="00207A6A" w:rsidRPr="00464557" w:rsidRDefault="00207A6A" w:rsidP="00207A6A">
      <w:pPr>
        <w:spacing w:after="0" w:line="240" w:lineRule="auto"/>
        <w:ind w:firstLine="709"/>
        <w:jc w:val="both"/>
        <w:rPr>
          <w:rFonts w:ascii="Times New Roman" w:eastAsia="Times New Roman" w:hAnsi="Times New Roman"/>
          <w:b/>
          <w:sz w:val="28"/>
          <w:szCs w:val="28"/>
        </w:rPr>
      </w:pPr>
      <w:r w:rsidRPr="00464557">
        <w:rPr>
          <w:rFonts w:ascii="Times New Roman" w:eastAsia="Times New Roman" w:hAnsi="Times New Roman"/>
          <w:b/>
          <w:sz w:val="28"/>
          <w:szCs w:val="28"/>
        </w:rPr>
        <w:t>І. Досъдебна фаза.</w:t>
      </w:r>
    </w:p>
    <w:p w:rsidR="00207A6A" w:rsidRPr="00464557" w:rsidRDefault="00207A6A" w:rsidP="00207A6A">
      <w:pPr>
        <w:spacing w:after="0" w:line="240" w:lineRule="auto"/>
        <w:ind w:firstLine="709"/>
        <w:jc w:val="both"/>
        <w:rPr>
          <w:rFonts w:ascii="Times New Roman" w:eastAsia="Times New Roman" w:hAnsi="Times New Roman"/>
          <w:b/>
          <w:sz w:val="28"/>
          <w:szCs w:val="28"/>
        </w:rPr>
      </w:pPr>
    </w:p>
    <w:p w:rsidR="00207A6A" w:rsidRPr="00464557" w:rsidRDefault="00207A6A" w:rsidP="00207A6A">
      <w:pPr>
        <w:spacing w:after="0" w:line="240" w:lineRule="auto"/>
        <w:ind w:firstLine="709"/>
        <w:jc w:val="both"/>
        <w:rPr>
          <w:rFonts w:ascii="Times New Roman" w:eastAsia="Times New Roman" w:hAnsi="Times New Roman"/>
          <w:b/>
          <w:sz w:val="28"/>
          <w:szCs w:val="28"/>
        </w:rPr>
      </w:pPr>
      <w:r w:rsidRPr="00464557">
        <w:rPr>
          <w:rFonts w:ascii="Times New Roman" w:eastAsia="Times New Roman" w:hAnsi="Times New Roman"/>
          <w:b/>
          <w:sz w:val="28"/>
          <w:szCs w:val="28"/>
        </w:rPr>
        <w:t xml:space="preserve">1. Преписки. Проверки по чл. 145 от ЗСВ – </w:t>
      </w:r>
      <w:proofErr w:type="spellStart"/>
      <w:r w:rsidRPr="00464557">
        <w:rPr>
          <w:rFonts w:ascii="Times New Roman" w:eastAsia="Times New Roman" w:hAnsi="Times New Roman"/>
          <w:b/>
          <w:sz w:val="28"/>
          <w:szCs w:val="28"/>
        </w:rPr>
        <w:t>срочност</w:t>
      </w:r>
      <w:proofErr w:type="spellEnd"/>
      <w:r w:rsidRPr="00464557">
        <w:rPr>
          <w:rFonts w:ascii="Times New Roman" w:eastAsia="Times New Roman" w:hAnsi="Times New Roman"/>
          <w:b/>
          <w:sz w:val="28"/>
          <w:szCs w:val="28"/>
        </w:rPr>
        <w:t>, резултати, мерки.</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Дейността на прокуратурите в Разградският съдебен район през 2019 година по следствени преписки е </w:t>
      </w:r>
      <w:proofErr w:type="spellStart"/>
      <w:r w:rsidRPr="00464557">
        <w:rPr>
          <w:rFonts w:ascii="Times New Roman" w:eastAsia="Times New Roman" w:hAnsi="Times New Roman"/>
          <w:sz w:val="28"/>
          <w:szCs w:val="28"/>
        </w:rPr>
        <w:t>относима</w:t>
      </w:r>
      <w:proofErr w:type="spellEnd"/>
      <w:r w:rsidRPr="00464557">
        <w:rPr>
          <w:rFonts w:ascii="Times New Roman" w:eastAsia="Times New Roman" w:hAnsi="Times New Roman"/>
          <w:sz w:val="28"/>
          <w:szCs w:val="28"/>
        </w:rPr>
        <w:t xml:space="preserve"> към общ брой от 2918 такива, от които 2606 или 89,31% новообразувани. </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В сравнение с предходните две години, наблюдаваните преписки бележат ръст в абсолютен и относителен дял, а новообразуваните такива бележат ръст в абсолютен и сравнителна устойчивост в относителен дял:</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701"/>
        <w:gridCol w:w="1842"/>
        <w:gridCol w:w="1701"/>
      </w:tblGrid>
      <w:tr w:rsidR="00207A6A" w:rsidRPr="00464557" w:rsidTr="001977A0">
        <w:trPr>
          <w:trHeight w:val="773"/>
        </w:trPr>
        <w:tc>
          <w:tcPr>
            <w:tcW w:w="3970" w:type="dxa"/>
            <w:shd w:val="clear" w:color="auto" w:fill="auto"/>
          </w:tcPr>
          <w:p w:rsidR="00207A6A" w:rsidRPr="00464557" w:rsidRDefault="00207A6A" w:rsidP="00207A6A">
            <w:pPr>
              <w:spacing w:after="0" w:line="240" w:lineRule="auto"/>
              <w:rPr>
                <w:rFonts w:ascii="Times New Roman" w:eastAsia="Times New Roman" w:hAnsi="Times New Roman"/>
                <w:sz w:val="28"/>
                <w:szCs w:val="28"/>
              </w:rPr>
            </w:pPr>
            <w:r w:rsidRPr="00464557">
              <w:rPr>
                <w:rFonts w:ascii="Times New Roman" w:eastAsia="Times New Roman" w:hAnsi="Times New Roman"/>
                <w:sz w:val="28"/>
                <w:szCs w:val="28"/>
              </w:rPr>
              <w:t>Преписки по следствения надзор:</w:t>
            </w:r>
          </w:p>
        </w:tc>
        <w:tc>
          <w:tcPr>
            <w:tcW w:w="1701" w:type="dxa"/>
          </w:tcPr>
          <w:p w:rsidR="00207A6A" w:rsidRPr="00464557" w:rsidRDefault="00207A6A" w:rsidP="00207A6A">
            <w:pPr>
              <w:spacing w:after="0" w:line="240" w:lineRule="auto"/>
              <w:rPr>
                <w:rFonts w:ascii="Times New Roman" w:eastAsia="Times New Roman" w:hAnsi="Times New Roman"/>
                <w:sz w:val="28"/>
                <w:szCs w:val="28"/>
                <w:lang w:val="en-US"/>
              </w:rPr>
            </w:pPr>
            <w:r w:rsidRPr="00464557">
              <w:rPr>
                <w:rFonts w:ascii="Times New Roman" w:eastAsia="Times New Roman" w:hAnsi="Times New Roman"/>
                <w:sz w:val="28"/>
                <w:szCs w:val="28"/>
                <w:lang w:val="en-US"/>
              </w:rPr>
              <w:t>2019</w:t>
            </w:r>
          </w:p>
          <w:p w:rsidR="00207A6A" w:rsidRPr="00464557" w:rsidRDefault="00207A6A" w:rsidP="00207A6A">
            <w:pPr>
              <w:spacing w:after="0" w:line="240" w:lineRule="auto"/>
              <w:rPr>
                <w:rFonts w:ascii="Times New Roman" w:eastAsia="Times New Roman" w:hAnsi="Times New Roman"/>
                <w:sz w:val="28"/>
                <w:szCs w:val="28"/>
              </w:rPr>
            </w:pPr>
            <w:r w:rsidRPr="00464557">
              <w:rPr>
                <w:rFonts w:ascii="Times New Roman" w:eastAsia="Times New Roman" w:hAnsi="Times New Roman"/>
                <w:sz w:val="28"/>
                <w:szCs w:val="28"/>
              </w:rPr>
              <w:t>година</w:t>
            </w:r>
          </w:p>
        </w:tc>
        <w:tc>
          <w:tcPr>
            <w:tcW w:w="1842" w:type="dxa"/>
            <w:shd w:val="clear" w:color="auto" w:fill="auto"/>
          </w:tcPr>
          <w:p w:rsidR="00207A6A" w:rsidRPr="00464557" w:rsidRDefault="00207A6A" w:rsidP="00207A6A">
            <w:pPr>
              <w:spacing w:after="0" w:line="240" w:lineRule="auto"/>
              <w:rPr>
                <w:rFonts w:ascii="Times New Roman" w:eastAsia="Times New Roman" w:hAnsi="Times New Roman"/>
                <w:sz w:val="28"/>
                <w:szCs w:val="28"/>
              </w:rPr>
            </w:pPr>
            <w:r w:rsidRPr="00464557">
              <w:rPr>
                <w:rFonts w:ascii="Times New Roman" w:eastAsia="Times New Roman" w:hAnsi="Times New Roman"/>
                <w:sz w:val="28"/>
                <w:szCs w:val="28"/>
              </w:rPr>
              <w:t>2018</w:t>
            </w:r>
          </w:p>
          <w:p w:rsidR="00207A6A" w:rsidRPr="00464557" w:rsidRDefault="00207A6A" w:rsidP="00207A6A">
            <w:pPr>
              <w:spacing w:after="0" w:line="240" w:lineRule="auto"/>
              <w:rPr>
                <w:rFonts w:ascii="Times New Roman" w:eastAsia="Times New Roman" w:hAnsi="Times New Roman"/>
                <w:sz w:val="28"/>
                <w:szCs w:val="28"/>
              </w:rPr>
            </w:pPr>
            <w:r w:rsidRPr="00464557">
              <w:rPr>
                <w:rFonts w:ascii="Times New Roman" w:eastAsia="Times New Roman" w:hAnsi="Times New Roman"/>
                <w:sz w:val="28"/>
                <w:szCs w:val="28"/>
              </w:rPr>
              <w:t>година</w:t>
            </w:r>
          </w:p>
        </w:tc>
        <w:tc>
          <w:tcPr>
            <w:tcW w:w="1701"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2017</w:t>
            </w: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година</w:t>
            </w:r>
          </w:p>
        </w:tc>
      </w:tr>
      <w:tr w:rsidR="00207A6A" w:rsidRPr="00464557" w:rsidTr="00A27CB5">
        <w:trPr>
          <w:trHeight w:val="527"/>
        </w:trPr>
        <w:tc>
          <w:tcPr>
            <w:tcW w:w="3970" w:type="dxa"/>
            <w:shd w:val="clear" w:color="auto" w:fill="auto"/>
          </w:tcPr>
          <w:p w:rsidR="00207A6A" w:rsidRPr="00464557" w:rsidRDefault="00207A6A" w:rsidP="00207A6A">
            <w:pPr>
              <w:spacing w:after="0" w:line="240" w:lineRule="auto"/>
              <w:rPr>
                <w:rFonts w:ascii="Times New Roman" w:eastAsia="Times New Roman" w:hAnsi="Times New Roman"/>
                <w:sz w:val="28"/>
                <w:szCs w:val="28"/>
              </w:rPr>
            </w:pPr>
            <w:r w:rsidRPr="00464557">
              <w:rPr>
                <w:rFonts w:ascii="Times New Roman" w:eastAsia="Times New Roman" w:hAnsi="Times New Roman"/>
                <w:sz w:val="28"/>
                <w:szCs w:val="28"/>
              </w:rPr>
              <w:t>Наблюдавани преписки</w:t>
            </w:r>
          </w:p>
        </w:tc>
        <w:tc>
          <w:tcPr>
            <w:tcW w:w="1701" w:type="dxa"/>
          </w:tcPr>
          <w:p w:rsidR="00207A6A" w:rsidRPr="00464557" w:rsidRDefault="00207A6A" w:rsidP="00207A6A">
            <w:pPr>
              <w:spacing w:after="0" w:line="240" w:lineRule="auto"/>
              <w:rPr>
                <w:rFonts w:ascii="Times New Roman" w:eastAsia="Times New Roman" w:hAnsi="Times New Roman"/>
                <w:sz w:val="28"/>
                <w:szCs w:val="28"/>
              </w:rPr>
            </w:pPr>
            <w:r w:rsidRPr="00464557">
              <w:rPr>
                <w:rFonts w:ascii="Times New Roman" w:eastAsia="Times New Roman" w:hAnsi="Times New Roman"/>
                <w:sz w:val="28"/>
                <w:szCs w:val="28"/>
              </w:rPr>
              <w:t>2918</w:t>
            </w:r>
          </w:p>
        </w:tc>
        <w:tc>
          <w:tcPr>
            <w:tcW w:w="1842" w:type="dxa"/>
            <w:shd w:val="clear" w:color="auto" w:fill="auto"/>
          </w:tcPr>
          <w:p w:rsidR="00207A6A" w:rsidRPr="00464557" w:rsidRDefault="00207A6A" w:rsidP="00207A6A">
            <w:pPr>
              <w:spacing w:after="0" w:line="240" w:lineRule="auto"/>
              <w:rPr>
                <w:rFonts w:ascii="Times New Roman" w:eastAsia="Times New Roman" w:hAnsi="Times New Roman"/>
                <w:sz w:val="28"/>
                <w:szCs w:val="28"/>
              </w:rPr>
            </w:pPr>
            <w:r w:rsidRPr="00464557">
              <w:rPr>
                <w:rFonts w:ascii="Times New Roman" w:eastAsia="Times New Roman" w:hAnsi="Times New Roman"/>
                <w:sz w:val="28"/>
                <w:szCs w:val="28"/>
              </w:rPr>
              <w:t>2620</w:t>
            </w:r>
          </w:p>
        </w:tc>
        <w:tc>
          <w:tcPr>
            <w:tcW w:w="1701"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2669</w:t>
            </w:r>
          </w:p>
        </w:tc>
      </w:tr>
      <w:tr w:rsidR="00207A6A" w:rsidRPr="00464557" w:rsidTr="00A27CB5">
        <w:trPr>
          <w:trHeight w:val="563"/>
        </w:trPr>
        <w:tc>
          <w:tcPr>
            <w:tcW w:w="3970" w:type="dxa"/>
            <w:shd w:val="clear" w:color="auto" w:fill="auto"/>
          </w:tcPr>
          <w:p w:rsidR="00207A6A" w:rsidRPr="00464557" w:rsidRDefault="00207A6A" w:rsidP="00207A6A">
            <w:pPr>
              <w:spacing w:after="0" w:line="240" w:lineRule="auto"/>
              <w:rPr>
                <w:rFonts w:ascii="Times New Roman" w:eastAsia="Times New Roman" w:hAnsi="Times New Roman"/>
                <w:sz w:val="28"/>
                <w:szCs w:val="28"/>
              </w:rPr>
            </w:pPr>
            <w:r w:rsidRPr="00464557">
              <w:rPr>
                <w:rFonts w:ascii="Times New Roman" w:eastAsia="Times New Roman" w:hAnsi="Times New Roman"/>
                <w:sz w:val="28"/>
                <w:szCs w:val="28"/>
              </w:rPr>
              <w:t>Новообразувани преписки</w:t>
            </w:r>
          </w:p>
        </w:tc>
        <w:tc>
          <w:tcPr>
            <w:tcW w:w="1701" w:type="dxa"/>
          </w:tcPr>
          <w:p w:rsidR="00207A6A" w:rsidRPr="00464557" w:rsidRDefault="00207A6A" w:rsidP="00207A6A">
            <w:pPr>
              <w:spacing w:after="0" w:line="240" w:lineRule="auto"/>
              <w:rPr>
                <w:rFonts w:ascii="Times New Roman" w:eastAsia="Times New Roman" w:hAnsi="Times New Roman"/>
                <w:sz w:val="28"/>
                <w:szCs w:val="28"/>
              </w:rPr>
            </w:pPr>
            <w:r w:rsidRPr="00464557">
              <w:rPr>
                <w:rFonts w:ascii="Times New Roman" w:eastAsia="Times New Roman" w:hAnsi="Times New Roman"/>
                <w:sz w:val="28"/>
                <w:szCs w:val="28"/>
              </w:rPr>
              <w:t>2606</w:t>
            </w:r>
          </w:p>
        </w:tc>
        <w:tc>
          <w:tcPr>
            <w:tcW w:w="1842" w:type="dxa"/>
            <w:shd w:val="clear" w:color="auto" w:fill="auto"/>
          </w:tcPr>
          <w:p w:rsidR="00207A6A" w:rsidRPr="00464557" w:rsidRDefault="00207A6A" w:rsidP="00207A6A">
            <w:pPr>
              <w:spacing w:after="0" w:line="240" w:lineRule="auto"/>
              <w:rPr>
                <w:rFonts w:ascii="Times New Roman" w:eastAsia="Times New Roman" w:hAnsi="Times New Roman"/>
                <w:sz w:val="28"/>
                <w:szCs w:val="28"/>
              </w:rPr>
            </w:pPr>
            <w:r w:rsidRPr="00464557">
              <w:rPr>
                <w:rFonts w:ascii="Times New Roman" w:eastAsia="Times New Roman" w:hAnsi="Times New Roman"/>
                <w:sz w:val="28"/>
                <w:szCs w:val="28"/>
              </w:rPr>
              <w:t>2402</w:t>
            </w:r>
          </w:p>
        </w:tc>
        <w:tc>
          <w:tcPr>
            <w:tcW w:w="1701"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2384</w:t>
            </w:r>
          </w:p>
        </w:tc>
      </w:tr>
      <w:tr w:rsidR="00207A6A" w:rsidRPr="00464557" w:rsidTr="00207A6A">
        <w:tc>
          <w:tcPr>
            <w:tcW w:w="3970" w:type="dxa"/>
            <w:shd w:val="clear" w:color="auto" w:fill="auto"/>
          </w:tcPr>
          <w:p w:rsidR="00207A6A" w:rsidRPr="00464557" w:rsidRDefault="00207A6A" w:rsidP="00207A6A">
            <w:pPr>
              <w:spacing w:after="0" w:line="240" w:lineRule="auto"/>
              <w:rPr>
                <w:rFonts w:ascii="Times New Roman" w:eastAsia="Times New Roman" w:hAnsi="Times New Roman"/>
                <w:sz w:val="28"/>
                <w:szCs w:val="28"/>
              </w:rPr>
            </w:pPr>
            <w:r w:rsidRPr="00464557">
              <w:rPr>
                <w:rFonts w:ascii="Times New Roman" w:eastAsia="Times New Roman" w:hAnsi="Times New Roman"/>
                <w:sz w:val="28"/>
                <w:szCs w:val="28"/>
              </w:rPr>
              <w:t xml:space="preserve">Относителен дял на </w:t>
            </w:r>
          </w:p>
          <w:p w:rsidR="00207A6A" w:rsidRPr="00464557" w:rsidRDefault="00207A6A" w:rsidP="00207A6A">
            <w:pPr>
              <w:spacing w:after="0" w:line="240" w:lineRule="auto"/>
              <w:rPr>
                <w:rFonts w:ascii="Times New Roman" w:eastAsia="Times New Roman" w:hAnsi="Times New Roman"/>
                <w:sz w:val="28"/>
                <w:szCs w:val="28"/>
              </w:rPr>
            </w:pPr>
            <w:r w:rsidRPr="00464557">
              <w:rPr>
                <w:rFonts w:ascii="Times New Roman" w:eastAsia="Times New Roman" w:hAnsi="Times New Roman"/>
                <w:sz w:val="28"/>
                <w:szCs w:val="28"/>
              </w:rPr>
              <w:t>новообразуваните преписки</w:t>
            </w:r>
          </w:p>
        </w:tc>
        <w:tc>
          <w:tcPr>
            <w:tcW w:w="1701" w:type="dxa"/>
          </w:tcPr>
          <w:p w:rsidR="00207A6A" w:rsidRPr="00464557" w:rsidRDefault="00207A6A" w:rsidP="00207A6A">
            <w:pPr>
              <w:spacing w:after="0" w:line="240" w:lineRule="auto"/>
              <w:rPr>
                <w:rFonts w:ascii="Times New Roman" w:eastAsia="Times New Roman" w:hAnsi="Times New Roman"/>
                <w:sz w:val="28"/>
                <w:szCs w:val="28"/>
              </w:rPr>
            </w:pPr>
            <w:r w:rsidRPr="00464557">
              <w:rPr>
                <w:rFonts w:ascii="Times New Roman" w:eastAsia="Times New Roman" w:hAnsi="Times New Roman"/>
                <w:sz w:val="28"/>
                <w:szCs w:val="28"/>
              </w:rPr>
              <w:t>89,31%</w:t>
            </w:r>
          </w:p>
        </w:tc>
        <w:tc>
          <w:tcPr>
            <w:tcW w:w="1842" w:type="dxa"/>
            <w:shd w:val="clear" w:color="auto" w:fill="auto"/>
          </w:tcPr>
          <w:p w:rsidR="00207A6A" w:rsidRPr="00464557" w:rsidRDefault="00207A6A" w:rsidP="00207A6A">
            <w:pPr>
              <w:spacing w:after="0" w:line="240" w:lineRule="auto"/>
              <w:rPr>
                <w:rFonts w:ascii="Times New Roman" w:eastAsia="Times New Roman" w:hAnsi="Times New Roman"/>
                <w:sz w:val="28"/>
                <w:szCs w:val="28"/>
              </w:rPr>
            </w:pPr>
            <w:r w:rsidRPr="00464557">
              <w:rPr>
                <w:rFonts w:ascii="Times New Roman" w:eastAsia="Times New Roman" w:hAnsi="Times New Roman"/>
                <w:sz w:val="28"/>
                <w:szCs w:val="28"/>
              </w:rPr>
              <w:t>91,68%</w:t>
            </w:r>
          </w:p>
        </w:tc>
        <w:tc>
          <w:tcPr>
            <w:tcW w:w="1701"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89,3 %</w:t>
            </w:r>
          </w:p>
        </w:tc>
      </w:tr>
    </w:tbl>
    <w:p w:rsidR="00207A6A" w:rsidRPr="00464557" w:rsidRDefault="00207A6A" w:rsidP="00207A6A">
      <w:pPr>
        <w:spacing w:after="0" w:line="240" w:lineRule="auto"/>
        <w:ind w:firstLine="709"/>
        <w:jc w:val="both"/>
        <w:rPr>
          <w:rFonts w:ascii="Times New Roman" w:eastAsia="Times New Roman" w:hAnsi="Times New Roman"/>
          <w:sz w:val="28"/>
          <w:szCs w:val="28"/>
        </w:rPr>
      </w:pP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Разпределението на преписките по следствения надзор по прокуратури в съдебния район е както следва:</w:t>
      </w:r>
    </w:p>
    <w:p w:rsidR="00A27CB5" w:rsidRPr="00464557" w:rsidRDefault="00A27CB5" w:rsidP="00207A6A">
      <w:pPr>
        <w:spacing w:after="0" w:line="240" w:lineRule="auto"/>
        <w:ind w:firstLine="709"/>
        <w:contextualSpacing/>
        <w:jc w:val="both"/>
        <w:rPr>
          <w:rFonts w:ascii="Times New Roman" w:eastAsia="Times New Roman" w:hAnsi="Times New Roman"/>
          <w:sz w:val="28"/>
          <w:szCs w:val="28"/>
        </w:rPr>
      </w:pPr>
    </w:p>
    <w:p w:rsidR="00207A6A" w:rsidRPr="00464557" w:rsidRDefault="00207A6A" w:rsidP="00207A6A">
      <w:pPr>
        <w:spacing w:after="0" w:line="240" w:lineRule="auto"/>
        <w:contextualSpacing/>
        <w:jc w:val="both"/>
        <w:rPr>
          <w:rFonts w:ascii="Times New Roman" w:eastAsia="Times New Roman" w:hAnsi="Times New Roman"/>
          <w:sz w:val="28"/>
          <w:szCs w:val="28"/>
        </w:rPr>
      </w:pPr>
      <w:r w:rsidRPr="00464557">
        <w:rPr>
          <w:rFonts w:ascii="Times New Roman" w:eastAsia="Times New Roman" w:hAnsi="Times New Roman"/>
          <w:noProof/>
          <w:sz w:val="28"/>
          <w:szCs w:val="28"/>
          <w:lang w:eastAsia="bg-BG"/>
        </w:rPr>
        <w:drawing>
          <wp:inline distT="0" distB="0" distL="0" distR="0" wp14:anchorId="4E6919A4" wp14:editId="310978C1">
            <wp:extent cx="5905500" cy="3143250"/>
            <wp:effectExtent l="0" t="0" r="19050" b="19050"/>
            <wp:docPr id="2" name="Об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64557">
        <w:t xml:space="preserve">  </w:t>
      </w:r>
      <w:r w:rsidRPr="00464557">
        <w:rPr>
          <w:rFonts w:ascii="Times New Roman" w:eastAsia="Times New Roman" w:hAnsi="Times New Roman"/>
          <w:sz w:val="28"/>
          <w:szCs w:val="28"/>
        </w:rPr>
        <w:t xml:space="preserve"> </w:t>
      </w:r>
      <w:r w:rsidR="001E5F5A" w:rsidRPr="00464557">
        <w:rPr>
          <w:rFonts w:ascii="Times New Roman" w:eastAsia="Times New Roman" w:hAnsi="Times New Roman"/>
          <w:sz w:val="28"/>
          <w:szCs w:val="28"/>
        </w:rPr>
        <w:t xml:space="preserve">   </w:t>
      </w:r>
      <w:r w:rsidRPr="00464557">
        <w:rPr>
          <w:rFonts w:ascii="Times New Roman" w:eastAsia="Times New Roman" w:hAnsi="Times New Roman"/>
          <w:sz w:val="28"/>
          <w:szCs w:val="28"/>
        </w:rPr>
        <w:t>Фиг.1 Разпределение на следствените преписки по съставни прокуратури</w:t>
      </w:r>
    </w:p>
    <w:p w:rsidR="00207A6A" w:rsidRPr="00464557" w:rsidRDefault="00207A6A" w:rsidP="00207A6A">
      <w:pPr>
        <w:spacing w:after="0" w:line="240" w:lineRule="auto"/>
        <w:ind w:firstLine="709"/>
        <w:rPr>
          <w:rFonts w:ascii="Times New Roman" w:eastAsia="Times New Roman" w:hAnsi="Times New Roman"/>
          <w:sz w:val="28"/>
          <w:szCs w:val="28"/>
        </w:rPr>
      </w:pP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Окръжна прокуратура - Разград</w:t>
      </w:r>
      <w:r w:rsidRPr="00464557">
        <w:rPr>
          <w:rFonts w:ascii="Times New Roman" w:eastAsia="Times New Roman" w:hAnsi="Times New Roman"/>
          <w:sz w:val="28"/>
          <w:szCs w:val="28"/>
        </w:rPr>
        <w:t xml:space="preserve"> през 2019 година  са наблюдавани 363 новообразувани преписки, при 347 за 2018г. и  413 за 2017г.</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Данните сочат на лек ръст в сравнение с предходните години. </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lastRenderedPageBreak/>
        <w:t>В  Р</w:t>
      </w:r>
      <w:r w:rsidRPr="00464557">
        <w:rPr>
          <w:rFonts w:ascii="Times New Roman" w:eastAsia="Times New Roman" w:hAnsi="Times New Roman"/>
          <w:sz w:val="28"/>
          <w:szCs w:val="28"/>
          <w:u w:val="single"/>
        </w:rPr>
        <w:t xml:space="preserve">айонна прокуратура - Разград </w:t>
      </w:r>
      <w:proofErr w:type="spellStart"/>
      <w:r w:rsidRPr="00464557">
        <w:rPr>
          <w:rFonts w:ascii="Times New Roman" w:eastAsia="Times New Roman" w:hAnsi="Times New Roman"/>
          <w:sz w:val="28"/>
          <w:szCs w:val="28"/>
        </w:rPr>
        <w:t>новобразуваните</w:t>
      </w:r>
      <w:proofErr w:type="spellEnd"/>
      <w:r w:rsidRPr="00464557">
        <w:rPr>
          <w:rFonts w:ascii="Times New Roman" w:eastAsia="Times New Roman" w:hAnsi="Times New Roman"/>
          <w:sz w:val="28"/>
          <w:szCs w:val="28"/>
        </w:rPr>
        <w:t xml:space="preserve"> преписки са 1198, при 1130 за 2018г. и 1118 за 2017г. и очертават тенденция на ръст.</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Районна прокуратура - Исперих</w:t>
      </w:r>
      <w:r w:rsidRPr="00464557">
        <w:rPr>
          <w:rFonts w:ascii="Times New Roman" w:eastAsia="Times New Roman" w:hAnsi="Times New Roman"/>
          <w:sz w:val="28"/>
          <w:szCs w:val="28"/>
        </w:rPr>
        <w:t xml:space="preserve"> </w:t>
      </w:r>
      <w:proofErr w:type="spellStart"/>
      <w:r w:rsidRPr="00464557">
        <w:rPr>
          <w:rFonts w:ascii="Times New Roman" w:eastAsia="Times New Roman" w:hAnsi="Times New Roman"/>
          <w:sz w:val="28"/>
          <w:szCs w:val="28"/>
        </w:rPr>
        <w:t>новобразуваните</w:t>
      </w:r>
      <w:proofErr w:type="spellEnd"/>
      <w:r w:rsidRPr="00464557">
        <w:rPr>
          <w:rFonts w:ascii="Times New Roman" w:eastAsia="Times New Roman" w:hAnsi="Times New Roman"/>
          <w:sz w:val="28"/>
          <w:szCs w:val="28"/>
        </w:rPr>
        <w:t xml:space="preserve"> преписки са 625, при 658 за 2018г. и 611 за 2017 г. Данните сочат на спад в сравнение с предходната година.</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Районна прокуратура - Кубрат</w:t>
      </w:r>
      <w:r w:rsidRPr="00464557">
        <w:rPr>
          <w:rFonts w:ascii="Times New Roman" w:eastAsia="Times New Roman" w:hAnsi="Times New Roman"/>
          <w:sz w:val="28"/>
          <w:szCs w:val="28"/>
        </w:rPr>
        <w:t xml:space="preserve"> новообразуваните през 2019 г. преписки са 420, при 267 за 2018г. и 242 за 2017 г. и бележат значителен ръст.</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Решените преписки през отчетния период за съдебния район са общо 2751 и съставляват 94,28%  от всички наблюдавани.</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Решените преписки през 2018 г. за съдебния район са били общо 2528 и съставляват 96,49% от наблюдаваните.</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Решените преписки през 2017 г. за съдебния район са били общо 2506 и съставляват 94% от наблюдаваните.</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Относителния дял на решените преписки спрямо предходната година  бележи лек спад.</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Абсолютният дял на решените преписки през 2019г. бележи значителен ръст спрямо предходните два отчетни периода:</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p>
    <w:p w:rsidR="00207A6A" w:rsidRPr="00464557" w:rsidRDefault="00207A6A" w:rsidP="00207A6A">
      <w:pPr>
        <w:spacing w:after="0" w:line="240" w:lineRule="auto"/>
        <w:contextualSpacing/>
        <w:jc w:val="both"/>
        <w:rPr>
          <w:rFonts w:ascii="Times New Roman" w:eastAsia="Times New Roman" w:hAnsi="Times New Roman"/>
          <w:sz w:val="28"/>
          <w:szCs w:val="28"/>
        </w:rPr>
      </w:pPr>
      <w:r w:rsidRPr="00464557">
        <w:rPr>
          <w:rFonts w:ascii="Times New Roman" w:eastAsia="Times New Roman" w:hAnsi="Times New Roman"/>
          <w:noProof/>
          <w:sz w:val="28"/>
          <w:szCs w:val="28"/>
          <w:lang w:eastAsia="bg-BG"/>
        </w:rPr>
        <w:drawing>
          <wp:inline distT="0" distB="0" distL="0" distR="0" wp14:anchorId="536A453A" wp14:editId="2EEE95FE">
            <wp:extent cx="5876925" cy="2962275"/>
            <wp:effectExtent l="0" t="0" r="9525" b="9525"/>
            <wp:docPr id="5" name="Об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64557">
        <w:t xml:space="preserve"> </w:t>
      </w:r>
      <w:r w:rsidR="00A27CB5" w:rsidRPr="00464557">
        <w:t xml:space="preserve">            </w:t>
      </w:r>
      <w:r w:rsidRPr="00464557">
        <w:t xml:space="preserve"> </w:t>
      </w:r>
      <w:r w:rsidRPr="00464557">
        <w:rPr>
          <w:rFonts w:ascii="Times New Roman" w:eastAsia="Times New Roman" w:hAnsi="Times New Roman"/>
          <w:sz w:val="28"/>
          <w:szCs w:val="28"/>
        </w:rPr>
        <w:t>Фиг.2 Съотношение между наблюдавани и решени преписки</w:t>
      </w:r>
    </w:p>
    <w:p w:rsidR="00207A6A" w:rsidRPr="00464557" w:rsidRDefault="00207A6A" w:rsidP="00207A6A">
      <w:pPr>
        <w:spacing w:after="0" w:line="240" w:lineRule="auto"/>
        <w:contextualSpacing/>
        <w:jc w:val="both"/>
        <w:rPr>
          <w:rFonts w:ascii="Times New Roman" w:eastAsia="Times New Roman" w:hAnsi="Times New Roman"/>
          <w:sz w:val="28"/>
          <w:szCs w:val="28"/>
        </w:rPr>
      </w:pP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Окръжна прокуратура - Разград</w:t>
      </w:r>
      <w:r w:rsidRPr="00464557">
        <w:rPr>
          <w:rFonts w:ascii="Times New Roman" w:eastAsia="Times New Roman" w:hAnsi="Times New Roman"/>
          <w:sz w:val="28"/>
          <w:szCs w:val="28"/>
        </w:rPr>
        <w:t xml:space="preserve"> са решени 398 преписки, които бележат увеличение с 3,4%  спрямо решените през 2018г., а именно 385 и  са с 23,9% по-малко от  решените през 2017 г., когато са били 523. </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Районна прокуратура - Разград</w:t>
      </w:r>
      <w:r w:rsidRPr="00464557">
        <w:rPr>
          <w:rFonts w:ascii="Times New Roman" w:eastAsia="Times New Roman" w:hAnsi="Times New Roman"/>
          <w:sz w:val="28"/>
          <w:szCs w:val="28"/>
        </w:rPr>
        <w:t xml:space="preserve"> са решени 1272 преписки, които бележат увеличение със 7,2% спрямо тези през 2018 г. - 1187 и увеличение с 13,98%  спрямо 2017 г. - 1116.</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Районна прокуратура - Исперих</w:t>
      </w:r>
      <w:r w:rsidRPr="00464557">
        <w:rPr>
          <w:rFonts w:ascii="Times New Roman" w:eastAsia="Times New Roman" w:hAnsi="Times New Roman"/>
          <w:sz w:val="28"/>
          <w:szCs w:val="28"/>
        </w:rPr>
        <w:t xml:space="preserve"> са решени 664 следствени преписки, които са с 0,75% по-малко от  решените през 2018 г.- 679 и бележат увеличение с 8,32% увеличение спрямо решените  през 2017 г. - 613 преписки.</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lastRenderedPageBreak/>
        <w:t xml:space="preserve">В </w:t>
      </w:r>
      <w:r w:rsidRPr="00464557">
        <w:rPr>
          <w:rFonts w:ascii="Times New Roman" w:eastAsia="Times New Roman" w:hAnsi="Times New Roman"/>
          <w:sz w:val="28"/>
          <w:szCs w:val="28"/>
          <w:u w:val="single"/>
        </w:rPr>
        <w:t>Районна прокуратура - Кубрат</w:t>
      </w:r>
      <w:r w:rsidRPr="00464557">
        <w:rPr>
          <w:rFonts w:ascii="Times New Roman" w:eastAsia="Times New Roman" w:hAnsi="Times New Roman"/>
          <w:sz w:val="28"/>
          <w:szCs w:val="28"/>
        </w:rPr>
        <w:t xml:space="preserve"> са решени 417 преписки по следствения надзор, които са с 50,54 % повече спрямо решените през 2018г., а именно 277 и с 64,17% спрямо 2017 г., когато са били 254.</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Окръжна прокуратура - Разград</w:t>
      </w:r>
      <w:r w:rsidRPr="00464557">
        <w:rPr>
          <w:rFonts w:ascii="Times New Roman" w:eastAsia="Times New Roman" w:hAnsi="Times New Roman"/>
          <w:sz w:val="28"/>
          <w:szCs w:val="28"/>
        </w:rPr>
        <w:t xml:space="preserve"> относителният дял на решените следствени преписки спрямо наблюдаваните такива е 94,1%</w:t>
      </w:r>
      <w:r w:rsidRPr="00464557">
        <w:rPr>
          <w:rFonts w:ascii="Times New Roman" w:eastAsia="Times New Roman" w:hAnsi="Times New Roman"/>
          <w:sz w:val="28"/>
          <w:szCs w:val="28"/>
          <w:u w:val="single"/>
        </w:rPr>
        <w:t>,</w:t>
      </w:r>
      <w:r w:rsidRPr="00464557">
        <w:rPr>
          <w:rFonts w:ascii="Times New Roman" w:eastAsia="Times New Roman" w:hAnsi="Times New Roman"/>
          <w:sz w:val="28"/>
          <w:szCs w:val="28"/>
        </w:rPr>
        <w:t xml:space="preserve"> при 97,7% за 2018г. и 98% за 2017г.</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Районна прокуратура - Разград</w:t>
      </w:r>
      <w:r w:rsidRPr="00464557">
        <w:rPr>
          <w:rFonts w:ascii="Times New Roman" w:eastAsia="Times New Roman" w:hAnsi="Times New Roman"/>
          <w:sz w:val="28"/>
          <w:szCs w:val="28"/>
        </w:rPr>
        <w:t xml:space="preserve"> решените преписки съставляват 95,86% от всички наблюдавани, при 97,4% за 2018г. и  93% за 2017г.</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Районна прокуратура - Исперих</w:t>
      </w:r>
      <w:r w:rsidRPr="00464557">
        <w:rPr>
          <w:rFonts w:ascii="Times New Roman" w:eastAsia="Times New Roman" w:hAnsi="Times New Roman"/>
          <w:sz w:val="28"/>
          <w:szCs w:val="28"/>
        </w:rPr>
        <w:t xml:space="preserve"> решените преписки съставляват 93,4% от наблюдаваните, при 95,9% за 2018 г. и 94% за 2017 г.</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Районна прокуратура - Кубрат</w:t>
      </w:r>
      <w:r w:rsidRPr="00464557">
        <w:rPr>
          <w:rFonts w:ascii="Times New Roman" w:eastAsia="Times New Roman" w:hAnsi="Times New Roman"/>
          <w:sz w:val="28"/>
          <w:szCs w:val="28"/>
        </w:rPr>
        <w:t xml:space="preserve"> решените следствени преписки през 2019 г. съставляват 91,5% от наблюдаваните, при 92,6% за 2018 г. и 92% за 2017 г.</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Всички преписки по следствения надзор в съдебния район са решени в срок до 1 месец .</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края на отчетния период са останали нерешени 167 преписки, които съставляват 6,7 % от наблюдаваните. </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За предходния отчетен период делът на тези преписки е съставлявал 3,5%, а за 2017 г. – 6%.</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Няма останали нерешени преписки при прокурор в срок над 1 месец.</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По 1704 от решените преписки е постановен отказ да се образува  досъдебно производство.Тези преписки съставляват 61,9% от всички решени.</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През предходния отчетен период тези преписки са  били 1623 и са съставлявали 64,2%, а през 2017 г. - 1476 и са съставлявали 59%.</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Налице е увеличение в абсолютна стойност на преписките, по които са образувани досъдебни производства:</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897"/>
        <w:gridCol w:w="1751"/>
        <w:gridCol w:w="1596"/>
      </w:tblGrid>
      <w:tr w:rsidR="00207A6A" w:rsidRPr="00464557" w:rsidTr="00A27CB5">
        <w:trPr>
          <w:trHeight w:val="757"/>
        </w:trPr>
        <w:tc>
          <w:tcPr>
            <w:tcW w:w="3970"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По години</w:t>
            </w:r>
          </w:p>
        </w:tc>
        <w:tc>
          <w:tcPr>
            <w:tcW w:w="1897" w:type="dxa"/>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2019</w:t>
            </w: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година</w:t>
            </w:r>
          </w:p>
        </w:tc>
        <w:tc>
          <w:tcPr>
            <w:tcW w:w="1751"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2018</w:t>
            </w: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година</w:t>
            </w:r>
          </w:p>
        </w:tc>
        <w:tc>
          <w:tcPr>
            <w:tcW w:w="1596"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2017</w:t>
            </w: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година</w:t>
            </w:r>
          </w:p>
        </w:tc>
      </w:tr>
      <w:tr w:rsidR="00207A6A" w:rsidRPr="00464557" w:rsidTr="00207A6A">
        <w:trPr>
          <w:trHeight w:val="402"/>
        </w:trPr>
        <w:tc>
          <w:tcPr>
            <w:tcW w:w="3970"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Решени следствени преписки</w:t>
            </w:r>
          </w:p>
          <w:p w:rsidR="00207A6A" w:rsidRPr="00464557" w:rsidRDefault="00207A6A" w:rsidP="00207A6A">
            <w:pPr>
              <w:spacing w:after="0" w:line="240" w:lineRule="auto"/>
              <w:ind w:firstLine="709"/>
              <w:jc w:val="both"/>
              <w:rPr>
                <w:rFonts w:ascii="Times New Roman" w:eastAsia="Times New Roman" w:hAnsi="Times New Roman"/>
                <w:sz w:val="28"/>
                <w:szCs w:val="28"/>
              </w:rPr>
            </w:pPr>
          </w:p>
        </w:tc>
        <w:tc>
          <w:tcPr>
            <w:tcW w:w="1897" w:type="dxa"/>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2751</w:t>
            </w:r>
          </w:p>
        </w:tc>
        <w:tc>
          <w:tcPr>
            <w:tcW w:w="1751"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2528</w:t>
            </w:r>
          </w:p>
        </w:tc>
        <w:tc>
          <w:tcPr>
            <w:tcW w:w="1596"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2506</w:t>
            </w:r>
          </w:p>
        </w:tc>
      </w:tr>
      <w:tr w:rsidR="00207A6A" w:rsidRPr="00464557" w:rsidTr="00207A6A">
        <w:tc>
          <w:tcPr>
            <w:tcW w:w="3970"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Постановени откази</w:t>
            </w:r>
          </w:p>
        </w:tc>
        <w:tc>
          <w:tcPr>
            <w:tcW w:w="1897" w:type="dxa"/>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1704 - 61,9%</w:t>
            </w:r>
          </w:p>
        </w:tc>
        <w:tc>
          <w:tcPr>
            <w:tcW w:w="1751"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1623 - 64,2%</w:t>
            </w:r>
          </w:p>
          <w:p w:rsidR="00207A6A" w:rsidRPr="00464557" w:rsidRDefault="00207A6A" w:rsidP="00207A6A">
            <w:pPr>
              <w:spacing w:after="0" w:line="240" w:lineRule="auto"/>
              <w:ind w:firstLine="709"/>
              <w:jc w:val="both"/>
              <w:rPr>
                <w:rFonts w:ascii="Times New Roman" w:eastAsia="Times New Roman" w:hAnsi="Times New Roman"/>
                <w:sz w:val="28"/>
                <w:szCs w:val="28"/>
              </w:rPr>
            </w:pPr>
          </w:p>
        </w:tc>
        <w:tc>
          <w:tcPr>
            <w:tcW w:w="1596"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1476 – 59%</w:t>
            </w:r>
          </w:p>
        </w:tc>
      </w:tr>
      <w:tr w:rsidR="00207A6A" w:rsidRPr="00464557" w:rsidTr="00207A6A">
        <w:tc>
          <w:tcPr>
            <w:tcW w:w="3970"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Образувани ДП</w:t>
            </w:r>
          </w:p>
        </w:tc>
        <w:tc>
          <w:tcPr>
            <w:tcW w:w="1897" w:type="dxa"/>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524 – 19%</w:t>
            </w:r>
          </w:p>
        </w:tc>
        <w:tc>
          <w:tcPr>
            <w:tcW w:w="1751"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455 – 18%</w:t>
            </w:r>
          </w:p>
        </w:tc>
        <w:tc>
          <w:tcPr>
            <w:tcW w:w="1596"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486 - 19,4%</w:t>
            </w:r>
          </w:p>
          <w:p w:rsidR="00207A6A" w:rsidRPr="00464557" w:rsidRDefault="00207A6A" w:rsidP="00207A6A">
            <w:pPr>
              <w:spacing w:after="0" w:line="240" w:lineRule="auto"/>
              <w:ind w:firstLine="709"/>
              <w:jc w:val="both"/>
              <w:rPr>
                <w:rFonts w:ascii="Times New Roman" w:eastAsia="Times New Roman" w:hAnsi="Times New Roman"/>
                <w:sz w:val="28"/>
                <w:szCs w:val="28"/>
              </w:rPr>
            </w:pPr>
          </w:p>
        </w:tc>
      </w:tr>
    </w:tbl>
    <w:p w:rsidR="00207A6A" w:rsidRPr="00464557" w:rsidRDefault="00207A6A" w:rsidP="00207A6A">
      <w:pPr>
        <w:spacing w:after="0" w:line="240" w:lineRule="auto"/>
        <w:ind w:firstLine="709"/>
        <w:rPr>
          <w:rFonts w:ascii="Times New Roman" w:eastAsia="Times New Roman" w:hAnsi="Times New Roman"/>
          <w:sz w:val="28"/>
          <w:szCs w:val="28"/>
        </w:rPr>
      </w:pP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 xml:space="preserve">Окръжна прокуратура - Разград </w:t>
      </w:r>
      <w:r w:rsidRPr="00464557">
        <w:rPr>
          <w:rFonts w:ascii="Times New Roman" w:eastAsia="Times New Roman" w:hAnsi="Times New Roman"/>
          <w:sz w:val="28"/>
          <w:szCs w:val="28"/>
        </w:rPr>
        <w:t xml:space="preserve">постановените откази за образуване на досъдебно </w:t>
      </w:r>
      <w:proofErr w:type="spellStart"/>
      <w:r w:rsidRPr="00464557">
        <w:rPr>
          <w:rFonts w:ascii="Times New Roman" w:eastAsia="Times New Roman" w:hAnsi="Times New Roman"/>
          <w:sz w:val="28"/>
          <w:szCs w:val="28"/>
        </w:rPr>
        <w:t>производсво</w:t>
      </w:r>
      <w:proofErr w:type="spellEnd"/>
      <w:r w:rsidRPr="00464557">
        <w:rPr>
          <w:rFonts w:ascii="Times New Roman" w:eastAsia="Times New Roman" w:hAnsi="Times New Roman"/>
          <w:sz w:val="28"/>
          <w:szCs w:val="28"/>
        </w:rPr>
        <w:t xml:space="preserve"> са 78 и съставляват 19,6%  от решените следствени преписки. </w:t>
      </w:r>
      <w:r w:rsidRPr="00464557">
        <w:rPr>
          <w:rFonts w:ascii="Times New Roman" w:eastAsia="Times New Roman" w:hAnsi="Times New Roman"/>
          <w:color w:val="000000"/>
          <w:sz w:val="28"/>
          <w:szCs w:val="28"/>
        </w:rPr>
        <w:t>През 2018г.</w:t>
      </w:r>
      <w:r w:rsidRPr="00464557">
        <w:rPr>
          <w:rFonts w:ascii="Times New Roman" w:eastAsia="Times New Roman" w:hAnsi="Times New Roman"/>
          <w:sz w:val="28"/>
          <w:szCs w:val="28"/>
        </w:rPr>
        <w:t xml:space="preserve"> постановените откази за образуване на досъдебно </w:t>
      </w:r>
      <w:proofErr w:type="spellStart"/>
      <w:r w:rsidRPr="00464557">
        <w:rPr>
          <w:rFonts w:ascii="Times New Roman" w:eastAsia="Times New Roman" w:hAnsi="Times New Roman"/>
          <w:sz w:val="28"/>
          <w:szCs w:val="28"/>
        </w:rPr>
        <w:t>производсво</w:t>
      </w:r>
      <w:proofErr w:type="spellEnd"/>
      <w:r w:rsidRPr="00464557">
        <w:rPr>
          <w:rFonts w:ascii="Times New Roman" w:eastAsia="Times New Roman" w:hAnsi="Times New Roman"/>
          <w:sz w:val="28"/>
          <w:szCs w:val="28"/>
        </w:rPr>
        <w:t xml:space="preserve"> са били 87 и съставляват 22,6%  от решените следствени преписки., през 2017г. са били 71 и съставляват 13,6%.  В сравнение с 2018г.  постановените откази бележат спад в абсолютен и относителен дял, но спрямо 2017г. бележат ръст.</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С постановления за образуване на досъдебно производство са решени 36 или 9% от решените по същество преписки, при 42, съответно 10,9% за </w:t>
      </w:r>
      <w:r w:rsidRPr="00464557">
        <w:rPr>
          <w:rFonts w:ascii="Times New Roman" w:eastAsia="Times New Roman" w:hAnsi="Times New Roman"/>
          <w:sz w:val="28"/>
          <w:szCs w:val="28"/>
        </w:rPr>
        <w:lastRenderedPageBreak/>
        <w:t>2018 г. и 55 или 13,5% за 2017 г. Налице  е тенденция на намаляване в абсолютен и относителен дял.</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Районна прокуратура - Разград</w:t>
      </w:r>
      <w:r w:rsidRPr="00464557">
        <w:rPr>
          <w:rFonts w:ascii="Times New Roman" w:eastAsia="Times New Roman" w:hAnsi="Times New Roman"/>
          <w:sz w:val="28"/>
          <w:szCs w:val="28"/>
        </w:rPr>
        <w:t xml:space="preserve"> постановените откази за образуване на досъдебно </w:t>
      </w:r>
      <w:proofErr w:type="spellStart"/>
      <w:r w:rsidRPr="00464557">
        <w:rPr>
          <w:rFonts w:ascii="Times New Roman" w:eastAsia="Times New Roman" w:hAnsi="Times New Roman"/>
          <w:sz w:val="28"/>
          <w:szCs w:val="28"/>
        </w:rPr>
        <w:t>производсво</w:t>
      </w:r>
      <w:proofErr w:type="spellEnd"/>
      <w:r w:rsidRPr="00464557">
        <w:rPr>
          <w:rFonts w:ascii="Times New Roman" w:eastAsia="Times New Roman" w:hAnsi="Times New Roman"/>
          <w:sz w:val="28"/>
          <w:szCs w:val="28"/>
        </w:rPr>
        <w:t xml:space="preserve"> са 807 и съставляват 63,4%  от решените следствени преписки.</w:t>
      </w:r>
      <w:r w:rsidRPr="00464557">
        <w:rPr>
          <w:rFonts w:ascii="Times New Roman" w:eastAsia="Times New Roman" w:hAnsi="Times New Roman"/>
          <w:color w:val="FF0000"/>
          <w:sz w:val="28"/>
          <w:szCs w:val="28"/>
        </w:rPr>
        <w:t xml:space="preserve"> </w:t>
      </w:r>
      <w:r w:rsidRPr="00464557">
        <w:rPr>
          <w:rFonts w:ascii="Times New Roman" w:eastAsia="Times New Roman" w:hAnsi="Times New Roman"/>
          <w:color w:val="000000"/>
          <w:sz w:val="28"/>
          <w:szCs w:val="28"/>
        </w:rPr>
        <w:t>През 2018г.</w:t>
      </w:r>
      <w:r w:rsidRPr="00464557">
        <w:rPr>
          <w:rFonts w:ascii="Times New Roman" w:eastAsia="Times New Roman" w:hAnsi="Times New Roman"/>
          <w:sz w:val="28"/>
          <w:szCs w:val="28"/>
        </w:rPr>
        <w:t xml:space="preserve"> постановените откази за образуване на досъдебно </w:t>
      </w:r>
      <w:proofErr w:type="spellStart"/>
      <w:r w:rsidRPr="00464557">
        <w:rPr>
          <w:rFonts w:ascii="Times New Roman" w:eastAsia="Times New Roman" w:hAnsi="Times New Roman"/>
          <w:sz w:val="28"/>
          <w:szCs w:val="28"/>
        </w:rPr>
        <w:t>производсво</w:t>
      </w:r>
      <w:proofErr w:type="spellEnd"/>
      <w:r w:rsidRPr="00464557">
        <w:rPr>
          <w:rFonts w:ascii="Times New Roman" w:eastAsia="Times New Roman" w:hAnsi="Times New Roman"/>
          <w:sz w:val="28"/>
          <w:szCs w:val="28"/>
        </w:rPr>
        <w:t xml:space="preserve"> са били 806 и съставляват 67,9%  от решените следствени преписки. </w:t>
      </w:r>
      <w:r w:rsidRPr="00464557">
        <w:rPr>
          <w:rFonts w:ascii="Times New Roman" w:eastAsia="Times New Roman" w:hAnsi="Times New Roman"/>
          <w:color w:val="000000"/>
          <w:sz w:val="28"/>
          <w:szCs w:val="28"/>
        </w:rPr>
        <w:t>През 2017г.</w:t>
      </w:r>
      <w:r w:rsidRPr="00464557">
        <w:rPr>
          <w:rFonts w:ascii="Times New Roman" w:eastAsia="Times New Roman" w:hAnsi="Times New Roman"/>
          <w:sz w:val="28"/>
          <w:szCs w:val="28"/>
        </w:rPr>
        <w:t xml:space="preserve"> постановените откази за образуване на досъдебно </w:t>
      </w:r>
      <w:proofErr w:type="spellStart"/>
      <w:r w:rsidRPr="00464557">
        <w:rPr>
          <w:rFonts w:ascii="Times New Roman" w:eastAsia="Times New Roman" w:hAnsi="Times New Roman"/>
          <w:sz w:val="28"/>
          <w:szCs w:val="28"/>
        </w:rPr>
        <w:t>производсво</w:t>
      </w:r>
      <w:proofErr w:type="spellEnd"/>
      <w:r w:rsidRPr="00464557">
        <w:rPr>
          <w:rFonts w:ascii="Times New Roman" w:eastAsia="Times New Roman" w:hAnsi="Times New Roman"/>
          <w:sz w:val="28"/>
          <w:szCs w:val="28"/>
        </w:rPr>
        <w:t xml:space="preserve"> са били 754 и съставляват 67,6%  от решените следствени преписки. В сравнение с 2018г.  година постановените откази бележат устойчивост в абсолютен и спад в </w:t>
      </w:r>
      <w:proofErr w:type="spellStart"/>
      <w:r w:rsidRPr="00464557">
        <w:rPr>
          <w:rFonts w:ascii="Times New Roman" w:eastAsia="Times New Roman" w:hAnsi="Times New Roman"/>
          <w:sz w:val="28"/>
          <w:szCs w:val="28"/>
        </w:rPr>
        <w:t>относителе</w:t>
      </w:r>
      <w:proofErr w:type="spellEnd"/>
      <w:r w:rsidRPr="00464557">
        <w:rPr>
          <w:rFonts w:ascii="Times New Roman" w:eastAsia="Times New Roman" w:hAnsi="Times New Roman"/>
          <w:sz w:val="28"/>
          <w:szCs w:val="28"/>
        </w:rPr>
        <w:t xml:space="preserve"> дял.</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ab/>
        <w:t>С постановления за образуване на досъдебно производство са решени 315 преписки, съставляващи 24,8%.</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През 2018 г. по 269 преписки са били образувани досъдебни производства, съставляващи 22,7% от всички решени преписки. През 2017 г. техният брой е бил 267 или 24% от всички решени преписки. Това сочи на увеличение на образуваните през отчетния период досъдебни производства спрямо предходните две години в абсолютен и относителен дял.</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В</w:t>
      </w:r>
      <w:r w:rsidRPr="00464557">
        <w:rPr>
          <w:rFonts w:ascii="Times New Roman" w:eastAsia="Times New Roman" w:hAnsi="Times New Roman"/>
          <w:sz w:val="28"/>
          <w:szCs w:val="28"/>
          <w:u w:val="single"/>
        </w:rPr>
        <w:t xml:space="preserve"> Районна прокуратура - Исперих</w:t>
      </w:r>
      <w:r w:rsidRPr="00464557">
        <w:rPr>
          <w:rFonts w:ascii="Times New Roman" w:eastAsia="Times New Roman" w:hAnsi="Times New Roman"/>
          <w:sz w:val="28"/>
          <w:szCs w:val="28"/>
        </w:rPr>
        <w:t xml:space="preserve"> с постановления за отказ да се образува досъдебно производство са решени 571 следствени преписки, съставляващи 86,9%.</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През 2018г. отказите за образуване на досъдебни наказателни производства са били 555,  което е 81,7% от всички решени преписки. През 2017 г. са били 336, съответно 84,5% от всички решени преписки.</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С постановления за образуване на досъдебно производство са решени 65 или 9,7% от следствените преписки, при 80 или 11,8% за 2018 г., съответно  61 или 10% за 2017 г.</w:t>
      </w:r>
    </w:p>
    <w:p w:rsidR="00207A6A" w:rsidRPr="00464557" w:rsidRDefault="00207A6A" w:rsidP="00207A6A">
      <w:pPr>
        <w:spacing w:after="0" w:line="240" w:lineRule="auto"/>
        <w:ind w:firstLine="709"/>
        <w:jc w:val="both"/>
        <w:rPr>
          <w:rFonts w:ascii="Times New Roman" w:eastAsia="Times New Roman" w:hAnsi="Times New Roman"/>
          <w:color w:val="000000"/>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Районна прокуратура - Кубрат</w:t>
      </w:r>
      <w:r w:rsidRPr="00464557">
        <w:rPr>
          <w:rFonts w:ascii="Times New Roman" w:eastAsia="Times New Roman" w:hAnsi="Times New Roman"/>
          <w:sz w:val="28"/>
          <w:szCs w:val="28"/>
        </w:rPr>
        <w:t xml:space="preserve"> с постановления за отказ да се образува досъдебно производство са решени 248 следствени преписки, съставляващи 59,3% от всички решени. През 2018г. са били 175, съставляващи 63,2%, а през </w:t>
      </w:r>
      <w:r w:rsidRPr="00464557">
        <w:rPr>
          <w:rFonts w:ascii="Times New Roman" w:eastAsia="Times New Roman" w:hAnsi="Times New Roman"/>
          <w:color w:val="000000"/>
          <w:sz w:val="28"/>
          <w:szCs w:val="28"/>
        </w:rPr>
        <w:t>2017г.  са били 133, съставляващи 52,3%.</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По 108 преписки са образувани досъдебни производства или  25,9% от всички решени, което сочи на увеличение спрямо 2018 г., когато са били 64, съставляващи 23,1% и за 2017 г. – 85 или 33,5%.</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Окръжна прокуратура - Разград  за 2019г. решените </w:t>
      </w:r>
      <w:proofErr w:type="spellStart"/>
      <w:r w:rsidRPr="00464557">
        <w:rPr>
          <w:rFonts w:ascii="Times New Roman" w:eastAsia="Times New Roman" w:hAnsi="Times New Roman"/>
          <w:sz w:val="28"/>
          <w:szCs w:val="28"/>
        </w:rPr>
        <w:t>инстанционни</w:t>
      </w:r>
      <w:proofErr w:type="spellEnd"/>
      <w:r w:rsidRPr="00464557">
        <w:rPr>
          <w:rFonts w:ascii="Times New Roman" w:eastAsia="Times New Roman" w:hAnsi="Times New Roman"/>
          <w:sz w:val="28"/>
          <w:szCs w:val="28"/>
        </w:rPr>
        <w:t xml:space="preserve"> преписки са 137 и съставляват 34,4% от всички решени, при 138 или 35,8% за 2018 г. и 115 или 22% от всички решени преписки за 2017г.</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Потвърдените актове на районните прокуратури по </w:t>
      </w:r>
      <w:proofErr w:type="spellStart"/>
      <w:r w:rsidRPr="00464557">
        <w:rPr>
          <w:rFonts w:ascii="Times New Roman" w:eastAsia="Times New Roman" w:hAnsi="Times New Roman"/>
          <w:sz w:val="28"/>
          <w:szCs w:val="28"/>
        </w:rPr>
        <w:t>инстанционни</w:t>
      </w:r>
      <w:proofErr w:type="spellEnd"/>
      <w:r w:rsidRPr="00464557">
        <w:rPr>
          <w:rFonts w:ascii="Times New Roman" w:eastAsia="Times New Roman" w:hAnsi="Times New Roman"/>
          <w:sz w:val="28"/>
          <w:szCs w:val="28"/>
        </w:rPr>
        <w:t xml:space="preserve"> преписки са 124, а отменените такива са 35. </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Незначителен е делът на следствените преписки, образувани след </w:t>
      </w:r>
      <w:proofErr w:type="spellStart"/>
      <w:r w:rsidRPr="00464557">
        <w:rPr>
          <w:rFonts w:ascii="Times New Roman" w:eastAsia="Times New Roman" w:hAnsi="Times New Roman"/>
          <w:sz w:val="28"/>
          <w:szCs w:val="28"/>
        </w:rPr>
        <w:t>самосезиране</w:t>
      </w:r>
      <w:proofErr w:type="spellEnd"/>
      <w:r w:rsidRPr="00464557">
        <w:rPr>
          <w:rFonts w:ascii="Times New Roman" w:eastAsia="Times New Roman" w:hAnsi="Times New Roman"/>
          <w:sz w:val="28"/>
          <w:szCs w:val="28"/>
        </w:rPr>
        <w:t xml:space="preserve"> – 4 преписки за съдебния район. Три от тях са на Окръжна прокуратура – Разград и една на Районна прокуратура - Исперих.</w:t>
      </w:r>
    </w:p>
    <w:p w:rsidR="00207A6A" w:rsidRPr="00464557" w:rsidRDefault="00207A6A" w:rsidP="00207A6A">
      <w:pPr>
        <w:spacing w:after="0" w:line="240" w:lineRule="auto"/>
        <w:ind w:firstLine="709"/>
        <w:jc w:val="both"/>
        <w:rPr>
          <w:rFonts w:ascii="Times New Roman" w:eastAsia="Times New Roman" w:hAnsi="Times New Roman"/>
          <w:color w:val="000000"/>
          <w:sz w:val="28"/>
          <w:szCs w:val="28"/>
        </w:rPr>
      </w:pPr>
      <w:r w:rsidRPr="00464557">
        <w:rPr>
          <w:rFonts w:ascii="Times New Roman" w:eastAsia="Times New Roman" w:hAnsi="Times New Roman"/>
          <w:sz w:val="28"/>
          <w:szCs w:val="28"/>
        </w:rPr>
        <w:t xml:space="preserve">По </w:t>
      </w:r>
      <w:r w:rsidRPr="00464557">
        <w:rPr>
          <w:rFonts w:ascii="Times New Roman" w:eastAsia="Times New Roman" w:hAnsi="Times New Roman"/>
          <w:color w:val="000000"/>
          <w:sz w:val="28"/>
          <w:szCs w:val="28"/>
        </w:rPr>
        <w:t>едната преписка на ОП-Разград е образувано досъдебно производство, същото е приключило и има две осъдени лица с влязла в сила присъда.</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lastRenderedPageBreak/>
        <w:t xml:space="preserve">През 2019г. в Окръжна прокуратура – гр. Разград са наблюдавани 11 преписки, образувани по сигнали на контролни органи – 9 по сигнали на ТД на НАП и 2 по сигнали на АДФИ. По 8 от тях са били образувани  досъдебни </w:t>
      </w:r>
      <w:proofErr w:type="spellStart"/>
      <w:r w:rsidRPr="00464557">
        <w:rPr>
          <w:rFonts w:ascii="Times New Roman" w:eastAsia="Times New Roman" w:hAnsi="Times New Roman"/>
          <w:sz w:val="28"/>
          <w:szCs w:val="28"/>
        </w:rPr>
        <w:t>произодства</w:t>
      </w:r>
      <w:proofErr w:type="spellEnd"/>
      <w:r w:rsidRPr="00464557">
        <w:rPr>
          <w:rFonts w:ascii="Times New Roman" w:eastAsia="Times New Roman" w:hAnsi="Times New Roman"/>
          <w:sz w:val="28"/>
          <w:szCs w:val="28"/>
        </w:rPr>
        <w:t>.  Районна прокуратура – Разград и  Районна прокуратура – Исперих са наблюдавали по 1 досъдебно производство, образувано по сигнал на Агенция Митници. Това на РП- гр. Разград е внесено в съда и има осъдено лице с влязъл в сила съдебен акт.</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 По материали на ДАНС е образувана една преписка в Окръжна прокуратура – Разград, а по материали на Дирекция „Вътрешна сигурност” –МВР  са наблюдавани 6 преписки, от които 3 от ОП- гр. Разград, 2 от РП- Разград и 1 от РП- Кубрат.</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През отчетния период  прокуратурите в съдебния район са възложили на други органи извършване на проверки  по 686 преписки. По 12 преписки прокурорите са  извършили лични проверки.</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По 128 от преписките с възложени проверки и по 2 от извършените лични такива, съставляващи 18,6 %, са били образувани досъдебни производства.</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В Окръжна прокуратура - Разград делът на преписките с извършени предварителни проверки, по които са образувани досъдебни производства съставлява 26,4%.</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За Районна прокуратура - Разград този дял е 21,5%, следва Районна прокуратура - Исперих със 13,7%, а най-малък е за Районна прокуратура – Кубрат - 13%.</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Приключените проверки през отчетния период са били 517, всички извършени в  </w:t>
      </w:r>
      <w:proofErr w:type="spellStart"/>
      <w:r w:rsidRPr="00464557">
        <w:rPr>
          <w:rFonts w:ascii="Times New Roman" w:eastAsia="Times New Roman" w:hAnsi="Times New Roman"/>
          <w:sz w:val="28"/>
          <w:szCs w:val="28"/>
        </w:rPr>
        <w:t>законоустановения</w:t>
      </w:r>
      <w:proofErr w:type="spellEnd"/>
      <w:r w:rsidRPr="00464557">
        <w:rPr>
          <w:rFonts w:ascii="Times New Roman" w:eastAsia="Times New Roman" w:hAnsi="Times New Roman"/>
          <w:sz w:val="28"/>
          <w:szCs w:val="28"/>
        </w:rPr>
        <w:t xml:space="preserve"> срок по чл. 145, ал. 2 от ЗСВ.</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При възлагане на проверките преимуществено е определян едномесечен срок за </w:t>
      </w:r>
      <w:proofErr w:type="spellStart"/>
      <w:r w:rsidRPr="00464557">
        <w:rPr>
          <w:rFonts w:ascii="Times New Roman" w:eastAsia="Times New Roman" w:hAnsi="Times New Roman"/>
          <w:sz w:val="28"/>
          <w:szCs w:val="28"/>
        </w:rPr>
        <w:t>извършвнето</w:t>
      </w:r>
      <w:proofErr w:type="spellEnd"/>
      <w:r w:rsidRPr="00464557">
        <w:rPr>
          <w:rFonts w:ascii="Times New Roman" w:eastAsia="Times New Roman" w:hAnsi="Times New Roman"/>
          <w:sz w:val="28"/>
          <w:szCs w:val="28"/>
        </w:rPr>
        <w:t xml:space="preserve"> им.</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Продължаването на първоначално определения срок за извършване на проверките  е било мотивирано изключително по обективни причини.</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Няма възложени проверки, които да са били приключени над </w:t>
      </w:r>
      <w:proofErr w:type="spellStart"/>
      <w:r w:rsidRPr="00464557">
        <w:rPr>
          <w:rFonts w:ascii="Times New Roman" w:eastAsia="Times New Roman" w:hAnsi="Times New Roman"/>
          <w:sz w:val="28"/>
          <w:szCs w:val="28"/>
        </w:rPr>
        <w:t>законоустановения</w:t>
      </w:r>
      <w:proofErr w:type="spellEnd"/>
      <w:r w:rsidRPr="00464557">
        <w:rPr>
          <w:rFonts w:ascii="Times New Roman" w:eastAsia="Times New Roman" w:hAnsi="Times New Roman"/>
          <w:sz w:val="28"/>
          <w:szCs w:val="28"/>
        </w:rPr>
        <w:t xml:space="preserve"> срок и без продължение на същия.</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40 преписки са били върнати с разпореждане за допълване на проверката.</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Към края на отчетния период от възложените проверки са останали неприключени 87, но всички са в предвидения в разпоредбата на чл.145 от Закона за съдебната власт срок.</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Не са налице основания за анализиране на затруднения при извършване на възлаганите </w:t>
      </w:r>
      <w:proofErr w:type="spellStart"/>
      <w:r w:rsidRPr="00464557">
        <w:rPr>
          <w:rFonts w:ascii="Times New Roman" w:eastAsia="Times New Roman" w:hAnsi="Times New Roman"/>
          <w:sz w:val="28"/>
          <w:szCs w:val="28"/>
        </w:rPr>
        <w:t>поверки</w:t>
      </w:r>
      <w:proofErr w:type="spellEnd"/>
      <w:r w:rsidRPr="00464557">
        <w:rPr>
          <w:rFonts w:ascii="Times New Roman" w:eastAsia="Times New Roman" w:hAnsi="Times New Roman"/>
          <w:sz w:val="28"/>
          <w:szCs w:val="28"/>
        </w:rPr>
        <w:t>.</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Лични проверки от прокурор са извършвани по 12 преписки, съответно на Разградската районна прокуратура – десет  и две на </w:t>
      </w:r>
      <w:proofErr w:type="spellStart"/>
      <w:r w:rsidRPr="00464557">
        <w:rPr>
          <w:rFonts w:ascii="Times New Roman" w:eastAsia="Times New Roman" w:hAnsi="Times New Roman"/>
          <w:sz w:val="28"/>
          <w:szCs w:val="28"/>
        </w:rPr>
        <w:t>Кубратска</w:t>
      </w:r>
      <w:proofErr w:type="spellEnd"/>
      <w:r w:rsidRPr="00464557">
        <w:rPr>
          <w:rFonts w:ascii="Times New Roman" w:eastAsia="Times New Roman" w:hAnsi="Times New Roman"/>
          <w:sz w:val="28"/>
          <w:szCs w:val="28"/>
        </w:rPr>
        <w:t xml:space="preserve"> районна прокуратура.</w:t>
      </w:r>
    </w:p>
    <w:p w:rsidR="006F69A5" w:rsidRPr="00464557" w:rsidRDefault="006F69A5" w:rsidP="00207A6A">
      <w:pPr>
        <w:spacing w:after="0" w:line="240" w:lineRule="auto"/>
        <w:ind w:firstLine="709"/>
        <w:jc w:val="both"/>
        <w:rPr>
          <w:rFonts w:ascii="Times New Roman" w:eastAsia="Times New Roman" w:hAnsi="Times New Roman"/>
          <w:sz w:val="28"/>
          <w:szCs w:val="28"/>
        </w:rPr>
      </w:pPr>
    </w:p>
    <w:p w:rsidR="00207A6A" w:rsidRPr="00464557" w:rsidRDefault="00207A6A" w:rsidP="00207A6A">
      <w:pPr>
        <w:spacing w:after="0" w:line="240" w:lineRule="auto"/>
        <w:ind w:firstLine="709"/>
        <w:jc w:val="both"/>
        <w:rPr>
          <w:rFonts w:ascii="Times New Roman" w:eastAsia="Times New Roman" w:hAnsi="Times New Roman"/>
          <w:b/>
          <w:sz w:val="28"/>
          <w:szCs w:val="28"/>
        </w:rPr>
      </w:pPr>
      <w:r w:rsidRPr="00464557">
        <w:rPr>
          <w:rFonts w:ascii="Times New Roman" w:eastAsia="Times New Roman" w:hAnsi="Times New Roman"/>
          <w:b/>
          <w:sz w:val="28"/>
          <w:szCs w:val="28"/>
        </w:rPr>
        <w:t xml:space="preserve">Обобщени резултати по проведени проверки и наказателни производства за престъпления, свързани с избори /Глава ІІІ, т.14 Указания относно организацията на работа и осъществяване на </w:t>
      </w:r>
      <w:r w:rsidRPr="00464557">
        <w:rPr>
          <w:rFonts w:ascii="Times New Roman" w:eastAsia="Times New Roman" w:hAnsi="Times New Roman"/>
          <w:b/>
          <w:sz w:val="28"/>
          <w:szCs w:val="28"/>
        </w:rPr>
        <w:lastRenderedPageBreak/>
        <w:t>контрол за законосъобразност от  Прокуратура на Република България при провеждане на избори и референдуми/.</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През 2019г. във връзка с провеждането на  избори за членове на Европейският  парламент  от Република България, в Районна прокуратура – гр. Разград са образувани 4 преписки, от които 2 са решени с постановление за отказ да се образува досъдебно производство, а по 2 преписки е образувано досъдебно производство по чл.167 и чл.168 от НК.  В Районна прокуратура – гр. Исперих е заведена една преписка, по която след възложена проверка е  образувано досъдебно производство. Част от материалите по преписката са били отделени в нова преписка, изпратена на РП – гр. Разград по компетентност. В Районна прокуратура – гр. Кубрат няма образувани преписки във връзка с тези избори.</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Във връзка с провеждането на избори за общински </w:t>
      </w:r>
      <w:proofErr w:type="spellStart"/>
      <w:r w:rsidRPr="00464557">
        <w:rPr>
          <w:rFonts w:ascii="Times New Roman" w:eastAsia="Times New Roman" w:hAnsi="Times New Roman"/>
          <w:sz w:val="28"/>
          <w:szCs w:val="28"/>
        </w:rPr>
        <w:t>съветници</w:t>
      </w:r>
      <w:proofErr w:type="spellEnd"/>
      <w:r w:rsidRPr="00464557">
        <w:rPr>
          <w:rFonts w:ascii="Times New Roman" w:eastAsia="Times New Roman" w:hAnsi="Times New Roman"/>
          <w:sz w:val="28"/>
          <w:szCs w:val="28"/>
        </w:rPr>
        <w:t xml:space="preserve"> и кметове, насрочени с Указ № 163 от 10.07.2019г. на Президента на Република България на 27.10.2019г. и провеждане на втори тур на 03.11.2019г., в Районна прокуратура – град Разград били образувани 10 преписки за изборни престъпления. Осем от тях са решени с постановление за отказ да се образува досъдебно производство, а по две преписки са образувани досъдебни производства, за престъпление по чл. 167 от НК. В Районна </w:t>
      </w:r>
      <w:proofErr w:type="spellStart"/>
      <w:r w:rsidRPr="00464557">
        <w:rPr>
          <w:rFonts w:ascii="Times New Roman" w:eastAsia="Times New Roman" w:hAnsi="Times New Roman"/>
          <w:sz w:val="28"/>
          <w:szCs w:val="28"/>
        </w:rPr>
        <w:t>прокуратува</w:t>
      </w:r>
      <w:proofErr w:type="spellEnd"/>
      <w:r w:rsidRPr="00464557">
        <w:rPr>
          <w:rFonts w:ascii="Times New Roman" w:eastAsia="Times New Roman" w:hAnsi="Times New Roman"/>
          <w:sz w:val="28"/>
          <w:szCs w:val="28"/>
        </w:rPr>
        <w:t xml:space="preserve"> – гр. Исперих по 4 преписки бил постановен отказ да се образува досъдебно производство,  2 преписки били решени с образуване на едно бързо производство  и едно досъдебно производство, разследвано по общия ред. Друго бързо производство е било образувано от разследващ полицай. И трите досъдебни производства впоследствие били изпратени по компетентност на Софийска градска прокуратура. В Районна прокуратура - град Кубрат са образувани седемнадесет преписки за изборни престъпления. По 16 от преписките бил постановен отказ да се образува досъдебно производство, а към края на отчетния период по една  преписка назначената проверка не е приключена.</w:t>
      </w:r>
    </w:p>
    <w:p w:rsidR="00207A6A" w:rsidRPr="00464557" w:rsidRDefault="00207A6A" w:rsidP="00207A6A">
      <w:pPr>
        <w:spacing w:after="0" w:line="240" w:lineRule="auto"/>
        <w:ind w:firstLine="709"/>
        <w:jc w:val="both"/>
        <w:rPr>
          <w:rFonts w:ascii="Times New Roman" w:eastAsia="Times New Roman" w:hAnsi="Times New Roman"/>
          <w:sz w:val="28"/>
          <w:szCs w:val="28"/>
        </w:rPr>
      </w:pPr>
    </w:p>
    <w:p w:rsidR="00207A6A" w:rsidRPr="00464557" w:rsidRDefault="00207A6A" w:rsidP="00207A6A">
      <w:pPr>
        <w:spacing w:after="0" w:line="240" w:lineRule="auto"/>
        <w:ind w:firstLine="709"/>
        <w:jc w:val="both"/>
        <w:rPr>
          <w:rFonts w:ascii="Times New Roman" w:eastAsia="Times New Roman" w:hAnsi="Times New Roman"/>
          <w:b/>
          <w:sz w:val="28"/>
          <w:szCs w:val="28"/>
        </w:rPr>
      </w:pPr>
      <w:r w:rsidRPr="00464557">
        <w:rPr>
          <w:rFonts w:ascii="Times New Roman" w:eastAsia="Times New Roman" w:hAnsi="Times New Roman"/>
          <w:b/>
          <w:sz w:val="28"/>
          <w:szCs w:val="28"/>
        </w:rPr>
        <w:t>Дейността на териториалните прокуратури през 2019г. във връзка с Указание за организацията на работата на Прокуратурата на Република България по преписки и досъдебни производства, образувани по съобщения за осъществено домашно насилие, за закана с убийство и за нарушена заповед за защита от домашно насилие е следната:</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Районна прокуратура – гр. Разград са наблюдавани 42 преписки.  Петнадесет от сигналите били подадени в прокуратурата и същите незабавно са разпределяни на дежурен прокурор, съгласно т. 2. 1 от Указанието. Възложените проверки са извършвани във възможно най-кратък срок. По останалите 27 преписки съобщенията или жалбите били подадени до Районните управления на МВР в гр. Разград и в гр. Лозница. По образуваните преписки били постановени 16 отказа да се образува досъдебно производство,  по 14 от преписките били образувани досъдебни производства, по две от тях към края на отчетния период възложените проверки на  РУ на МВР не били приключили, седем преписки </w:t>
      </w:r>
      <w:proofErr w:type="spellStart"/>
      <w:r w:rsidRPr="00464557">
        <w:rPr>
          <w:rFonts w:ascii="Times New Roman" w:eastAsia="Times New Roman" w:hAnsi="Times New Roman"/>
          <w:sz w:val="28"/>
          <w:szCs w:val="28"/>
        </w:rPr>
        <w:t>билил</w:t>
      </w:r>
      <w:proofErr w:type="spellEnd"/>
      <w:r w:rsidRPr="00464557">
        <w:rPr>
          <w:rFonts w:ascii="Times New Roman" w:eastAsia="Times New Roman" w:hAnsi="Times New Roman"/>
          <w:sz w:val="28"/>
          <w:szCs w:val="28"/>
        </w:rPr>
        <w:t xml:space="preserve"> </w:t>
      </w:r>
      <w:r w:rsidRPr="00464557">
        <w:rPr>
          <w:rFonts w:ascii="Times New Roman" w:eastAsia="Times New Roman" w:hAnsi="Times New Roman"/>
          <w:sz w:val="28"/>
          <w:szCs w:val="28"/>
        </w:rPr>
        <w:lastRenderedPageBreak/>
        <w:t xml:space="preserve">разпределени на наблюдаващите прокурори - за решаване по същество, а една преписка била обединена с друга. </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В Районна прокуратура – гр. Исперих са наблюдавани 41 преписки с предмет домашно насилие по смисъла на чл. 93, т. 31 от НК /Изм. и доп. ДВ бр.16 от 22.02.2019 г./, всички са новообразувани. По 9 преписки прокурорите възложили извършване на проверки на РУ на МВР- гр. Исперих. По образуваните преписки били постановени 35 отказа да се образува досъдебно производство,  по 6 от преписките били образувани досъдебни производства, две от които бързи.</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Районна прокуратура – гр. Кубрат през отчетния период били образувани 8 преписки за осъществено домашно насилие и 4 преписки за закана с убийство. По образуваните преписки били постановени шест отказа за образуване на досъдебно производство, една преписка била изпратена по компетентност, по две от преписките към края на отчетния възложените проверки на РУ на МВР-Кубрат не били приключени, а две от преписките били </w:t>
      </w:r>
      <w:proofErr w:type="spellStart"/>
      <w:r w:rsidRPr="00464557">
        <w:rPr>
          <w:rFonts w:ascii="Times New Roman" w:eastAsia="Times New Roman" w:hAnsi="Times New Roman"/>
          <w:sz w:val="28"/>
          <w:szCs w:val="28"/>
        </w:rPr>
        <w:t>разпределин</w:t>
      </w:r>
      <w:proofErr w:type="spellEnd"/>
      <w:r w:rsidRPr="00464557">
        <w:rPr>
          <w:rFonts w:ascii="Times New Roman" w:eastAsia="Times New Roman" w:hAnsi="Times New Roman"/>
          <w:sz w:val="28"/>
          <w:szCs w:val="28"/>
        </w:rPr>
        <w:t xml:space="preserve"> на наблюдаващите прокурори – за решаване по същество..</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Не може обективно да се направи сравнение с предходните години за динамиката на тези престъпления, поради това че израза „домашно насилие“ в НК  за пръв път е намерил легална дефиниция с измененията на НК, ДВ бр.16 от 22.02.2019г. като тогава били </w:t>
      </w:r>
      <w:proofErr w:type="spellStart"/>
      <w:r w:rsidRPr="00464557">
        <w:rPr>
          <w:rFonts w:ascii="Times New Roman" w:eastAsia="Times New Roman" w:hAnsi="Times New Roman"/>
          <w:sz w:val="28"/>
          <w:szCs w:val="28"/>
        </w:rPr>
        <w:t>криминализирани</w:t>
      </w:r>
      <w:proofErr w:type="spellEnd"/>
      <w:r w:rsidRPr="00464557">
        <w:rPr>
          <w:rFonts w:ascii="Times New Roman" w:eastAsia="Times New Roman" w:hAnsi="Times New Roman"/>
          <w:sz w:val="28"/>
          <w:szCs w:val="28"/>
        </w:rPr>
        <w:t xml:space="preserve"> освен деянието по чл. 296, ал.1 </w:t>
      </w:r>
      <w:proofErr w:type="spellStart"/>
      <w:r w:rsidRPr="00464557">
        <w:rPr>
          <w:rFonts w:ascii="Times New Roman" w:eastAsia="Times New Roman" w:hAnsi="Times New Roman"/>
          <w:sz w:val="28"/>
          <w:szCs w:val="28"/>
        </w:rPr>
        <w:t>предл</w:t>
      </w:r>
      <w:proofErr w:type="spellEnd"/>
      <w:r w:rsidRPr="00464557">
        <w:rPr>
          <w:rFonts w:ascii="Times New Roman" w:eastAsia="Times New Roman" w:hAnsi="Times New Roman"/>
          <w:sz w:val="28"/>
          <w:szCs w:val="28"/>
        </w:rPr>
        <w:t xml:space="preserve">. второ от НК, така и тези извършени в условията на домашно насилие – по чл.116, ал.1, т.6а,  чл. 131, ал.1 т. 5а, чл.142, ал.2, чл.142а ал.4,чл.143, ал.3, чл.144, ал.3 и чл. 144а от НК. В предходните периоди 2017 г. и 2018 г. израза „домашно насилие“ не е имал легална дефиниция в НК и е бил включен единствено за престъплението по чл. 296, ал.1, </w:t>
      </w:r>
      <w:proofErr w:type="spellStart"/>
      <w:r w:rsidRPr="00464557">
        <w:rPr>
          <w:rFonts w:ascii="Times New Roman" w:eastAsia="Times New Roman" w:hAnsi="Times New Roman"/>
          <w:sz w:val="28"/>
          <w:szCs w:val="28"/>
        </w:rPr>
        <w:t>предл</w:t>
      </w:r>
      <w:proofErr w:type="spellEnd"/>
      <w:r w:rsidRPr="00464557">
        <w:rPr>
          <w:rFonts w:ascii="Times New Roman" w:eastAsia="Times New Roman" w:hAnsi="Times New Roman"/>
          <w:sz w:val="28"/>
          <w:szCs w:val="28"/>
        </w:rPr>
        <w:t xml:space="preserve">. второ от НК, поради което не е възможно да бъде извършена съпоставка на показателите с предходните периоди. </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Изложеното сочи,  че и през 2019 г. прокурорите от Разградски съдебен район са работили активно и с висок професионализъм по възложените им преписки  съобразно изискванията на закона, като адекватно са реагирали на актуалната криминогенна обстановка. Прокурорите не са срещали трудности или значими проблеми, които да възпрепятстват ритмичността на  работата. </w:t>
      </w:r>
    </w:p>
    <w:p w:rsidR="00207A6A" w:rsidRPr="00464557" w:rsidRDefault="00207A6A" w:rsidP="00207A6A">
      <w:pPr>
        <w:spacing w:after="0" w:line="240" w:lineRule="auto"/>
        <w:jc w:val="both"/>
        <w:rPr>
          <w:rFonts w:ascii="Times New Roman" w:eastAsia="Times New Roman" w:hAnsi="Times New Roman"/>
          <w:sz w:val="28"/>
          <w:szCs w:val="28"/>
        </w:rPr>
      </w:pPr>
    </w:p>
    <w:p w:rsidR="00207A6A" w:rsidRPr="00464557" w:rsidRDefault="00207A6A" w:rsidP="00207A6A">
      <w:pPr>
        <w:spacing w:after="0" w:line="240" w:lineRule="auto"/>
        <w:ind w:firstLine="709"/>
        <w:jc w:val="both"/>
        <w:rPr>
          <w:rFonts w:ascii="Times New Roman" w:eastAsia="Times New Roman" w:hAnsi="Times New Roman"/>
          <w:b/>
          <w:sz w:val="28"/>
          <w:szCs w:val="28"/>
          <w:u w:val="single"/>
        </w:rPr>
      </w:pPr>
      <w:r w:rsidRPr="00464557">
        <w:rPr>
          <w:rFonts w:ascii="Times New Roman" w:eastAsia="Times New Roman" w:hAnsi="Times New Roman"/>
          <w:b/>
          <w:sz w:val="28"/>
          <w:szCs w:val="28"/>
        </w:rPr>
        <w:t xml:space="preserve">2. Следствен надзор - </w:t>
      </w:r>
      <w:r w:rsidRPr="00464557">
        <w:rPr>
          <w:rFonts w:ascii="Times New Roman" w:eastAsia="Times New Roman" w:hAnsi="Times New Roman"/>
          <w:b/>
          <w:sz w:val="28"/>
          <w:szCs w:val="28"/>
          <w:u w:val="single"/>
        </w:rPr>
        <w:t>Досъдебни производства.</w:t>
      </w:r>
    </w:p>
    <w:p w:rsidR="00207A6A" w:rsidRPr="00464557" w:rsidRDefault="00207A6A" w:rsidP="00207A6A">
      <w:pPr>
        <w:tabs>
          <w:tab w:val="right" w:pos="1440"/>
        </w:tabs>
        <w:spacing w:after="0" w:line="240" w:lineRule="auto"/>
        <w:ind w:firstLine="709"/>
        <w:jc w:val="both"/>
        <w:rPr>
          <w:rFonts w:ascii="Times New Roman" w:eastAsia="Times New Roman" w:hAnsi="Times New Roman"/>
          <w:b/>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През 2019 година в съставните прокуратури на </w:t>
      </w:r>
      <w:proofErr w:type="spellStart"/>
      <w:r w:rsidRPr="00464557">
        <w:rPr>
          <w:rFonts w:ascii="Times New Roman" w:eastAsia="Times New Roman" w:hAnsi="Times New Roman"/>
          <w:sz w:val="28"/>
          <w:szCs w:val="28"/>
        </w:rPr>
        <w:t>Разградскят</w:t>
      </w:r>
      <w:proofErr w:type="spellEnd"/>
      <w:r w:rsidRPr="00464557">
        <w:rPr>
          <w:rFonts w:ascii="Times New Roman" w:eastAsia="Times New Roman" w:hAnsi="Times New Roman"/>
          <w:sz w:val="28"/>
          <w:szCs w:val="28"/>
        </w:rPr>
        <w:t xml:space="preserve"> съдебен район са наблюдавани общо 2316 досъдебни производства, от които 1948  реално разследвани /без прекратените по давност/.</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При съпоставяне с данните за предходните два отчетни периода: 2018г. – 1911 и 2017 г. - 1940, наблюдаваните реално разследвани досъдебни производства бележат лек ръст.</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Новообразуваните досъдебни производства са 1259 и съставляват 67,2% от разследваните такива.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lastRenderedPageBreak/>
        <w:t>Спрямо предходните две календарни години новообразуваните досъдебни производства очертават тенденция на спад в абсолютна стойност и в относителен дял:</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9"/>
        <w:gridCol w:w="1440"/>
        <w:gridCol w:w="1417"/>
        <w:gridCol w:w="1276"/>
      </w:tblGrid>
      <w:tr w:rsidR="00207A6A" w:rsidRPr="00464557" w:rsidTr="001977A0">
        <w:trPr>
          <w:trHeight w:val="831"/>
        </w:trPr>
        <w:tc>
          <w:tcPr>
            <w:tcW w:w="5189"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 Досъдебни производства:</w:t>
            </w:r>
          </w:p>
        </w:tc>
        <w:tc>
          <w:tcPr>
            <w:tcW w:w="1440" w:type="dxa"/>
          </w:tcPr>
          <w:p w:rsidR="00207A6A" w:rsidRPr="00464557" w:rsidRDefault="00207A6A" w:rsidP="00207A6A">
            <w:pPr>
              <w:spacing w:after="0" w:line="240" w:lineRule="auto"/>
              <w:ind w:firstLine="294"/>
              <w:jc w:val="both"/>
              <w:rPr>
                <w:rFonts w:ascii="Times New Roman" w:eastAsia="Times New Roman" w:hAnsi="Times New Roman"/>
                <w:sz w:val="28"/>
                <w:szCs w:val="28"/>
              </w:rPr>
            </w:pPr>
            <w:r w:rsidRPr="00464557">
              <w:rPr>
                <w:rFonts w:ascii="Times New Roman" w:eastAsia="Times New Roman" w:hAnsi="Times New Roman"/>
                <w:sz w:val="28"/>
                <w:szCs w:val="28"/>
              </w:rPr>
              <w:t>2019</w:t>
            </w:r>
          </w:p>
          <w:p w:rsidR="00207A6A" w:rsidRPr="00464557" w:rsidRDefault="00207A6A" w:rsidP="00207A6A">
            <w:pPr>
              <w:spacing w:after="0" w:line="240" w:lineRule="auto"/>
              <w:ind w:firstLine="294"/>
              <w:jc w:val="both"/>
              <w:rPr>
                <w:rFonts w:ascii="Times New Roman" w:eastAsia="Times New Roman" w:hAnsi="Times New Roman"/>
                <w:sz w:val="28"/>
                <w:szCs w:val="28"/>
              </w:rPr>
            </w:pPr>
            <w:r w:rsidRPr="00464557">
              <w:rPr>
                <w:rFonts w:ascii="Times New Roman" w:eastAsia="Times New Roman" w:hAnsi="Times New Roman"/>
                <w:sz w:val="28"/>
                <w:szCs w:val="28"/>
              </w:rPr>
              <w:t>година</w:t>
            </w:r>
          </w:p>
        </w:tc>
        <w:tc>
          <w:tcPr>
            <w:tcW w:w="1417" w:type="dxa"/>
            <w:shd w:val="clear" w:color="auto" w:fill="auto"/>
          </w:tcPr>
          <w:p w:rsidR="00207A6A" w:rsidRPr="00464557" w:rsidRDefault="00207A6A" w:rsidP="00207A6A">
            <w:pPr>
              <w:spacing w:after="0" w:line="240" w:lineRule="auto"/>
              <w:ind w:firstLine="294"/>
              <w:jc w:val="both"/>
              <w:rPr>
                <w:rFonts w:ascii="Times New Roman" w:eastAsia="Times New Roman" w:hAnsi="Times New Roman"/>
                <w:sz w:val="28"/>
                <w:szCs w:val="28"/>
              </w:rPr>
            </w:pPr>
            <w:r w:rsidRPr="00464557">
              <w:rPr>
                <w:rFonts w:ascii="Times New Roman" w:eastAsia="Times New Roman" w:hAnsi="Times New Roman"/>
                <w:sz w:val="28"/>
                <w:szCs w:val="28"/>
              </w:rPr>
              <w:t>2018</w:t>
            </w:r>
          </w:p>
          <w:p w:rsidR="00207A6A" w:rsidRPr="00464557" w:rsidRDefault="00207A6A" w:rsidP="00207A6A">
            <w:pPr>
              <w:spacing w:after="0" w:line="240" w:lineRule="auto"/>
              <w:ind w:firstLine="294"/>
              <w:jc w:val="both"/>
              <w:rPr>
                <w:rFonts w:ascii="Times New Roman" w:eastAsia="Times New Roman" w:hAnsi="Times New Roman"/>
                <w:sz w:val="28"/>
                <w:szCs w:val="28"/>
              </w:rPr>
            </w:pPr>
            <w:r w:rsidRPr="00464557">
              <w:rPr>
                <w:rFonts w:ascii="Times New Roman" w:eastAsia="Times New Roman" w:hAnsi="Times New Roman"/>
                <w:sz w:val="28"/>
                <w:szCs w:val="28"/>
              </w:rPr>
              <w:t>година</w:t>
            </w:r>
          </w:p>
        </w:tc>
        <w:tc>
          <w:tcPr>
            <w:tcW w:w="1276" w:type="dxa"/>
            <w:shd w:val="clear" w:color="auto" w:fill="auto"/>
          </w:tcPr>
          <w:p w:rsidR="00207A6A" w:rsidRPr="00464557" w:rsidRDefault="00207A6A" w:rsidP="00207A6A">
            <w:pPr>
              <w:spacing w:after="0" w:line="240" w:lineRule="auto"/>
              <w:ind w:firstLine="182"/>
              <w:jc w:val="both"/>
              <w:rPr>
                <w:rFonts w:ascii="Times New Roman" w:eastAsia="Times New Roman" w:hAnsi="Times New Roman"/>
                <w:sz w:val="28"/>
                <w:szCs w:val="28"/>
              </w:rPr>
            </w:pPr>
            <w:r w:rsidRPr="00464557">
              <w:rPr>
                <w:rFonts w:ascii="Times New Roman" w:eastAsia="Times New Roman" w:hAnsi="Times New Roman"/>
                <w:sz w:val="28"/>
                <w:szCs w:val="28"/>
              </w:rPr>
              <w:t>2017</w:t>
            </w:r>
          </w:p>
          <w:p w:rsidR="00207A6A" w:rsidRPr="00464557" w:rsidRDefault="00207A6A" w:rsidP="00207A6A">
            <w:pPr>
              <w:spacing w:after="0" w:line="240" w:lineRule="auto"/>
              <w:ind w:firstLine="182"/>
              <w:jc w:val="both"/>
              <w:rPr>
                <w:rFonts w:ascii="Times New Roman" w:eastAsia="Times New Roman" w:hAnsi="Times New Roman"/>
                <w:sz w:val="28"/>
                <w:szCs w:val="28"/>
              </w:rPr>
            </w:pPr>
            <w:r w:rsidRPr="00464557">
              <w:rPr>
                <w:rFonts w:ascii="Times New Roman" w:eastAsia="Times New Roman" w:hAnsi="Times New Roman"/>
                <w:sz w:val="28"/>
                <w:szCs w:val="28"/>
              </w:rPr>
              <w:t>година</w:t>
            </w:r>
          </w:p>
        </w:tc>
      </w:tr>
      <w:tr w:rsidR="00207A6A" w:rsidRPr="00464557" w:rsidTr="001977A0">
        <w:trPr>
          <w:trHeight w:val="741"/>
        </w:trPr>
        <w:tc>
          <w:tcPr>
            <w:tcW w:w="5189" w:type="dxa"/>
            <w:shd w:val="clear" w:color="auto" w:fill="auto"/>
          </w:tcPr>
          <w:p w:rsidR="00207A6A" w:rsidRPr="00464557" w:rsidRDefault="00207A6A" w:rsidP="00207A6A">
            <w:pPr>
              <w:spacing w:after="0" w:line="240" w:lineRule="auto"/>
              <w:ind w:firstLine="142"/>
              <w:jc w:val="both"/>
              <w:rPr>
                <w:rFonts w:ascii="Times New Roman" w:eastAsia="Times New Roman" w:hAnsi="Times New Roman"/>
                <w:sz w:val="28"/>
                <w:szCs w:val="28"/>
              </w:rPr>
            </w:pPr>
            <w:r w:rsidRPr="00464557">
              <w:rPr>
                <w:rFonts w:ascii="Times New Roman" w:eastAsia="Times New Roman" w:hAnsi="Times New Roman"/>
                <w:sz w:val="28"/>
                <w:szCs w:val="28"/>
              </w:rPr>
              <w:t>Наблюдавани, реално разследвани ДП</w:t>
            </w:r>
          </w:p>
        </w:tc>
        <w:tc>
          <w:tcPr>
            <w:tcW w:w="1440" w:type="dxa"/>
          </w:tcPr>
          <w:p w:rsidR="00207A6A" w:rsidRPr="00464557" w:rsidRDefault="00207A6A" w:rsidP="00207A6A">
            <w:pPr>
              <w:spacing w:after="0" w:line="240" w:lineRule="auto"/>
              <w:ind w:firstLine="294"/>
              <w:jc w:val="both"/>
              <w:rPr>
                <w:rFonts w:ascii="Times New Roman" w:eastAsia="Times New Roman" w:hAnsi="Times New Roman"/>
                <w:sz w:val="28"/>
                <w:szCs w:val="28"/>
              </w:rPr>
            </w:pPr>
            <w:r w:rsidRPr="00464557">
              <w:rPr>
                <w:rFonts w:ascii="Times New Roman" w:eastAsia="Times New Roman" w:hAnsi="Times New Roman"/>
                <w:sz w:val="28"/>
                <w:szCs w:val="28"/>
              </w:rPr>
              <w:t>1948</w:t>
            </w:r>
          </w:p>
        </w:tc>
        <w:tc>
          <w:tcPr>
            <w:tcW w:w="1417" w:type="dxa"/>
            <w:shd w:val="clear" w:color="auto" w:fill="auto"/>
          </w:tcPr>
          <w:p w:rsidR="00207A6A" w:rsidRPr="00464557" w:rsidRDefault="00207A6A" w:rsidP="00207A6A">
            <w:pPr>
              <w:spacing w:after="0" w:line="240" w:lineRule="auto"/>
              <w:ind w:firstLine="294"/>
              <w:jc w:val="both"/>
              <w:rPr>
                <w:rFonts w:ascii="Times New Roman" w:eastAsia="Times New Roman" w:hAnsi="Times New Roman"/>
                <w:sz w:val="28"/>
                <w:szCs w:val="28"/>
              </w:rPr>
            </w:pPr>
            <w:r w:rsidRPr="00464557">
              <w:rPr>
                <w:rFonts w:ascii="Times New Roman" w:eastAsia="Times New Roman" w:hAnsi="Times New Roman"/>
                <w:sz w:val="28"/>
                <w:szCs w:val="28"/>
              </w:rPr>
              <w:t>1911</w:t>
            </w:r>
          </w:p>
        </w:tc>
        <w:tc>
          <w:tcPr>
            <w:tcW w:w="1276" w:type="dxa"/>
            <w:shd w:val="clear" w:color="auto" w:fill="auto"/>
          </w:tcPr>
          <w:p w:rsidR="00207A6A" w:rsidRPr="00464557" w:rsidRDefault="00207A6A" w:rsidP="00207A6A">
            <w:pPr>
              <w:spacing w:after="0" w:line="240" w:lineRule="auto"/>
              <w:ind w:firstLine="182"/>
              <w:jc w:val="both"/>
              <w:rPr>
                <w:rFonts w:ascii="Times New Roman" w:eastAsia="Times New Roman" w:hAnsi="Times New Roman"/>
                <w:sz w:val="28"/>
                <w:szCs w:val="28"/>
              </w:rPr>
            </w:pPr>
            <w:r w:rsidRPr="00464557">
              <w:rPr>
                <w:rFonts w:ascii="Times New Roman" w:eastAsia="Times New Roman" w:hAnsi="Times New Roman"/>
                <w:sz w:val="28"/>
                <w:szCs w:val="28"/>
              </w:rPr>
              <w:t>1940</w:t>
            </w:r>
          </w:p>
        </w:tc>
      </w:tr>
      <w:tr w:rsidR="00207A6A" w:rsidRPr="00464557" w:rsidTr="001977A0">
        <w:trPr>
          <w:trHeight w:val="696"/>
        </w:trPr>
        <w:tc>
          <w:tcPr>
            <w:tcW w:w="5189" w:type="dxa"/>
            <w:shd w:val="clear" w:color="auto" w:fill="auto"/>
          </w:tcPr>
          <w:p w:rsidR="00207A6A" w:rsidRPr="00464557" w:rsidRDefault="00207A6A" w:rsidP="00207A6A">
            <w:pPr>
              <w:spacing w:after="0" w:line="240" w:lineRule="auto"/>
              <w:ind w:firstLine="142"/>
              <w:jc w:val="both"/>
              <w:rPr>
                <w:rFonts w:ascii="Times New Roman" w:eastAsia="Times New Roman" w:hAnsi="Times New Roman"/>
                <w:sz w:val="28"/>
                <w:szCs w:val="28"/>
              </w:rPr>
            </w:pPr>
            <w:r w:rsidRPr="00464557">
              <w:rPr>
                <w:rFonts w:ascii="Times New Roman" w:eastAsia="Times New Roman" w:hAnsi="Times New Roman"/>
                <w:sz w:val="28"/>
                <w:szCs w:val="28"/>
              </w:rPr>
              <w:t>Новообразувани ДП</w:t>
            </w:r>
          </w:p>
        </w:tc>
        <w:tc>
          <w:tcPr>
            <w:tcW w:w="1440" w:type="dxa"/>
          </w:tcPr>
          <w:p w:rsidR="00207A6A" w:rsidRPr="00464557" w:rsidRDefault="00207A6A" w:rsidP="00207A6A">
            <w:pPr>
              <w:spacing w:after="0" w:line="240" w:lineRule="auto"/>
              <w:ind w:firstLine="294"/>
              <w:jc w:val="both"/>
              <w:rPr>
                <w:rFonts w:ascii="Times New Roman" w:eastAsia="Times New Roman" w:hAnsi="Times New Roman"/>
                <w:sz w:val="28"/>
                <w:szCs w:val="28"/>
              </w:rPr>
            </w:pPr>
            <w:r w:rsidRPr="00464557">
              <w:rPr>
                <w:rFonts w:ascii="Times New Roman" w:eastAsia="Times New Roman" w:hAnsi="Times New Roman"/>
                <w:sz w:val="28"/>
                <w:szCs w:val="28"/>
              </w:rPr>
              <w:t>1259</w:t>
            </w:r>
          </w:p>
        </w:tc>
        <w:tc>
          <w:tcPr>
            <w:tcW w:w="1417" w:type="dxa"/>
            <w:shd w:val="clear" w:color="auto" w:fill="auto"/>
          </w:tcPr>
          <w:p w:rsidR="00207A6A" w:rsidRPr="00464557" w:rsidRDefault="00207A6A" w:rsidP="00207A6A">
            <w:pPr>
              <w:spacing w:after="0" w:line="240" w:lineRule="auto"/>
              <w:ind w:firstLine="294"/>
              <w:jc w:val="both"/>
              <w:rPr>
                <w:rFonts w:ascii="Times New Roman" w:eastAsia="Times New Roman" w:hAnsi="Times New Roman"/>
                <w:sz w:val="28"/>
                <w:szCs w:val="28"/>
              </w:rPr>
            </w:pPr>
            <w:r w:rsidRPr="00464557">
              <w:rPr>
                <w:rFonts w:ascii="Times New Roman" w:eastAsia="Times New Roman" w:hAnsi="Times New Roman"/>
                <w:sz w:val="28"/>
                <w:szCs w:val="28"/>
              </w:rPr>
              <w:t>1284</w:t>
            </w:r>
          </w:p>
        </w:tc>
        <w:tc>
          <w:tcPr>
            <w:tcW w:w="1276" w:type="dxa"/>
            <w:shd w:val="clear" w:color="auto" w:fill="auto"/>
          </w:tcPr>
          <w:p w:rsidR="00207A6A" w:rsidRPr="00464557" w:rsidRDefault="00207A6A" w:rsidP="00207A6A">
            <w:pPr>
              <w:spacing w:after="0" w:line="240" w:lineRule="auto"/>
              <w:ind w:firstLine="182"/>
              <w:jc w:val="both"/>
              <w:rPr>
                <w:rFonts w:ascii="Times New Roman" w:eastAsia="Times New Roman" w:hAnsi="Times New Roman"/>
                <w:sz w:val="28"/>
                <w:szCs w:val="28"/>
              </w:rPr>
            </w:pPr>
            <w:r w:rsidRPr="00464557">
              <w:rPr>
                <w:rFonts w:ascii="Times New Roman" w:eastAsia="Times New Roman" w:hAnsi="Times New Roman"/>
                <w:sz w:val="28"/>
                <w:szCs w:val="28"/>
              </w:rPr>
              <w:t>1353</w:t>
            </w:r>
          </w:p>
        </w:tc>
      </w:tr>
      <w:tr w:rsidR="00207A6A" w:rsidRPr="00464557" w:rsidTr="001977A0">
        <w:trPr>
          <w:trHeight w:val="833"/>
        </w:trPr>
        <w:tc>
          <w:tcPr>
            <w:tcW w:w="5189" w:type="dxa"/>
            <w:shd w:val="clear" w:color="auto" w:fill="auto"/>
          </w:tcPr>
          <w:p w:rsidR="00207A6A" w:rsidRPr="00464557" w:rsidRDefault="00207A6A" w:rsidP="00207A6A">
            <w:pPr>
              <w:spacing w:after="0" w:line="240" w:lineRule="auto"/>
              <w:ind w:firstLine="142"/>
              <w:jc w:val="both"/>
              <w:rPr>
                <w:rFonts w:ascii="Times New Roman" w:eastAsia="Times New Roman" w:hAnsi="Times New Roman"/>
                <w:sz w:val="28"/>
                <w:szCs w:val="28"/>
              </w:rPr>
            </w:pPr>
            <w:r w:rsidRPr="00464557">
              <w:rPr>
                <w:rFonts w:ascii="Times New Roman" w:eastAsia="Times New Roman" w:hAnsi="Times New Roman"/>
                <w:sz w:val="28"/>
                <w:szCs w:val="28"/>
              </w:rPr>
              <w:t>Относителен дял на новообразуваните ДП</w:t>
            </w:r>
          </w:p>
        </w:tc>
        <w:tc>
          <w:tcPr>
            <w:tcW w:w="1440" w:type="dxa"/>
          </w:tcPr>
          <w:p w:rsidR="00207A6A" w:rsidRPr="00464557" w:rsidRDefault="00207A6A" w:rsidP="00207A6A">
            <w:pPr>
              <w:spacing w:after="0" w:line="240" w:lineRule="auto"/>
              <w:ind w:firstLine="294"/>
              <w:jc w:val="both"/>
              <w:rPr>
                <w:rFonts w:ascii="Times New Roman" w:eastAsia="Times New Roman" w:hAnsi="Times New Roman"/>
                <w:sz w:val="28"/>
                <w:szCs w:val="28"/>
              </w:rPr>
            </w:pPr>
            <w:r w:rsidRPr="00464557">
              <w:rPr>
                <w:rFonts w:ascii="Times New Roman" w:eastAsia="Times New Roman" w:hAnsi="Times New Roman"/>
                <w:sz w:val="28"/>
                <w:szCs w:val="28"/>
              </w:rPr>
              <w:t>64,6%</w:t>
            </w:r>
          </w:p>
        </w:tc>
        <w:tc>
          <w:tcPr>
            <w:tcW w:w="1417" w:type="dxa"/>
            <w:shd w:val="clear" w:color="auto" w:fill="auto"/>
          </w:tcPr>
          <w:p w:rsidR="00207A6A" w:rsidRPr="00464557" w:rsidRDefault="00207A6A" w:rsidP="00207A6A">
            <w:pPr>
              <w:spacing w:after="0" w:line="240" w:lineRule="auto"/>
              <w:ind w:firstLine="294"/>
              <w:jc w:val="both"/>
              <w:rPr>
                <w:rFonts w:ascii="Times New Roman" w:eastAsia="Times New Roman" w:hAnsi="Times New Roman"/>
                <w:sz w:val="28"/>
                <w:szCs w:val="28"/>
              </w:rPr>
            </w:pPr>
            <w:r w:rsidRPr="00464557">
              <w:rPr>
                <w:rFonts w:ascii="Times New Roman" w:eastAsia="Times New Roman" w:hAnsi="Times New Roman"/>
                <w:sz w:val="28"/>
                <w:szCs w:val="28"/>
              </w:rPr>
              <w:t>67,2%</w:t>
            </w:r>
          </w:p>
        </w:tc>
        <w:tc>
          <w:tcPr>
            <w:tcW w:w="1276" w:type="dxa"/>
            <w:shd w:val="clear" w:color="auto" w:fill="auto"/>
          </w:tcPr>
          <w:p w:rsidR="00207A6A" w:rsidRPr="00464557" w:rsidRDefault="00207A6A" w:rsidP="00207A6A">
            <w:pPr>
              <w:spacing w:after="0" w:line="240" w:lineRule="auto"/>
              <w:ind w:firstLine="182"/>
              <w:jc w:val="both"/>
              <w:rPr>
                <w:rFonts w:ascii="Times New Roman" w:eastAsia="Times New Roman" w:hAnsi="Times New Roman"/>
                <w:sz w:val="28"/>
                <w:szCs w:val="28"/>
              </w:rPr>
            </w:pPr>
            <w:r w:rsidRPr="00464557">
              <w:rPr>
                <w:rFonts w:ascii="Times New Roman" w:eastAsia="Times New Roman" w:hAnsi="Times New Roman"/>
                <w:sz w:val="28"/>
                <w:szCs w:val="28"/>
              </w:rPr>
              <w:t>69.7%</w:t>
            </w:r>
          </w:p>
        </w:tc>
      </w:tr>
    </w:tbl>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lang w:val="en-US"/>
        </w:rPr>
      </w:pPr>
      <w:proofErr w:type="spellStart"/>
      <w:proofErr w:type="gramStart"/>
      <w:r w:rsidRPr="00464557">
        <w:rPr>
          <w:rFonts w:ascii="Times New Roman" w:eastAsia="Times New Roman" w:hAnsi="Times New Roman"/>
          <w:sz w:val="28"/>
          <w:szCs w:val="28"/>
          <w:lang w:val="en-US"/>
        </w:rPr>
        <w:t>Традиционно</w:t>
      </w:r>
      <w:proofErr w:type="spellEnd"/>
      <w:r w:rsidRPr="00464557">
        <w:rPr>
          <w:rFonts w:ascii="Times New Roman" w:eastAsia="Times New Roman" w:hAnsi="Times New Roman"/>
          <w:sz w:val="28"/>
          <w:szCs w:val="28"/>
          <w:lang w:val="en-US"/>
        </w:rPr>
        <w:t xml:space="preserve"> с </w:t>
      </w:r>
      <w:proofErr w:type="spellStart"/>
      <w:r w:rsidRPr="00464557">
        <w:rPr>
          <w:rFonts w:ascii="Times New Roman" w:eastAsia="Times New Roman" w:hAnsi="Times New Roman"/>
          <w:sz w:val="28"/>
          <w:szCs w:val="28"/>
          <w:lang w:val="en-US"/>
        </w:rPr>
        <w:t>най-голям</w:t>
      </w:r>
      <w:proofErr w:type="spellEnd"/>
      <w:r w:rsidRPr="00464557">
        <w:rPr>
          <w:rFonts w:ascii="Times New Roman" w:eastAsia="Times New Roman" w:hAnsi="Times New Roman"/>
          <w:sz w:val="28"/>
          <w:szCs w:val="28"/>
          <w:lang w:val="en-US"/>
        </w:rPr>
        <w:t xml:space="preserve"> </w:t>
      </w:r>
      <w:proofErr w:type="spellStart"/>
      <w:r w:rsidRPr="00464557">
        <w:rPr>
          <w:rFonts w:ascii="Times New Roman" w:eastAsia="Times New Roman" w:hAnsi="Times New Roman"/>
          <w:sz w:val="28"/>
          <w:szCs w:val="28"/>
          <w:lang w:val="en-US"/>
        </w:rPr>
        <w:t>дял</w:t>
      </w:r>
      <w:proofErr w:type="spellEnd"/>
      <w:r w:rsidRPr="00464557">
        <w:rPr>
          <w:rFonts w:ascii="Times New Roman" w:eastAsia="Times New Roman" w:hAnsi="Times New Roman"/>
          <w:sz w:val="28"/>
          <w:szCs w:val="28"/>
          <w:lang w:val="en-US"/>
        </w:rPr>
        <w:t xml:space="preserve"> </w:t>
      </w:r>
      <w:proofErr w:type="spellStart"/>
      <w:r w:rsidRPr="00464557">
        <w:rPr>
          <w:rFonts w:ascii="Times New Roman" w:eastAsia="Times New Roman" w:hAnsi="Times New Roman"/>
          <w:sz w:val="28"/>
          <w:szCs w:val="28"/>
          <w:lang w:val="en-US"/>
        </w:rPr>
        <w:t>са</w:t>
      </w:r>
      <w:proofErr w:type="spellEnd"/>
      <w:r w:rsidRPr="00464557">
        <w:rPr>
          <w:rFonts w:ascii="Times New Roman" w:eastAsia="Times New Roman" w:hAnsi="Times New Roman"/>
          <w:sz w:val="28"/>
          <w:szCs w:val="28"/>
          <w:lang w:val="en-US"/>
        </w:rPr>
        <w:t xml:space="preserve"> </w:t>
      </w:r>
      <w:proofErr w:type="spellStart"/>
      <w:r w:rsidRPr="00464557">
        <w:rPr>
          <w:rFonts w:ascii="Times New Roman" w:eastAsia="Times New Roman" w:hAnsi="Times New Roman"/>
          <w:sz w:val="28"/>
          <w:szCs w:val="28"/>
          <w:lang w:val="en-US"/>
        </w:rPr>
        <w:t>новообразуваните</w:t>
      </w:r>
      <w:proofErr w:type="spellEnd"/>
      <w:r w:rsidRPr="00464557">
        <w:rPr>
          <w:rFonts w:ascii="Times New Roman" w:eastAsia="Times New Roman" w:hAnsi="Times New Roman"/>
          <w:sz w:val="28"/>
          <w:szCs w:val="28"/>
          <w:lang w:val="en-US"/>
        </w:rPr>
        <w:t xml:space="preserve"> </w:t>
      </w:r>
      <w:proofErr w:type="spellStart"/>
      <w:r w:rsidRPr="00464557">
        <w:rPr>
          <w:rFonts w:ascii="Times New Roman" w:eastAsia="Times New Roman" w:hAnsi="Times New Roman"/>
          <w:sz w:val="28"/>
          <w:szCs w:val="28"/>
          <w:lang w:val="en-US"/>
        </w:rPr>
        <w:t>досъдебни</w:t>
      </w:r>
      <w:proofErr w:type="spellEnd"/>
      <w:r w:rsidRPr="00464557">
        <w:rPr>
          <w:rFonts w:ascii="Times New Roman" w:eastAsia="Times New Roman" w:hAnsi="Times New Roman"/>
          <w:sz w:val="28"/>
          <w:szCs w:val="28"/>
          <w:lang w:val="en-US"/>
        </w:rPr>
        <w:t xml:space="preserve"> </w:t>
      </w:r>
      <w:proofErr w:type="spellStart"/>
      <w:r w:rsidRPr="00464557">
        <w:rPr>
          <w:rFonts w:ascii="Times New Roman" w:eastAsia="Times New Roman" w:hAnsi="Times New Roman"/>
          <w:sz w:val="28"/>
          <w:szCs w:val="28"/>
          <w:lang w:val="en-US"/>
        </w:rPr>
        <w:t>производства</w:t>
      </w:r>
      <w:proofErr w:type="spellEnd"/>
      <w:r w:rsidRPr="00464557">
        <w:rPr>
          <w:rFonts w:ascii="Times New Roman" w:eastAsia="Times New Roman" w:hAnsi="Times New Roman"/>
          <w:sz w:val="28"/>
          <w:szCs w:val="28"/>
          <w:lang w:val="en-US"/>
        </w:rPr>
        <w:t xml:space="preserve"> </w:t>
      </w:r>
      <w:proofErr w:type="spellStart"/>
      <w:r w:rsidRPr="00464557">
        <w:rPr>
          <w:rFonts w:ascii="Times New Roman" w:eastAsia="Times New Roman" w:hAnsi="Times New Roman"/>
          <w:sz w:val="28"/>
          <w:szCs w:val="28"/>
          <w:lang w:val="en-US"/>
        </w:rPr>
        <w:t>разследвани</w:t>
      </w:r>
      <w:proofErr w:type="spellEnd"/>
      <w:r w:rsidRPr="00464557">
        <w:rPr>
          <w:rFonts w:ascii="Times New Roman" w:eastAsia="Times New Roman" w:hAnsi="Times New Roman"/>
          <w:sz w:val="28"/>
          <w:szCs w:val="28"/>
          <w:lang w:val="en-US"/>
        </w:rPr>
        <w:t xml:space="preserve"> </w:t>
      </w:r>
      <w:proofErr w:type="spellStart"/>
      <w:r w:rsidRPr="00464557">
        <w:rPr>
          <w:rFonts w:ascii="Times New Roman" w:eastAsia="Times New Roman" w:hAnsi="Times New Roman"/>
          <w:sz w:val="28"/>
          <w:szCs w:val="28"/>
          <w:lang w:val="en-US"/>
        </w:rPr>
        <w:t>по</w:t>
      </w:r>
      <w:proofErr w:type="spellEnd"/>
      <w:r w:rsidRPr="00464557">
        <w:rPr>
          <w:rFonts w:ascii="Times New Roman" w:eastAsia="Times New Roman" w:hAnsi="Times New Roman"/>
          <w:sz w:val="28"/>
          <w:szCs w:val="28"/>
          <w:lang w:val="en-US"/>
        </w:rPr>
        <w:t xml:space="preserve"> </w:t>
      </w:r>
      <w:proofErr w:type="spellStart"/>
      <w:r w:rsidRPr="00464557">
        <w:rPr>
          <w:rFonts w:ascii="Times New Roman" w:eastAsia="Times New Roman" w:hAnsi="Times New Roman"/>
          <w:sz w:val="28"/>
          <w:szCs w:val="28"/>
          <w:lang w:val="en-US"/>
        </w:rPr>
        <w:t>общия</w:t>
      </w:r>
      <w:proofErr w:type="spellEnd"/>
      <w:r w:rsidRPr="00464557">
        <w:rPr>
          <w:rFonts w:ascii="Times New Roman" w:eastAsia="Times New Roman" w:hAnsi="Times New Roman"/>
          <w:sz w:val="28"/>
          <w:szCs w:val="28"/>
          <w:lang w:val="en-US"/>
        </w:rPr>
        <w:t xml:space="preserve"> </w:t>
      </w:r>
      <w:proofErr w:type="spellStart"/>
      <w:r w:rsidRPr="00464557">
        <w:rPr>
          <w:rFonts w:ascii="Times New Roman" w:eastAsia="Times New Roman" w:hAnsi="Times New Roman"/>
          <w:sz w:val="28"/>
          <w:szCs w:val="28"/>
          <w:lang w:val="en-US"/>
        </w:rPr>
        <w:t>ред</w:t>
      </w:r>
      <w:proofErr w:type="spellEnd"/>
      <w:r w:rsidRPr="00464557">
        <w:rPr>
          <w:rFonts w:ascii="Times New Roman" w:eastAsia="Times New Roman" w:hAnsi="Times New Roman"/>
          <w:sz w:val="28"/>
          <w:szCs w:val="28"/>
          <w:lang w:val="en-US"/>
        </w:rPr>
        <w:t xml:space="preserve"> </w:t>
      </w:r>
      <w:proofErr w:type="spellStart"/>
      <w:r w:rsidRPr="00464557">
        <w:rPr>
          <w:rFonts w:ascii="Times New Roman" w:eastAsia="Times New Roman" w:hAnsi="Times New Roman"/>
          <w:sz w:val="28"/>
          <w:szCs w:val="28"/>
          <w:lang w:val="en-US"/>
        </w:rPr>
        <w:t>от</w:t>
      </w:r>
      <w:proofErr w:type="spellEnd"/>
      <w:r w:rsidRPr="00464557">
        <w:rPr>
          <w:rFonts w:ascii="Times New Roman" w:eastAsia="Times New Roman" w:hAnsi="Times New Roman"/>
          <w:sz w:val="28"/>
          <w:szCs w:val="28"/>
          <w:lang w:val="en-US"/>
        </w:rPr>
        <w:t xml:space="preserve"> </w:t>
      </w:r>
      <w:proofErr w:type="spellStart"/>
      <w:r w:rsidRPr="00464557">
        <w:rPr>
          <w:rFonts w:ascii="Times New Roman" w:eastAsia="Times New Roman" w:hAnsi="Times New Roman"/>
          <w:sz w:val="28"/>
          <w:szCs w:val="28"/>
          <w:lang w:val="en-US"/>
        </w:rPr>
        <w:t>разследващ</w:t>
      </w:r>
      <w:proofErr w:type="spellEnd"/>
      <w:r w:rsidRPr="00464557">
        <w:rPr>
          <w:rFonts w:ascii="Times New Roman" w:eastAsia="Times New Roman" w:hAnsi="Times New Roman"/>
          <w:sz w:val="28"/>
          <w:szCs w:val="28"/>
          <w:lang w:val="en-US"/>
        </w:rPr>
        <w:t xml:space="preserve"> </w:t>
      </w:r>
      <w:proofErr w:type="spellStart"/>
      <w:r w:rsidRPr="00464557">
        <w:rPr>
          <w:rFonts w:ascii="Times New Roman" w:eastAsia="Times New Roman" w:hAnsi="Times New Roman"/>
          <w:sz w:val="28"/>
          <w:szCs w:val="28"/>
          <w:lang w:val="en-US"/>
        </w:rPr>
        <w:t>полицай</w:t>
      </w:r>
      <w:proofErr w:type="spellEnd"/>
      <w:r w:rsidRPr="00464557">
        <w:rPr>
          <w:rFonts w:ascii="Times New Roman" w:eastAsia="Times New Roman" w:hAnsi="Times New Roman"/>
          <w:sz w:val="28"/>
          <w:szCs w:val="28"/>
          <w:lang w:val="en-US"/>
        </w:rPr>
        <w:t xml:space="preserve"> – </w:t>
      </w:r>
      <w:r w:rsidRPr="00464557">
        <w:rPr>
          <w:rFonts w:ascii="Times New Roman" w:eastAsia="Times New Roman" w:hAnsi="Times New Roman"/>
          <w:sz w:val="28"/>
          <w:szCs w:val="28"/>
        </w:rPr>
        <w:t>866</w:t>
      </w:r>
      <w:r w:rsidRPr="00464557">
        <w:rPr>
          <w:rFonts w:ascii="Times New Roman" w:eastAsia="Times New Roman" w:hAnsi="Times New Roman"/>
          <w:sz w:val="28"/>
          <w:szCs w:val="28"/>
          <w:lang w:val="en-US"/>
        </w:rPr>
        <w:t xml:space="preserve"> </w:t>
      </w:r>
      <w:proofErr w:type="spellStart"/>
      <w:r w:rsidRPr="00464557">
        <w:rPr>
          <w:rFonts w:ascii="Times New Roman" w:eastAsia="Times New Roman" w:hAnsi="Times New Roman"/>
          <w:sz w:val="28"/>
          <w:szCs w:val="28"/>
          <w:lang w:val="en-US"/>
        </w:rPr>
        <w:t>на</w:t>
      </w:r>
      <w:proofErr w:type="spellEnd"/>
      <w:r w:rsidRPr="00464557">
        <w:rPr>
          <w:rFonts w:ascii="Times New Roman" w:eastAsia="Times New Roman" w:hAnsi="Times New Roman"/>
          <w:sz w:val="28"/>
          <w:szCs w:val="28"/>
          <w:lang w:val="en-US"/>
        </w:rPr>
        <w:t xml:space="preserve"> </w:t>
      </w:r>
      <w:proofErr w:type="spellStart"/>
      <w:r w:rsidRPr="00464557">
        <w:rPr>
          <w:rFonts w:ascii="Times New Roman" w:eastAsia="Times New Roman" w:hAnsi="Times New Roman"/>
          <w:sz w:val="28"/>
          <w:szCs w:val="28"/>
          <w:lang w:val="en-US"/>
        </w:rPr>
        <w:t>брой</w:t>
      </w:r>
      <w:proofErr w:type="spellEnd"/>
      <w:r w:rsidRPr="00464557">
        <w:rPr>
          <w:rFonts w:ascii="Times New Roman" w:eastAsia="Times New Roman" w:hAnsi="Times New Roman"/>
          <w:sz w:val="28"/>
          <w:szCs w:val="28"/>
          <w:lang w:val="en-US"/>
        </w:rPr>
        <w:t>.</w:t>
      </w:r>
      <w:proofErr w:type="gramEnd"/>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roofErr w:type="spellStart"/>
      <w:proofErr w:type="gramStart"/>
      <w:r w:rsidRPr="00464557">
        <w:rPr>
          <w:rFonts w:ascii="Times New Roman" w:eastAsia="Times New Roman" w:hAnsi="Times New Roman"/>
          <w:sz w:val="28"/>
          <w:szCs w:val="28"/>
          <w:lang w:val="en-US"/>
        </w:rPr>
        <w:t>Новообразуваните</w:t>
      </w:r>
      <w:proofErr w:type="spellEnd"/>
      <w:r w:rsidRPr="00464557">
        <w:rPr>
          <w:rFonts w:ascii="Times New Roman" w:eastAsia="Times New Roman" w:hAnsi="Times New Roman"/>
          <w:sz w:val="28"/>
          <w:szCs w:val="28"/>
          <w:lang w:val="en-US"/>
        </w:rPr>
        <w:t xml:space="preserve"> </w:t>
      </w:r>
      <w:proofErr w:type="spellStart"/>
      <w:r w:rsidRPr="00464557">
        <w:rPr>
          <w:rFonts w:ascii="Times New Roman" w:eastAsia="Times New Roman" w:hAnsi="Times New Roman"/>
          <w:sz w:val="28"/>
          <w:szCs w:val="28"/>
          <w:lang w:val="en-US"/>
        </w:rPr>
        <w:t>бързи</w:t>
      </w:r>
      <w:proofErr w:type="spellEnd"/>
      <w:r w:rsidRPr="00464557">
        <w:rPr>
          <w:rFonts w:ascii="Times New Roman" w:eastAsia="Times New Roman" w:hAnsi="Times New Roman"/>
          <w:sz w:val="28"/>
          <w:szCs w:val="28"/>
          <w:lang w:val="en-US"/>
        </w:rPr>
        <w:t xml:space="preserve"> </w:t>
      </w:r>
      <w:proofErr w:type="spellStart"/>
      <w:r w:rsidRPr="00464557">
        <w:rPr>
          <w:rFonts w:ascii="Times New Roman" w:eastAsia="Times New Roman" w:hAnsi="Times New Roman"/>
          <w:sz w:val="28"/>
          <w:szCs w:val="28"/>
          <w:lang w:val="en-US"/>
        </w:rPr>
        <w:t>производства</w:t>
      </w:r>
      <w:proofErr w:type="spellEnd"/>
      <w:r w:rsidRPr="00464557">
        <w:rPr>
          <w:rFonts w:ascii="Times New Roman" w:eastAsia="Times New Roman" w:hAnsi="Times New Roman"/>
          <w:sz w:val="28"/>
          <w:szCs w:val="28"/>
          <w:lang w:val="en-US"/>
        </w:rPr>
        <w:t xml:space="preserve"> </w:t>
      </w:r>
      <w:proofErr w:type="spellStart"/>
      <w:r w:rsidRPr="00464557">
        <w:rPr>
          <w:rFonts w:ascii="Times New Roman" w:eastAsia="Times New Roman" w:hAnsi="Times New Roman"/>
          <w:sz w:val="28"/>
          <w:szCs w:val="28"/>
          <w:lang w:val="en-US"/>
        </w:rPr>
        <w:t>са</w:t>
      </w:r>
      <w:proofErr w:type="spellEnd"/>
      <w:r w:rsidRPr="00464557">
        <w:rPr>
          <w:rFonts w:ascii="Times New Roman" w:eastAsia="Times New Roman" w:hAnsi="Times New Roman"/>
          <w:sz w:val="28"/>
          <w:szCs w:val="28"/>
        </w:rPr>
        <w:t xml:space="preserve"> общо 343.</w:t>
      </w:r>
      <w:proofErr w:type="gramEnd"/>
    </w:p>
    <w:p w:rsidR="00207A6A" w:rsidRPr="00464557" w:rsidRDefault="00207A6A" w:rsidP="00207A6A">
      <w:pPr>
        <w:tabs>
          <w:tab w:val="right" w:pos="1440"/>
        </w:tabs>
        <w:spacing w:after="0" w:line="240" w:lineRule="auto"/>
        <w:ind w:firstLine="709"/>
        <w:jc w:val="both"/>
        <w:rPr>
          <w:rFonts w:ascii="Times New Roman" w:eastAsia="Times New Roman" w:hAnsi="Times New Roman"/>
          <w:color w:val="000000"/>
          <w:sz w:val="28"/>
          <w:szCs w:val="28"/>
        </w:rPr>
      </w:pPr>
      <w:r w:rsidRPr="00464557">
        <w:rPr>
          <w:rFonts w:ascii="Times New Roman" w:eastAsia="Times New Roman" w:hAnsi="Times New Roman"/>
          <w:sz w:val="28"/>
          <w:szCs w:val="28"/>
        </w:rPr>
        <w:t xml:space="preserve">Новообразуваните дела разследвани от следовател са 48, </w:t>
      </w:r>
      <w:r w:rsidRPr="00464557">
        <w:rPr>
          <w:rFonts w:ascii="Times New Roman" w:eastAsia="Times New Roman" w:hAnsi="Times New Roman"/>
          <w:color w:val="000000"/>
          <w:sz w:val="28"/>
          <w:szCs w:val="28"/>
        </w:rPr>
        <w:t>в т.ч. 15, възложени по реда на чл.194, ал.1, т.4 от НПК.</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Няма новообразувани досъдебни производства разследвани от  прокурор.</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Има 2 новообразувани </w:t>
      </w:r>
      <w:proofErr w:type="spellStart"/>
      <w:r w:rsidRPr="00464557">
        <w:rPr>
          <w:rFonts w:ascii="Times New Roman" w:eastAsia="Times New Roman" w:hAnsi="Times New Roman"/>
          <w:sz w:val="28"/>
          <w:szCs w:val="28"/>
        </w:rPr>
        <w:t>досъдени</w:t>
      </w:r>
      <w:proofErr w:type="spellEnd"/>
      <w:r w:rsidRPr="00464557">
        <w:rPr>
          <w:rFonts w:ascii="Times New Roman" w:eastAsia="Times New Roman" w:hAnsi="Times New Roman"/>
          <w:sz w:val="28"/>
          <w:szCs w:val="28"/>
        </w:rPr>
        <w:t xml:space="preserve"> производства разследвани от митнически инспектор.</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Относителният дял на новообразуваните досъдебни производства по вид и разследващ орган се онагледява, както следва:</w:t>
      </w:r>
    </w:p>
    <w:p w:rsidR="00EA6F2D" w:rsidRPr="00464557" w:rsidRDefault="00EA6F2D" w:rsidP="00207A6A">
      <w:pPr>
        <w:tabs>
          <w:tab w:val="right" w:pos="1440"/>
        </w:tabs>
        <w:spacing w:after="0" w:line="240" w:lineRule="auto"/>
        <w:ind w:firstLine="709"/>
        <w:jc w:val="both"/>
        <w:rPr>
          <w:rFonts w:ascii="Times New Roman" w:eastAsia="Times New Roman" w:hAnsi="Times New Roman"/>
          <w:sz w:val="28"/>
          <w:szCs w:val="28"/>
        </w:rPr>
      </w:pPr>
    </w:p>
    <w:p w:rsidR="001977A0" w:rsidRPr="00464557" w:rsidRDefault="00207A6A" w:rsidP="00207A6A">
      <w:pPr>
        <w:tabs>
          <w:tab w:val="right" w:pos="1440"/>
        </w:tabs>
        <w:spacing w:after="0" w:line="240" w:lineRule="auto"/>
        <w:ind w:left="142" w:hanging="142"/>
        <w:jc w:val="both"/>
      </w:pPr>
      <w:r w:rsidRPr="00464557">
        <w:t xml:space="preserve">          </w:t>
      </w:r>
    </w:p>
    <w:p w:rsidR="001977A0" w:rsidRPr="00464557" w:rsidRDefault="001977A0" w:rsidP="00207A6A">
      <w:pPr>
        <w:tabs>
          <w:tab w:val="right" w:pos="1440"/>
        </w:tabs>
        <w:spacing w:after="0" w:line="240" w:lineRule="auto"/>
        <w:ind w:left="142" w:hanging="142"/>
        <w:jc w:val="both"/>
      </w:pPr>
      <w:r w:rsidRPr="00464557">
        <w:rPr>
          <w:rFonts w:ascii="Times New Roman" w:eastAsia="Times New Roman" w:hAnsi="Times New Roman"/>
          <w:noProof/>
          <w:sz w:val="28"/>
          <w:szCs w:val="28"/>
          <w:lang w:eastAsia="bg-BG"/>
        </w:rPr>
        <w:drawing>
          <wp:inline distT="0" distB="0" distL="0" distR="0" wp14:anchorId="11FCF589" wp14:editId="30644E74">
            <wp:extent cx="5867400" cy="3009900"/>
            <wp:effectExtent l="0" t="0" r="19050" b="19050"/>
            <wp:docPr id="6" name="Об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7A6A" w:rsidRPr="00464557" w:rsidRDefault="001977A0" w:rsidP="00207A6A">
      <w:pPr>
        <w:tabs>
          <w:tab w:val="right" w:pos="1440"/>
        </w:tabs>
        <w:spacing w:after="0" w:line="240" w:lineRule="auto"/>
        <w:ind w:left="142" w:hanging="142"/>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          </w:t>
      </w:r>
      <w:r w:rsidR="00207A6A" w:rsidRPr="00464557">
        <w:rPr>
          <w:rFonts w:ascii="Times New Roman" w:eastAsia="Times New Roman" w:hAnsi="Times New Roman"/>
          <w:sz w:val="28"/>
          <w:szCs w:val="28"/>
        </w:rPr>
        <w:t>Фиг.3 Относителен дял на новообразуваните досъдебни производства  по вид и разследващ орган</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352E93" w:rsidRPr="00464557" w:rsidRDefault="00352E93" w:rsidP="00207A6A">
      <w:pPr>
        <w:tabs>
          <w:tab w:val="right" w:pos="1440"/>
        </w:tabs>
        <w:spacing w:after="0" w:line="240" w:lineRule="auto"/>
        <w:ind w:firstLine="709"/>
        <w:jc w:val="both"/>
        <w:rPr>
          <w:rFonts w:ascii="Times New Roman" w:eastAsia="Times New Roman" w:hAnsi="Times New Roman"/>
          <w:sz w:val="28"/>
          <w:szCs w:val="28"/>
        </w:rPr>
      </w:pPr>
    </w:p>
    <w:p w:rsidR="00352E93" w:rsidRPr="00464557" w:rsidRDefault="00352E93"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След сравнителен анализ с предходната 2018 година  се налага извод за увеличение на абсолютната стойност и на относителния дял на новообразуваните досъдебни производства разследвани по общия ред от разследващ полицай и тези, разследвани от следовател, за сметка на спад на новообразуваните бързи производства. </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Районна прокуратура - Разград</w:t>
      </w:r>
      <w:r w:rsidRPr="00464557">
        <w:rPr>
          <w:rFonts w:ascii="Times New Roman" w:eastAsia="Times New Roman" w:hAnsi="Times New Roman"/>
          <w:sz w:val="28"/>
          <w:szCs w:val="28"/>
        </w:rPr>
        <w:t xml:space="preserve"> новообразуваните досъдебни производства съставляват 49,9%  от всички такива за съдебния район, при 46,6% за 2018 г. и 48,4% за 2017 г.</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 xml:space="preserve">Окръжна прокуратура - Разград </w:t>
      </w:r>
      <w:r w:rsidRPr="00464557">
        <w:rPr>
          <w:rFonts w:ascii="Times New Roman" w:eastAsia="Times New Roman" w:hAnsi="Times New Roman"/>
          <w:sz w:val="28"/>
          <w:szCs w:val="28"/>
        </w:rPr>
        <w:t xml:space="preserve"> наблюдаваните реално разследвани  досъдебни производства са 188, а новообразуваните са 73. Последните сочат тенденция на спад спрямо предходните години - 2018 г. са били 94, а 2017г. - 102.  </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Районна прокуратура - Разград</w:t>
      </w:r>
      <w:r w:rsidRPr="00464557">
        <w:rPr>
          <w:rFonts w:ascii="Times New Roman" w:eastAsia="Times New Roman" w:hAnsi="Times New Roman"/>
          <w:sz w:val="28"/>
          <w:szCs w:val="28"/>
        </w:rPr>
        <w:t xml:space="preserve"> реално разследвани  досъдебни производства са 993, а новообразуваните са 628. Последните бележат ръст спрямо </w:t>
      </w:r>
      <w:proofErr w:type="spellStart"/>
      <w:r w:rsidRPr="00464557">
        <w:rPr>
          <w:rFonts w:ascii="Times New Roman" w:eastAsia="Times New Roman" w:hAnsi="Times New Roman"/>
          <w:sz w:val="28"/>
          <w:szCs w:val="28"/>
        </w:rPr>
        <w:t>спрямо</w:t>
      </w:r>
      <w:proofErr w:type="spellEnd"/>
      <w:r w:rsidRPr="00464557">
        <w:rPr>
          <w:rFonts w:ascii="Times New Roman" w:eastAsia="Times New Roman" w:hAnsi="Times New Roman"/>
          <w:sz w:val="28"/>
          <w:szCs w:val="28"/>
        </w:rPr>
        <w:t xml:space="preserve"> 2018г., когато са били 599 и намаление спрямо 2017 г. , когато са били 655. </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Районна прокуратура - Исперих</w:t>
      </w:r>
      <w:r w:rsidRPr="00464557">
        <w:rPr>
          <w:rFonts w:ascii="Times New Roman" w:eastAsia="Times New Roman" w:hAnsi="Times New Roman"/>
          <w:sz w:val="28"/>
          <w:szCs w:val="28"/>
        </w:rPr>
        <w:t xml:space="preserve"> разследваните през отчетния период досъдебни производства са 385, а новообразуваните са 266. Последните сочат тенденция на спад спрямо предходните години -  2018г. са били 321, а 2017г.-333. </w:t>
      </w:r>
    </w:p>
    <w:p w:rsidR="00207A6A" w:rsidRPr="00464557" w:rsidRDefault="00207A6A" w:rsidP="00207A6A">
      <w:pPr>
        <w:tabs>
          <w:tab w:val="right" w:pos="1440"/>
        </w:tabs>
        <w:spacing w:after="0" w:line="240" w:lineRule="auto"/>
        <w:ind w:firstLine="709"/>
        <w:jc w:val="both"/>
        <w:rPr>
          <w:rFonts w:ascii="Times New Roman" w:eastAsia="Times New Roman" w:hAnsi="Times New Roman"/>
          <w:color w:val="000000"/>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Районна прокуратура - Кубрат</w:t>
      </w:r>
      <w:r w:rsidRPr="00464557">
        <w:rPr>
          <w:rFonts w:ascii="Times New Roman" w:eastAsia="Times New Roman" w:hAnsi="Times New Roman"/>
          <w:sz w:val="28"/>
          <w:szCs w:val="28"/>
        </w:rPr>
        <w:t xml:space="preserve"> разследваните през отчетния период досъдебни производства са 382, а новообразуваните са 292. Последните бележат ръст спрямо </w:t>
      </w:r>
      <w:proofErr w:type="spellStart"/>
      <w:r w:rsidRPr="00464557">
        <w:rPr>
          <w:rFonts w:ascii="Times New Roman" w:eastAsia="Times New Roman" w:hAnsi="Times New Roman"/>
          <w:sz w:val="28"/>
          <w:szCs w:val="28"/>
        </w:rPr>
        <w:t>спрямо</w:t>
      </w:r>
      <w:proofErr w:type="spellEnd"/>
      <w:r w:rsidRPr="00464557">
        <w:rPr>
          <w:rFonts w:ascii="Times New Roman" w:eastAsia="Times New Roman" w:hAnsi="Times New Roman"/>
          <w:sz w:val="28"/>
          <w:szCs w:val="28"/>
        </w:rPr>
        <w:t xml:space="preserve"> 2018г. и 2017г., когато са били съответно 270 и </w:t>
      </w:r>
      <w:r w:rsidRPr="00464557">
        <w:rPr>
          <w:rFonts w:ascii="Times New Roman" w:eastAsia="Times New Roman" w:hAnsi="Times New Roman"/>
          <w:color w:val="000000"/>
          <w:sz w:val="28"/>
          <w:szCs w:val="28"/>
        </w:rPr>
        <w:t xml:space="preserve"> 263.</w:t>
      </w:r>
    </w:p>
    <w:p w:rsidR="00207A6A" w:rsidRPr="00464557" w:rsidRDefault="00207A6A" w:rsidP="00207A6A">
      <w:pPr>
        <w:tabs>
          <w:tab w:val="right" w:pos="0"/>
        </w:tabs>
        <w:spacing w:after="0" w:line="240" w:lineRule="auto"/>
        <w:ind w:firstLine="709"/>
        <w:jc w:val="both"/>
        <w:rPr>
          <w:rFonts w:ascii="Times New Roman" w:eastAsia="Times New Roman" w:hAnsi="Times New Roman"/>
          <w:b/>
          <w:color w:val="000000"/>
          <w:sz w:val="28"/>
          <w:szCs w:val="28"/>
        </w:rPr>
      </w:pPr>
    </w:p>
    <w:p w:rsidR="004D3F4B" w:rsidRPr="00464557" w:rsidRDefault="004D3F4B" w:rsidP="00207A6A">
      <w:pPr>
        <w:tabs>
          <w:tab w:val="right" w:pos="0"/>
        </w:tabs>
        <w:spacing w:after="0" w:line="240" w:lineRule="auto"/>
        <w:ind w:firstLine="709"/>
        <w:jc w:val="both"/>
        <w:rPr>
          <w:rFonts w:ascii="Times New Roman" w:eastAsia="Times New Roman" w:hAnsi="Times New Roman"/>
          <w:b/>
          <w:color w:val="000000"/>
          <w:sz w:val="28"/>
          <w:szCs w:val="28"/>
        </w:rPr>
      </w:pPr>
    </w:p>
    <w:p w:rsidR="004D3F4B" w:rsidRPr="00464557" w:rsidRDefault="004D3F4B" w:rsidP="00207A6A">
      <w:pPr>
        <w:tabs>
          <w:tab w:val="right" w:pos="0"/>
        </w:tabs>
        <w:spacing w:after="0" w:line="240" w:lineRule="auto"/>
        <w:ind w:firstLine="709"/>
        <w:jc w:val="both"/>
        <w:rPr>
          <w:rFonts w:ascii="Times New Roman" w:eastAsia="Times New Roman" w:hAnsi="Times New Roman"/>
          <w:b/>
          <w:color w:val="000000"/>
          <w:sz w:val="28"/>
          <w:szCs w:val="28"/>
        </w:rPr>
      </w:pPr>
    </w:p>
    <w:p w:rsidR="00207A6A" w:rsidRPr="00464557" w:rsidRDefault="00207A6A" w:rsidP="00207A6A">
      <w:pPr>
        <w:tabs>
          <w:tab w:val="right" w:pos="0"/>
        </w:tabs>
        <w:spacing w:after="0" w:line="240" w:lineRule="auto"/>
        <w:ind w:firstLine="709"/>
        <w:jc w:val="both"/>
        <w:rPr>
          <w:rFonts w:ascii="Times New Roman" w:eastAsia="Times New Roman" w:hAnsi="Times New Roman"/>
          <w:b/>
          <w:sz w:val="28"/>
          <w:szCs w:val="28"/>
        </w:rPr>
      </w:pPr>
      <w:r w:rsidRPr="00464557">
        <w:rPr>
          <w:rFonts w:ascii="Times New Roman" w:eastAsia="Times New Roman" w:hAnsi="Times New Roman"/>
          <w:b/>
          <w:sz w:val="28"/>
          <w:szCs w:val="28"/>
        </w:rPr>
        <w:t>2.1.Обобщени данни по видове досъдебни производства и съобразно систематиката на НК, включително по отношение на пострадалите лица и на ощетените юридически лица от престъпления.</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u w:val="single"/>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Структурното разпределение на новообразуваните досъдебни производства по видове престъпления сочи на запазване на позициите на четирите най - значими групи престъпления, установени за предходните календарни години:</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5D3860" w:rsidRPr="00464557" w:rsidRDefault="00207A6A" w:rsidP="00207A6A">
      <w:pPr>
        <w:tabs>
          <w:tab w:val="right" w:pos="1440"/>
        </w:tabs>
        <w:spacing w:after="0" w:line="240" w:lineRule="auto"/>
        <w:ind w:left="142" w:hanging="142"/>
        <w:jc w:val="both"/>
      </w:pPr>
      <w:r w:rsidRPr="00464557">
        <w:t xml:space="preserve">         </w:t>
      </w:r>
    </w:p>
    <w:p w:rsidR="005D3860" w:rsidRPr="00464557" w:rsidRDefault="005D3860" w:rsidP="00207A6A">
      <w:pPr>
        <w:tabs>
          <w:tab w:val="right" w:pos="1440"/>
        </w:tabs>
        <w:spacing w:after="0" w:line="240" w:lineRule="auto"/>
        <w:ind w:left="142" w:hanging="142"/>
        <w:jc w:val="both"/>
      </w:pPr>
    </w:p>
    <w:p w:rsidR="005D3860" w:rsidRPr="00464557" w:rsidRDefault="005D3860" w:rsidP="00207A6A">
      <w:pPr>
        <w:tabs>
          <w:tab w:val="right" w:pos="1440"/>
        </w:tabs>
        <w:spacing w:after="0" w:line="240" w:lineRule="auto"/>
        <w:ind w:left="142" w:hanging="142"/>
        <w:jc w:val="both"/>
      </w:pPr>
      <w:r w:rsidRPr="00464557">
        <w:rPr>
          <w:rFonts w:ascii="Times New Roman" w:eastAsia="Times New Roman" w:hAnsi="Times New Roman"/>
          <w:noProof/>
          <w:sz w:val="28"/>
          <w:szCs w:val="28"/>
          <w:lang w:eastAsia="bg-BG"/>
        </w:rPr>
        <w:lastRenderedPageBreak/>
        <w:drawing>
          <wp:inline distT="0" distB="0" distL="0" distR="0" wp14:anchorId="13228F23" wp14:editId="2FD9E0C5">
            <wp:extent cx="5886450" cy="4343400"/>
            <wp:effectExtent l="0" t="0" r="19050" b="19050"/>
            <wp:docPr id="7" name="Об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7A6A" w:rsidRPr="00464557" w:rsidRDefault="00496B84" w:rsidP="00207A6A">
      <w:pPr>
        <w:tabs>
          <w:tab w:val="right" w:pos="1440"/>
        </w:tabs>
        <w:spacing w:after="0" w:line="240" w:lineRule="auto"/>
        <w:ind w:left="142" w:hanging="142"/>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         </w:t>
      </w:r>
      <w:r w:rsidR="00207A6A" w:rsidRPr="00464557">
        <w:rPr>
          <w:rFonts w:ascii="Times New Roman" w:eastAsia="Times New Roman" w:hAnsi="Times New Roman"/>
          <w:sz w:val="28"/>
          <w:szCs w:val="28"/>
        </w:rPr>
        <w:t>Фиг.4 Структурното разпределение на новообразуваните досъдебни производства по видове престъпления</w:t>
      </w:r>
    </w:p>
    <w:p w:rsidR="00207A6A" w:rsidRPr="00464557" w:rsidRDefault="00207A6A" w:rsidP="00207A6A">
      <w:pPr>
        <w:tabs>
          <w:tab w:val="right" w:pos="1440"/>
        </w:tabs>
        <w:spacing w:after="0" w:line="240" w:lineRule="auto"/>
        <w:ind w:left="142" w:hanging="142"/>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С най-голям дял през 2019 г. са новообразуваните досъдебни производства за </w:t>
      </w:r>
      <w:proofErr w:type="spellStart"/>
      <w:r w:rsidRPr="00464557">
        <w:rPr>
          <w:rFonts w:ascii="Times New Roman" w:eastAsia="Times New Roman" w:hAnsi="Times New Roman"/>
          <w:sz w:val="28"/>
          <w:szCs w:val="28"/>
          <w:u w:val="single"/>
        </w:rPr>
        <w:t>общоопасни</w:t>
      </w:r>
      <w:proofErr w:type="spellEnd"/>
      <w:r w:rsidRPr="00464557">
        <w:rPr>
          <w:rFonts w:ascii="Times New Roman" w:eastAsia="Times New Roman" w:hAnsi="Times New Roman"/>
          <w:sz w:val="28"/>
          <w:szCs w:val="28"/>
          <w:u w:val="single"/>
        </w:rPr>
        <w:t xml:space="preserve"> престъпления</w:t>
      </w:r>
      <w:r w:rsidRPr="00464557">
        <w:rPr>
          <w:rFonts w:ascii="Times New Roman" w:eastAsia="Times New Roman" w:hAnsi="Times New Roman"/>
          <w:sz w:val="28"/>
          <w:szCs w:val="28"/>
        </w:rPr>
        <w:t>, но те бележат спад спрямо предходните две години както в абсолютна стойност, така и в относителен дял:</w:t>
      </w:r>
    </w:p>
    <w:p w:rsidR="00207A6A" w:rsidRPr="00464557" w:rsidRDefault="00207A6A" w:rsidP="00207A6A">
      <w:pPr>
        <w:tabs>
          <w:tab w:val="right" w:pos="1440"/>
        </w:tabs>
        <w:spacing w:after="0" w:line="240" w:lineRule="auto"/>
        <w:ind w:firstLine="142"/>
        <w:jc w:val="both"/>
        <w:rPr>
          <w:rFonts w:ascii="Times New Roman" w:eastAsia="Times New Roman" w:hAnsi="Times New Roman"/>
          <w:sz w:val="28"/>
          <w:szCs w:val="28"/>
        </w:rPr>
      </w:pPr>
      <w:r w:rsidRPr="00464557">
        <w:rPr>
          <w:noProof/>
          <w:lang w:eastAsia="bg-BG"/>
        </w:rPr>
        <w:drawing>
          <wp:anchor distT="0" distB="0" distL="114300" distR="114300" simplePos="0" relativeHeight="251660288" behindDoc="0" locked="0" layoutInCell="1" allowOverlap="1" wp14:anchorId="5490C21A" wp14:editId="507345CC">
            <wp:simplePos x="0" y="0"/>
            <wp:positionH relativeFrom="column">
              <wp:align>left</wp:align>
            </wp:positionH>
            <wp:positionV relativeFrom="paragraph">
              <wp:align>top</wp:align>
            </wp:positionV>
            <wp:extent cx="5878195" cy="2116455"/>
            <wp:effectExtent l="3175" t="3175" r="0" b="0"/>
            <wp:wrapSquare wrapText="bothSides"/>
            <wp:docPr id="8" name="Диагра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333419" w:rsidRPr="00464557">
        <w:rPr>
          <w:rFonts w:ascii="Times New Roman" w:eastAsia="Times New Roman" w:hAnsi="Times New Roman"/>
          <w:sz w:val="28"/>
          <w:szCs w:val="28"/>
        </w:rPr>
        <w:t xml:space="preserve">       </w:t>
      </w:r>
      <w:r w:rsidRPr="00464557">
        <w:rPr>
          <w:rFonts w:ascii="Times New Roman" w:eastAsia="Times New Roman" w:hAnsi="Times New Roman"/>
          <w:sz w:val="28"/>
          <w:szCs w:val="28"/>
        </w:rPr>
        <w:t>Фиг.</w:t>
      </w:r>
      <w:r w:rsidR="00333419" w:rsidRPr="00464557">
        <w:rPr>
          <w:rFonts w:ascii="Times New Roman" w:eastAsia="Times New Roman" w:hAnsi="Times New Roman"/>
          <w:sz w:val="28"/>
          <w:szCs w:val="28"/>
        </w:rPr>
        <w:t xml:space="preserve"> </w:t>
      </w:r>
      <w:r w:rsidRPr="00464557">
        <w:rPr>
          <w:rFonts w:ascii="Times New Roman" w:eastAsia="Times New Roman" w:hAnsi="Times New Roman"/>
          <w:sz w:val="28"/>
          <w:szCs w:val="28"/>
        </w:rPr>
        <w:t xml:space="preserve">5 Новообразувани ДП за </w:t>
      </w:r>
      <w:proofErr w:type="spellStart"/>
      <w:r w:rsidRPr="00464557">
        <w:rPr>
          <w:rFonts w:ascii="Times New Roman" w:eastAsia="Times New Roman" w:hAnsi="Times New Roman"/>
          <w:sz w:val="28"/>
          <w:szCs w:val="28"/>
        </w:rPr>
        <w:t>общоопасни</w:t>
      </w:r>
      <w:proofErr w:type="spellEnd"/>
      <w:r w:rsidRPr="00464557">
        <w:rPr>
          <w:rFonts w:ascii="Times New Roman" w:eastAsia="Times New Roman" w:hAnsi="Times New Roman"/>
          <w:sz w:val="28"/>
          <w:szCs w:val="28"/>
        </w:rPr>
        <w:t xml:space="preserve"> престъпления</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За поредна година с най-голям дял в категорията са престъпленията, свързани с управление на МПС след употреба на алкохол. Значим е и делът на извършените престъпленията по чл. 345 от НК.</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Пострадали от </w:t>
      </w:r>
      <w:proofErr w:type="spellStart"/>
      <w:r w:rsidRPr="00464557">
        <w:rPr>
          <w:rFonts w:ascii="Times New Roman" w:eastAsia="Times New Roman" w:hAnsi="Times New Roman"/>
          <w:sz w:val="28"/>
          <w:szCs w:val="28"/>
        </w:rPr>
        <w:t>общоопасни</w:t>
      </w:r>
      <w:proofErr w:type="spellEnd"/>
      <w:r w:rsidRPr="00464557">
        <w:rPr>
          <w:rFonts w:ascii="Times New Roman" w:eastAsia="Times New Roman" w:hAnsi="Times New Roman"/>
          <w:sz w:val="28"/>
          <w:szCs w:val="28"/>
        </w:rPr>
        <w:t xml:space="preserve"> престъпления са 69 лица, от които едно непълнолетно и пет малолетни.</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lastRenderedPageBreak/>
        <w:t>Преимуществен е делът на пострадалите мъже, които са 49, от които едно непълнолетно и четири малолетни лица.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u w:val="single"/>
        </w:rPr>
        <w:t>Престъпленията против собствеността</w:t>
      </w:r>
      <w:r w:rsidRPr="00464557">
        <w:rPr>
          <w:rFonts w:ascii="Times New Roman" w:eastAsia="Times New Roman" w:hAnsi="Times New Roman"/>
          <w:sz w:val="28"/>
          <w:szCs w:val="28"/>
        </w:rPr>
        <w:t xml:space="preserve"> са вторите по значение за съдебния район. Те бележат тенденция на спад в абсолютна стойност и в относителен дял:</w:t>
      </w:r>
    </w:p>
    <w:p w:rsidR="00207A6A" w:rsidRPr="00464557" w:rsidRDefault="00207A6A" w:rsidP="00207A6A">
      <w:pPr>
        <w:tabs>
          <w:tab w:val="right" w:pos="1440"/>
        </w:tabs>
        <w:spacing w:after="0" w:line="240" w:lineRule="auto"/>
        <w:jc w:val="both"/>
      </w:pPr>
      <w:r w:rsidRPr="00464557">
        <w:rPr>
          <w:rFonts w:ascii="Times New Roman" w:eastAsia="Times New Roman" w:hAnsi="Times New Roman"/>
          <w:noProof/>
          <w:sz w:val="28"/>
          <w:szCs w:val="28"/>
          <w:lang w:eastAsia="bg-BG"/>
        </w:rPr>
        <w:drawing>
          <wp:inline distT="0" distB="0" distL="0" distR="0" wp14:anchorId="71498197" wp14:editId="2BFD7FEF">
            <wp:extent cx="5857875" cy="2695575"/>
            <wp:effectExtent l="0" t="0" r="9525" b="9525"/>
            <wp:docPr id="9" name="Об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33419" w:rsidRPr="00464557">
        <w:t xml:space="preserve">            </w:t>
      </w:r>
      <w:r w:rsidRPr="00464557">
        <w:t xml:space="preserve">  </w:t>
      </w:r>
      <w:r w:rsidRPr="00464557">
        <w:rPr>
          <w:rFonts w:ascii="Times New Roman" w:eastAsia="Times New Roman" w:hAnsi="Times New Roman"/>
          <w:sz w:val="28"/>
          <w:szCs w:val="28"/>
        </w:rPr>
        <w:t>Фиг.6 Новообразувани ДП за престъпления против собствеността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С най-голям дял традиционно са кражбите, които съставляват 56,6% от престъпленията в категорията.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Значим е и делът на измамите, съставляващ 22% от престъпленията против собствеността, съответно при 32,2% и 35% за предходните два годишни периода.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Пострадали от </w:t>
      </w:r>
      <w:proofErr w:type="spellStart"/>
      <w:r w:rsidRPr="00464557">
        <w:rPr>
          <w:rFonts w:ascii="Times New Roman" w:eastAsia="Times New Roman" w:hAnsi="Times New Roman"/>
          <w:sz w:val="28"/>
          <w:szCs w:val="28"/>
        </w:rPr>
        <w:t>престъпъления</w:t>
      </w:r>
      <w:proofErr w:type="spellEnd"/>
      <w:r w:rsidRPr="00464557">
        <w:rPr>
          <w:rFonts w:ascii="Times New Roman" w:eastAsia="Times New Roman" w:hAnsi="Times New Roman"/>
          <w:sz w:val="28"/>
          <w:szCs w:val="28"/>
        </w:rPr>
        <w:t xml:space="preserve"> против собствеността са 273 лица, от които един непълнолетен.</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Пострадалите мъже са 169,  жените са 104, а ощетените юридически лица са 26.</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За </w:t>
      </w:r>
      <w:r w:rsidRPr="00464557">
        <w:rPr>
          <w:rFonts w:ascii="Times New Roman" w:eastAsia="Times New Roman" w:hAnsi="Times New Roman"/>
          <w:sz w:val="28"/>
          <w:szCs w:val="28"/>
          <w:u w:val="single"/>
        </w:rPr>
        <w:t>престъпления против личността</w:t>
      </w:r>
      <w:r w:rsidRPr="00464557">
        <w:rPr>
          <w:rFonts w:ascii="Times New Roman" w:eastAsia="Times New Roman" w:hAnsi="Times New Roman"/>
          <w:sz w:val="28"/>
          <w:szCs w:val="28"/>
        </w:rPr>
        <w:t xml:space="preserve"> са образувани 154 досъдебни производства, чийто дял съставлява 12,23%.</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Налице е ръст при тези престъпления, тъй като за 2018 г. те са били 138 с дял 10,7%, а за 2017 г. – 119 с дял 8,8%.</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Пострадалите от престъпленията против личността са 140 лица, от които 87 мъже, 53 жени, 12 непълнолетни и 16 малолетни лица. </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За </w:t>
      </w:r>
      <w:r w:rsidRPr="00464557">
        <w:rPr>
          <w:rFonts w:ascii="Times New Roman" w:eastAsia="Times New Roman" w:hAnsi="Times New Roman"/>
          <w:sz w:val="28"/>
          <w:szCs w:val="28"/>
          <w:u w:val="single"/>
        </w:rPr>
        <w:t xml:space="preserve">престъпленията против стопанството </w:t>
      </w:r>
      <w:r w:rsidRPr="00464557">
        <w:rPr>
          <w:rFonts w:ascii="Times New Roman" w:eastAsia="Times New Roman" w:hAnsi="Times New Roman"/>
          <w:sz w:val="28"/>
          <w:szCs w:val="28"/>
        </w:rPr>
        <w:t>са образувани 101 досъдебни производства, чийто дял съставлява 8,2%. Същите бележат значителен ръст спрямо предходните години - за 2018 г. са били 59 с дял от 4,6%, а за 2017г.-78 с дял 5,8%.</w:t>
      </w:r>
    </w:p>
    <w:p w:rsidR="00207A6A" w:rsidRPr="00464557" w:rsidRDefault="00207A6A" w:rsidP="00496B84">
      <w:pPr>
        <w:tabs>
          <w:tab w:val="right" w:pos="1440"/>
        </w:tabs>
        <w:spacing w:after="0" w:line="240" w:lineRule="auto"/>
        <w:jc w:val="both"/>
        <w:rPr>
          <w:rFonts w:ascii="Times New Roman" w:eastAsia="Times New Roman" w:hAnsi="Times New Roman"/>
          <w:sz w:val="28"/>
          <w:szCs w:val="28"/>
        </w:rPr>
      </w:pPr>
      <w:r w:rsidRPr="00464557">
        <w:rPr>
          <w:rFonts w:ascii="Times New Roman" w:eastAsia="Times New Roman" w:hAnsi="Times New Roman"/>
          <w:noProof/>
          <w:sz w:val="28"/>
          <w:szCs w:val="28"/>
          <w:lang w:eastAsia="bg-BG"/>
        </w:rPr>
        <w:lastRenderedPageBreak/>
        <w:drawing>
          <wp:inline distT="0" distB="0" distL="0" distR="0" wp14:anchorId="3721B3E4" wp14:editId="22FEF0EB">
            <wp:extent cx="5876925" cy="2571750"/>
            <wp:effectExtent l="0" t="0" r="9525" b="19050"/>
            <wp:docPr id="10" name="Об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464557">
        <w:t xml:space="preserve">             </w:t>
      </w:r>
      <w:r w:rsidRPr="00464557">
        <w:rPr>
          <w:rFonts w:ascii="Times New Roman" w:eastAsia="Times New Roman" w:hAnsi="Times New Roman"/>
          <w:sz w:val="28"/>
          <w:szCs w:val="28"/>
        </w:rPr>
        <w:t>Фиг.7 Новообразувани ДП за престъпления против стопанството</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Пострадалите от такива престъпления са 12 лица, а ощетените юридически лица са 66, последните от които, както и през предходни години са горски стопанства,  електроразпределителни  и </w:t>
      </w:r>
      <w:proofErr w:type="spellStart"/>
      <w:r w:rsidRPr="00464557">
        <w:rPr>
          <w:rFonts w:ascii="Times New Roman" w:eastAsia="Times New Roman" w:hAnsi="Times New Roman"/>
          <w:sz w:val="28"/>
          <w:szCs w:val="28"/>
        </w:rPr>
        <w:t>ВиК</w:t>
      </w:r>
      <w:proofErr w:type="spellEnd"/>
      <w:r w:rsidRPr="00464557">
        <w:rPr>
          <w:rFonts w:ascii="Times New Roman" w:eastAsia="Times New Roman" w:hAnsi="Times New Roman"/>
          <w:sz w:val="28"/>
          <w:szCs w:val="28"/>
        </w:rPr>
        <w:t xml:space="preserve"> дружества.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Следващи по значимост са документните престъпления – общо 100 с дял от 7,94% .</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Същите бележат значителен ръст спрямо предходните години- през 2018 г. те са били 66 с дял от 5,14%, а през 2017 г. са били 78 с дял от 5,8%.</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За </w:t>
      </w:r>
      <w:r w:rsidRPr="00464557">
        <w:rPr>
          <w:rFonts w:ascii="Times New Roman" w:eastAsia="Times New Roman" w:hAnsi="Times New Roman"/>
          <w:sz w:val="28"/>
          <w:szCs w:val="28"/>
          <w:u w:val="single"/>
        </w:rPr>
        <w:t>престъпления против реда и общественото спокойствие</w:t>
      </w:r>
      <w:r w:rsidRPr="00464557">
        <w:rPr>
          <w:rFonts w:ascii="Times New Roman" w:eastAsia="Times New Roman" w:hAnsi="Times New Roman"/>
          <w:sz w:val="28"/>
          <w:szCs w:val="28"/>
        </w:rPr>
        <w:t xml:space="preserve"> са били образувани 49 досъдебни производства, чийто дял съставлява 3,89%. </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Тези престъпления са намалели спрямо предходните две календарни години, когато са били 4,91% за 2018 г. и 4,3% за 2017 г.</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Пострадали от престъпленията от тази категория са 9 лица, от които 6 мъже и  3 жени.</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За </w:t>
      </w:r>
      <w:r w:rsidRPr="00464557">
        <w:rPr>
          <w:rFonts w:ascii="Times New Roman" w:eastAsia="Times New Roman" w:hAnsi="Times New Roman"/>
          <w:sz w:val="28"/>
          <w:szCs w:val="28"/>
          <w:u w:val="single"/>
        </w:rPr>
        <w:t>престъпленията против дейността на държавни органи, обществени организации и лица, изпълняващи публични функции</w:t>
      </w:r>
      <w:r w:rsidRPr="00464557">
        <w:rPr>
          <w:rFonts w:ascii="Times New Roman" w:eastAsia="Times New Roman" w:hAnsi="Times New Roman"/>
          <w:sz w:val="28"/>
          <w:szCs w:val="28"/>
        </w:rPr>
        <w:t xml:space="preserve"> са образувани 42 досъдебни </w:t>
      </w:r>
      <w:proofErr w:type="spellStart"/>
      <w:r w:rsidRPr="00464557">
        <w:rPr>
          <w:rFonts w:ascii="Times New Roman" w:eastAsia="Times New Roman" w:hAnsi="Times New Roman"/>
          <w:sz w:val="28"/>
          <w:szCs w:val="28"/>
        </w:rPr>
        <w:t>производсва</w:t>
      </w:r>
      <w:proofErr w:type="spellEnd"/>
      <w:r w:rsidRPr="00464557">
        <w:rPr>
          <w:rFonts w:ascii="Times New Roman" w:eastAsia="Times New Roman" w:hAnsi="Times New Roman"/>
          <w:sz w:val="28"/>
          <w:szCs w:val="28"/>
        </w:rPr>
        <w:t>, чийто дял  съставлява 3,34% от новообразувани за периода досъдебни производства.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Делата от тази категория бележат устойчивост спрямо предходните години – през 2018 г. са 42,  съответно с дял 3,27%, а през 2017 г. – 49, съставляващи 3,6%.</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За престъпления против брака, семейството и </w:t>
      </w:r>
      <w:proofErr w:type="spellStart"/>
      <w:r w:rsidRPr="00464557">
        <w:rPr>
          <w:rFonts w:ascii="Times New Roman" w:eastAsia="Times New Roman" w:hAnsi="Times New Roman"/>
          <w:sz w:val="28"/>
          <w:szCs w:val="28"/>
        </w:rPr>
        <w:t>младежта</w:t>
      </w:r>
      <w:proofErr w:type="spellEnd"/>
      <w:r w:rsidRPr="00464557">
        <w:rPr>
          <w:rFonts w:ascii="Times New Roman" w:eastAsia="Times New Roman" w:hAnsi="Times New Roman"/>
          <w:sz w:val="28"/>
          <w:szCs w:val="28"/>
        </w:rPr>
        <w:t xml:space="preserve"> са били образувани 29 досъдебни производства, които съставляват 2,3%.</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Тези престъпления  са намалели спрямо предходните две календарни години - през 2018 г. са били 42,  съответно с дял 3,27%, а през 2017 г. – 40, съставляващи 3,0%.</w:t>
      </w:r>
    </w:p>
    <w:p w:rsidR="00207A6A" w:rsidRPr="00464557" w:rsidRDefault="00207A6A" w:rsidP="005D3860">
      <w:pPr>
        <w:tabs>
          <w:tab w:val="right" w:pos="1440"/>
        </w:tabs>
        <w:spacing w:after="0" w:line="240" w:lineRule="auto"/>
        <w:jc w:val="both"/>
        <w:rPr>
          <w:rFonts w:ascii="Times New Roman" w:eastAsia="Times New Roman" w:hAnsi="Times New Roman"/>
          <w:sz w:val="28"/>
          <w:szCs w:val="28"/>
        </w:rPr>
      </w:pPr>
      <w:r w:rsidRPr="00464557">
        <w:rPr>
          <w:rFonts w:ascii="Times New Roman" w:eastAsia="Times New Roman" w:hAnsi="Times New Roman"/>
          <w:noProof/>
          <w:sz w:val="28"/>
          <w:szCs w:val="28"/>
          <w:lang w:eastAsia="bg-BG"/>
        </w:rPr>
        <w:lastRenderedPageBreak/>
        <w:drawing>
          <wp:inline distT="0" distB="0" distL="0" distR="0" wp14:anchorId="296D3EF7" wp14:editId="5F154A2B">
            <wp:extent cx="5876925" cy="2781300"/>
            <wp:effectExtent l="0" t="0" r="9525" b="19050"/>
            <wp:docPr id="11" name="Об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464557">
        <w:t xml:space="preserve">     </w:t>
      </w:r>
      <w:r w:rsidR="00496B84" w:rsidRPr="00464557">
        <w:t xml:space="preserve">        </w:t>
      </w:r>
      <w:r w:rsidRPr="00464557">
        <w:rPr>
          <w:rFonts w:ascii="Times New Roman" w:eastAsia="Times New Roman" w:hAnsi="Times New Roman"/>
          <w:sz w:val="28"/>
          <w:szCs w:val="28"/>
        </w:rPr>
        <w:t>Фиг.8 Новообразувани ДП за престъпления против брака и семейството</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Пострадалите от тези престъпленията са 23 лица, от които 7 мъже и 16 жени, 5 непълнолетни и 6 малолетни лица. </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u w:val="single"/>
        </w:rPr>
        <w:t>Престъпленията против финансовата, данъчната и осигурителната система</w:t>
      </w:r>
      <w:r w:rsidRPr="00464557">
        <w:rPr>
          <w:rFonts w:ascii="Times New Roman" w:eastAsia="Times New Roman" w:hAnsi="Times New Roman"/>
          <w:sz w:val="28"/>
          <w:szCs w:val="28"/>
        </w:rPr>
        <w:t xml:space="preserve"> заемат девето място по значимост.</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roofErr w:type="spellStart"/>
      <w:r w:rsidRPr="00464557">
        <w:rPr>
          <w:rFonts w:ascii="Times New Roman" w:eastAsia="Times New Roman" w:hAnsi="Times New Roman"/>
          <w:sz w:val="28"/>
          <w:szCs w:val="28"/>
        </w:rPr>
        <w:t>Новобразувани</w:t>
      </w:r>
      <w:proofErr w:type="spellEnd"/>
      <w:r w:rsidRPr="00464557">
        <w:rPr>
          <w:rFonts w:ascii="Times New Roman" w:eastAsia="Times New Roman" w:hAnsi="Times New Roman"/>
          <w:sz w:val="28"/>
          <w:szCs w:val="28"/>
        </w:rPr>
        <w:t xml:space="preserve">  през 2019г. досъдебни производства са 14, които съставляват 1,1%.</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Тези престъпления  през предходните две календарни години са били  14 през 2018г.,  съответно с дял 1,09%, а през 2017 г. – 28, съставляващи 2,1%.</w:t>
      </w:r>
    </w:p>
    <w:p w:rsidR="00F558CE" w:rsidRPr="00464557" w:rsidRDefault="00F558CE"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jc w:val="both"/>
        <w:rPr>
          <w:rFonts w:ascii="Times New Roman" w:eastAsia="Times New Roman" w:hAnsi="Times New Roman"/>
          <w:sz w:val="28"/>
          <w:szCs w:val="28"/>
        </w:rPr>
      </w:pPr>
      <w:r w:rsidRPr="00464557">
        <w:rPr>
          <w:rFonts w:ascii="Times New Roman" w:eastAsia="Times New Roman" w:hAnsi="Times New Roman"/>
          <w:noProof/>
          <w:sz w:val="28"/>
          <w:szCs w:val="28"/>
          <w:lang w:eastAsia="bg-BG"/>
        </w:rPr>
        <w:drawing>
          <wp:inline distT="0" distB="0" distL="0" distR="0" wp14:anchorId="4ECB358D" wp14:editId="64D24B92">
            <wp:extent cx="5857875" cy="2752725"/>
            <wp:effectExtent l="0" t="0" r="9525" b="9525"/>
            <wp:docPr id="12" name="Об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464557">
        <w:t xml:space="preserve">  </w:t>
      </w:r>
      <w:r w:rsidR="00496B84" w:rsidRPr="00464557">
        <w:rPr>
          <w:rFonts w:ascii="Times New Roman" w:eastAsia="Times New Roman" w:hAnsi="Times New Roman"/>
          <w:sz w:val="28"/>
          <w:szCs w:val="28"/>
        </w:rPr>
        <w:t xml:space="preserve">         </w:t>
      </w:r>
      <w:r w:rsidRPr="00464557">
        <w:rPr>
          <w:rFonts w:ascii="Times New Roman" w:eastAsia="Times New Roman" w:hAnsi="Times New Roman"/>
          <w:sz w:val="28"/>
          <w:szCs w:val="28"/>
        </w:rPr>
        <w:t>Фиг.9 Новообразувани ДП за престъпления против финансовата, данъчната и осигурителната система</w:t>
      </w:r>
    </w:p>
    <w:p w:rsidR="00207A6A" w:rsidRPr="00464557" w:rsidRDefault="00207A6A" w:rsidP="00207A6A">
      <w:pPr>
        <w:tabs>
          <w:tab w:val="right" w:pos="1440"/>
        </w:tabs>
        <w:spacing w:after="0" w:line="240" w:lineRule="auto"/>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Две от новообразуваните досъдебни производства от тази категория са за изпиране на пари, а дванадесет са за престъпления по укриване на данъци.</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roofErr w:type="spellStart"/>
      <w:r w:rsidRPr="00464557">
        <w:rPr>
          <w:rFonts w:ascii="Times New Roman" w:eastAsia="Times New Roman" w:hAnsi="Times New Roman"/>
          <w:sz w:val="28"/>
          <w:szCs w:val="28"/>
        </w:rPr>
        <w:lastRenderedPageBreak/>
        <w:t>Новобразуваните</w:t>
      </w:r>
      <w:proofErr w:type="spellEnd"/>
      <w:r w:rsidRPr="00464557">
        <w:rPr>
          <w:rFonts w:ascii="Times New Roman" w:eastAsia="Times New Roman" w:hAnsi="Times New Roman"/>
          <w:sz w:val="28"/>
          <w:szCs w:val="28"/>
        </w:rPr>
        <w:t xml:space="preserve"> през 2019г. досъдебни </w:t>
      </w:r>
      <w:proofErr w:type="spellStart"/>
      <w:r w:rsidRPr="00464557">
        <w:rPr>
          <w:rFonts w:ascii="Times New Roman" w:eastAsia="Times New Roman" w:hAnsi="Times New Roman"/>
          <w:sz w:val="28"/>
          <w:szCs w:val="28"/>
        </w:rPr>
        <w:t>произодства</w:t>
      </w:r>
      <w:proofErr w:type="spellEnd"/>
      <w:r w:rsidRPr="00464557">
        <w:rPr>
          <w:rFonts w:ascii="Times New Roman" w:eastAsia="Times New Roman" w:hAnsi="Times New Roman"/>
          <w:sz w:val="28"/>
          <w:szCs w:val="28"/>
        </w:rPr>
        <w:t xml:space="preserve"> </w:t>
      </w:r>
      <w:r w:rsidRPr="00464557">
        <w:rPr>
          <w:rFonts w:ascii="Times New Roman" w:eastAsia="Times New Roman" w:hAnsi="Times New Roman"/>
          <w:sz w:val="28"/>
          <w:szCs w:val="28"/>
          <w:u w:val="single"/>
        </w:rPr>
        <w:t>за престъпления против правата на гражданите</w:t>
      </w:r>
      <w:r w:rsidRPr="00464557">
        <w:rPr>
          <w:rFonts w:ascii="Times New Roman" w:eastAsia="Times New Roman" w:hAnsi="Times New Roman"/>
          <w:sz w:val="28"/>
          <w:szCs w:val="28"/>
        </w:rPr>
        <w:t xml:space="preserve"> са 13, които съставляват 1,03%. Бележат изразена тенденция на ръст спрямо 2017 г.:</w:t>
      </w:r>
    </w:p>
    <w:p w:rsidR="00207A6A" w:rsidRPr="00464557" w:rsidRDefault="00207A6A" w:rsidP="00207A6A">
      <w:pPr>
        <w:tabs>
          <w:tab w:val="right" w:pos="1440"/>
        </w:tabs>
        <w:spacing w:after="0" w:line="240" w:lineRule="auto"/>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jc w:val="both"/>
        <w:rPr>
          <w:rFonts w:ascii="Times New Roman" w:eastAsia="Times New Roman" w:hAnsi="Times New Roman"/>
          <w:sz w:val="28"/>
          <w:szCs w:val="28"/>
        </w:rPr>
      </w:pPr>
      <w:r w:rsidRPr="00464557">
        <w:rPr>
          <w:rFonts w:ascii="Times New Roman" w:eastAsia="Times New Roman" w:hAnsi="Times New Roman"/>
          <w:noProof/>
          <w:sz w:val="28"/>
          <w:szCs w:val="28"/>
          <w:lang w:eastAsia="bg-BG"/>
        </w:rPr>
        <w:drawing>
          <wp:inline distT="0" distB="0" distL="0" distR="0" wp14:anchorId="72AA08B6" wp14:editId="001D24CF">
            <wp:extent cx="5905500" cy="1924050"/>
            <wp:effectExtent l="0" t="0" r="19050" b="19050"/>
            <wp:docPr id="13" name="Об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464557">
        <w:t xml:space="preserve">  </w:t>
      </w:r>
      <w:r w:rsidR="00496B84" w:rsidRPr="00464557">
        <w:t xml:space="preserve">             </w:t>
      </w:r>
      <w:r w:rsidRPr="00464557">
        <w:rPr>
          <w:rFonts w:ascii="Times New Roman" w:eastAsia="Times New Roman" w:hAnsi="Times New Roman"/>
          <w:sz w:val="28"/>
          <w:szCs w:val="28"/>
        </w:rPr>
        <w:t>Фиг.10 Новообразувани ДП за престъпления против правата на гражданите</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По новообразуваните през отчетния период досъдебни производства са установени общо 537 пострадали лица: </w:t>
      </w:r>
    </w:p>
    <w:p w:rsidR="002F6CC9" w:rsidRPr="00464557" w:rsidRDefault="002F6CC9"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jc w:val="both"/>
        <w:rPr>
          <w:rFonts w:ascii="Times New Roman" w:eastAsia="Times New Roman" w:hAnsi="Times New Roman"/>
          <w:sz w:val="28"/>
          <w:szCs w:val="28"/>
        </w:rPr>
      </w:pPr>
      <w:r w:rsidRPr="00464557">
        <w:rPr>
          <w:rFonts w:ascii="Times New Roman" w:eastAsia="Times New Roman" w:hAnsi="Times New Roman"/>
          <w:noProof/>
          <w:sz w:val="28"/>
          <w:szCs w:val="28"/>
          <w:lang w:eastAsia="bg-BG"/>
        </w:rPr>
        <w:drawing>
          <wp:inline distT="0" distB="0" distL="0" distR="0" wp14:anchorId="7919C1E2" wp14:editId="6C2FED24">
            <wp:extent cx="5943600" cy="2352675"/>
            <wp:effectExtent l="0" t="0" r="19050" b="9525"/>
            <wp:docPr id="14" name="Об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464557">
        <w:t xml:space="preserve">              </w:t>
      </w:r>
      <w:r w:rsidRPr="00464557">
        <w:rPr>
          <w:rFonts w:ascii="Times New Roman" w:eastAsia="Times New Roman" w:hAnsi="Times New Roman"/>
          <w:sz w:val="28"/>
          <w:szCs w:val="28"/>
        </w:rPr>
        <w:t>Фиг.11 Пострадали лица по новообразувани ДП</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Делът на пострадалите жени – 209 съставлява 38,9%, при 38,3% за 2018г. и при 37,6% за 2017г.</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Броят на пострадалите </w:t>
      </w:r>
      <w:proofErr w:type="spellStart"/>
      <w:r w:rsidRPr="00464557">
        <w:rPr>
          <w:rFonts w:ascii="Times New Roman" w:eastAsia="Times New Roman" w:hAnsi="Times New Roman"/>
          <w:sz w:val="28"/>
          <w:szCs w:val="28"/>
        </w:rPr>
        <w:t>маловръстни</w:t>
      </w:r>
      <w:proofErr w:type="spellEnd"/>
      <w:r w:rsidRPr="00464557">
        <w:rPr>
          <w:rFonts w:ascii="Times New Roman" w:eastAsia="Times New Roman" w:hAnsi="Times New Roman"/>
          <w:sz w:val="28"/>
          <w:szCs w:val="28"/>
        </w:rPr>
        <w:t xml:space="preserve"> е общо 46 или 8,6% от всички пострадали физически лица.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Броят на ощетените юридически лица е 106  и сочи на увеличение, тъй като за 2018 г. те са били 82, </w:t>
      </w:r>
      <w:r w:rsidRPr="00464557">
        <w:rPr>
          <w:rFonts w:ascii="Times New Roman" w:eastAsia="Times New Roman" w:hAnsi="Times New Roman"/>
          <w:sz w:val="28"/>
          <w:szCs w:val="28"/>
          <w:lang w:val="en-US"/>
        </w:rPr>
        <w:t>a</w:t>
      </w:r>
      <w:r w:rsidRPr="00464557">
        <w:rPr>
          <w:rFonts w:ascii="Times New Roman" w:eastAsia="Times New Roman" w:hAnsi="Times New Roman"/>
          <w:sz w:val="28"/>
          <w:szCs w:val="28"/>
        </w:rPr>
        <w:t xml:space="preserve"> за 2017 г. са били 62. </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u w:val="single"/>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u w:val="single"/>
        </w:rPr>
      </w:pPr>
      <w:r w:rsidRPr="00464557">
        <w:rPr>
          <w:rFonts w:ascii="Times New Roman" w:eastAsia="Times New Roman" w:hAnsi="Times New Roman"/>
          <w:sz w:val="28"/>
          <w:szCs w:val="28"/>
          <w:u w:val="single"/>
        </w:rPr>
        <w:t>Видове досъдебни производства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u w:val="single"/>
        </w:rPr>
      </w:pPr>
      <w:r w:rsidRPr="00464557">
        <w:rPr>
          <w:rFonts w:ascii="Times New Roman" w:eastAsia="Times New Roman" w:hAnsi="Times New Roman"/>
          <w:sz w:val="28"/>
          <w:szCs w:val="28"/>
          <w:u w:val="single"/>
        </w:rPr>
        <w:t>Бързи производства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Като бързи през 2019 година са разследвани 349 производства. Новообразуваните бързи производства в съдебния район през 2019г. са 343, при 378 за 2018г. и  301 за 2017г. Броят им съставлява дял от 27,2% от </w:t>
      </w:r>
      <w:r w:rsidRPr="00464557">
        <w:rPr>
          <w:rFonts w:ascii="Times New Roman" w:eastAsia="Times New Roman" w:hAnsi="Times New Roman"/>
          <w:sz w:val="28"/>
          <w:szCs w:val="28"/>
        </w:rPr>
        <w:lastRenderedPageBreak/>
        <w:t xml:space="preserve">всички новообразувани досъдебни производства за отчетния период, при 29,4% за 2018г. и  22,2% за 2017 г. </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Тази категория производства бележат лек спад както в абсолютна стойност, така и в относителен дял спрямо 2018г., но бележат ръст спрямо 2017г.</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jc w:val="both"/>
        <w:rPr>
          <w:rFonts w:ascii="Times New Roman" w:eastAsia="Times New Roman" w:hAnsi="Times New Roman"/>
          <w:sz w:val="28"/>
          <w:szCs w:val="28"/>
        </w:rPr>
      </w:pPr>
      <w:r w:rsidRPr="00464557">
        <w:rPr>
          <w:rFonts w:ascii="Times New Roman" w:eastAsia="Times New Roman" w:hAnsi="Times New Roman"/>
          <w:noProof/>
          <w:sz w:val="28"/>
          <w:szCs w:val="28"/>
          <w:lang w:eastAsia="bg-BG"/>
        </w:rPr>
        <w:drawing>
          <wp:inline distT="0" distB="0" distL="0" distR="0" wp14:anchorId="05A977D7" wp14:editId="51672D06">
            <wp:extent cx="5848350" cy="2447925"/>
            <wp:effectExtent l="0" t="0" r="19050" b="9525"/>
            <wp:docPr id="15" name="Об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464557">
        <w:t xml:space="preserve">               </w:t>
      </w:r>
      <w:r w:rsidRPr="00464557">
        <w:rPr>
          <w:rFonts w:ascii="Times New Roman" w:eastAsia="Times New Roman" w:hAnsi="Times New Roman"/>
          <w:sz w:val="28"/>
          <w:szCs w:val="28"/>
        </w:rPr>
        <w:t>Фиг.12 Новообразувани бързи производства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F6CC9">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Спадът е формиран от резултатите на  Районна прокуратура – гр. Разград  и по-осезаем за Районна прокуратура – гр. Кубрат. За Районна прокуратура – гр. Исперих е налице увеличение през 2019г. спрямо предходните две години както в абсолютни стойности, така и в относителен дял:</w:t>
      </w:r>
    </w:p>
    <w:tbl>
      <w:tblPr>
        <w:tblpPr w:leftFromText="141" w:rightFromText="141" w:vertAnchor="text" w:horzAnchor="margin" w:tblpX="108"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1772"/>
        <w:gridCol w:w="1701"/>
        <w:gridCol w:w="1701"/>
      </w:tblGrid>
      <w:tr w:rsidR="00207A6A" w:rsidRPr="00464557" w:rsidTr="002F6CC9">
        <w:trPr>
          <w:trHeight w:val="560"/>
        </w:trPr>
        <w:tc>
          <w:tcPr>
            <w:tcW w:w="4040"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Районна прокуратура</w:t>
            </w:r>
          </w:p>
        </w:tc>
        <w:tc>
          <w:tcPr>
            <w:tcW w:w="1772" w:type="dxa"/>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2019г.</w:t>
            </w:r>
          </w:p>
        </w:tc>
        <w:tc>
          <w:tcPr>
            <w:tcW w:w="1701"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2018г.</w:t>
            </w:r>
          </w:p>
        </w:tc>
        <w:tc>
          <w:tcPr>
            <w:tcW w:w="1701"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2017г.</w:t>
            </w:r>
          </w:p>
        </w:tc>
      </w:tr>
      <w:tr w:rsidR="00207A6A" w:rsidRPr="00464557" w:rsidTr="00207A6A">
        <w:trPr>
          <w:trHeight w:val="404"/>
        </w:trPr>
        <w:tc>
          <w:tcPr>
            <w:tcW w:w="4040"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РП- Разград</w:t>
            </w:r>
          </w:p>
          <w:p w:rsidR="00207A6A" w:rsidRPr="00464557" w:rsidRDefault="00207A6A" w:rsidP="00207A6A">
            <w:pPr>
              <w:spacing w:after="0" w:line="240" w:lineRule="auto"/>
              <w:ind w:firstLine="709"/>
              <w:jc w:val="both"/>
              <w:rPr>
                <w:rFonts w:ascii="Times New Roman" w:eastAsia="Times New Roman" w:hAnsi="Times New Roman"/>
                <w:sz w:val="28"/>
                <w:szCs w:val="28"/>
              </w:rPr>
            </w:pPr>
          </w:p>
        </w:tc>
        <w:tc>
          <w:tcPr>
            <w:tcW w:w="1772" w:type="dxa"/>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123</w:t>
            </w: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19,6%</w:t>
            </w:r>
          </w:p>
        </w:tc>
        <w:tc>
          <w:tcPr>
            <w:tcW w:w="1701"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125</w:t>
            </w: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20,9%</w:t>
            </w:r>
          </w:p>
        </w:tc>
        <w:tc>
          <w:tcPr>
            <w:tcW w:w="1701"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98</w:t>
            </w: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15 %</w:t>
            </w:r>
          </w:p>
        </w:tc>
      </w:tr>
      <w:tr w:rsidR="00207A6A" w:rsidRPr="00464557" w:rsidTr="00207A6A">
        <w:trPr>
          <w:trHeight w:val="671"/>
        </w:trPr>
        <w:tc>
          <w:tcPr>
            <w:tcW w:w="4040"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РП- Исперих</w:t>
            </w:r>
          </w:p>
        </w:tc>
        <w:tc>
          <w:tcPr>
            <w:tcW w:w="1772" w:type="dxa"/>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123</w:t>
            </w: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46,2%</w:t>
            </w:r>
          </w:p>
        </w:tc>
        <w:tc>
          <w:tcPr>
            <w:tcW w:w="1701"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140</w:t>
            </w: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43,6%</w:t>
            </w:r>
          </w:p>
        </w:tc>
        <w:tc>
          <w:tcPr>
            <w:tcW w:w="1701"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137</w:t>
            </w: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41 %</w:t>
            </w:r>
          </w:p>
        </w:tc>
      </w:tr>
      <w:tr w:rsidR="00207A6A" w:rsidRPr="00464557" w:rsidTr="00207A6A">
        <w:tc>
          <w:tcPr>
            <w:tcW w:w="4040"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РП-Кубрат</w:t>
            </w:r>
          </w:p>
        </w:tc>
        <w:tc>
          <w:tcPr>
            <w:tcW w:w="1772" w:type="dxa"/>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86</w:t>
            </w: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29,5%</w:t>
            </w:r>
          </w:p>
        </w:tc>
        <w:tc>
          <w:tcPr>
            <w:tcW w:w="1701"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103</w:t>
            </w: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38,1%</w:t>
            </w:r>
          </w:p>
        </w:tc>
        <w:tc>
          <w:tcPr>
            <w:tcW w:w="1701"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55</w:t>
            </w: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21 %</w:t>
            </w:r>
          </w:p>
        </w:tc>
      </w:tr>
    </w:tbl>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В Районна прокуратура – гр. Кубрат до месец юли е работил само един прокурор. През отчетния  период са положени големи усилия от страна както на разследващите органи, така и на наблюдаващия прокурор, за запазване добрите  резултатите по отношение на броя на бързите производства.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Поради фактическа и правна сложност по 26 бързи производства било постановено разследването да се извърши по общия ред, които съставляват 7,6%, при 4,5% за 2018 г. и 6,6% за 2017 г. </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Районна прокуратура - Исперих има най-голям брой бързи производства, по които е постановено провеждане на разследването по общия ред - 12. За Районна </w:t>
      </w:r>
      <w:proofErr w:type="spellStart"/>
      <w:r w:rsidRPr="00464557">
        <w:rPr>
          <w:rFonts w:ascii="Times New Roman" w:eastAsia="Times New Roman" w:hAnsi="Times New Roman"/>
          <w:sz w:val="28"/>
          <w:szCs w:val="28"/>
        </w:rPr>
        <w:t>прокуратува</w:t>
      </w:r>
      <w:proofErr w:type="spellEnd"/>
      <w:r w:rsidRPr="00464557">
        <w:rPr>
          <w:rFonts w:ascii="Times New Roman" w:eastAsia="Times New Roman" w:hAnsi="Times New Roman"/>
          <w:sz w:val="28"/>
          <w:szCs w:val="28"/>
        </w:rPr>
        <w:t xml:space="preserve"> – Разград и Районна прокуратура – </w:t>
      </w:r>
      <w:r w:rsidRPr="00464557">
        <w:rPr>
          <w:rFonts w:ascii="Times New Roman" w:eastAsia="Times New Roman" w:hAnsi="Times New Roman"/>
          <w:sz w:val="28"/>
          <w:szCs w:val="28"/>
        </w:rPr>
        <w:lastRenderedPageBreak/>
        <w:t>Кубрат тези стойности са съответно 6 и 7. По този показател работата бележи спад спрямо предходните два отчетни периода.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Ефективността на разследването на бързите производства в аспекта на приключването и решаването им като такива, е намаляла значително в Районна прокуратура – Исперих и в Районна прокуратура – Кубрат спрямо 2018г.:</w:t>
      </w:r>
    </w:p>
    <w:p w:rsidR="00207A6A" w:rsidRPr="00464557" w:rsidRDefault="00207A6A" w:rsidP="00207A6A">
      <w:pPr>
        <w:framePr w:hSpace="141" w:wrap="around" w:vAnchor="text" w:hAnchor="page" w:x="2185" w:y="270"/>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Относителен дял  на преобразуваните бързи производства</w:t>
      </w:r>
    </w:p>
    <w:tbl>
      <w:tblPr>
        <w:tblpPr w:leftFromText="141" w:rightFromText="141" w:vertAnchor="text" w:horzAnchor="margin" w:tblpX="108" w:tblpY="8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560"/>
        <w:gridCol w:w="1559"/>
        <w:gridCol w:w="1559"/>
      </w:tblGrid>
      <w:tr w:rsidR="00207A6A" w:rsidRPr="00464557" w:rsidTr="002F6CC9">
        <w:trPr>
          <w:trHeight w:val="552"/>
        </w:trPr>
        <w:tc>
          <w:tcPr>
            <w:tcW w:w="4536"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Прокуратура</w:t>
            </w:r>
          </w:p>
        </w:tc>
        <w:tc>
          <w:tcPr>
            <w:tcW w:w="1560" w:type="dxa"/>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2019г.</w:t>
            </w:r>
          </w:p>
        </w:tc>
        <w:tc>
          <w:tcPr>
            <w:tcW w:w="1559"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2018г.</w:t>
            </w:r>
          </w:p>
        </w:tc>
        <w:tc>
          <w:tcPr>
            <w:tcW w:w="1559"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2017г.</w:t>
            </w:r>
          </w:p>
        </w:tc>
      </w:tr>
      <w:tr w:rsidR="00207A6A" w:rsidRPr="00464557" w:rsidTr="00207A6A">
        <w:trPr>
          <w:trHeight w:val="404"/>
        </w:trPr>
        <w:tc>
          <w:tcPr>
            <w:tcW w:w="4536"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Разградска районна прокуратура</w:t>
            </w:r>
          </w:p>
          <w:p w:rsidR="00207A6A" w:rsidRPr="00464557" w:rsidRDefault="00207A6A" w:rsidP="00207A6A">
            <w:pPr>
              <w:spacing w:after="0" w:line="240" w:lineRule="auto"/>
              <w:ind w:firstLine="709"/>
              <w:jc w:val="both"/>
              <w:rPr>
                <w:rFonts w:ascii="Times New Roman" w:eastAsia="Times New Roman" w:hAnsi="Times New Roman"/>
                <w:sz w:val="28"/>
                <w:szCs w:val="28"/>
              </w:rPr>
            </w:pPr>
          </w:p>
        </w:tc>
        <w:tc>
          <w:tcPr>
            <w:tcW w:w="1560" w:type="dxa"/>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4,9%</w:t>
            </w:r>
          </w:p>
        </w:tc>
        <w:tc>
          <w:tcPr>
            <w:tcW w:w="1559"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4,7%</w:t>
            </w:r>
          </w:p>
        </w:tc>
        <w:tc>
          <w:tcPr>
            <w:tcW w:w="1559"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9 %</w:t>
            </w:r>
          </w:p>
        </w:tc>
      </w:tr>
      <w:tr w:rsidR="00207A6A" w:rsidRPr="00464557" w:rsidTr="00207A6A">
        <w:tc>
          <w:tcPr>
            <w:tcW w:w="4536"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Исперихска районна прокуратура</w:t>
            </w:r>
          </w:p>
        </w:tc>
        <w:tc>
          <w:tcPr>
            <w:tcW w:w="1560" w:type="dxa"/>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9,8%</w:t>
            </w:r>
          </w:p>
        </w:tc>
        <w:tc>
          <w:tcPr>
            <w:tcW w:w="1559"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4,3%</w:t>
            </w:r>
          </w:p>
        </w:tc>
        <w:tc>
          <w:tcPr>
            <w:tcW w:w="1559"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6,4 %</w:t>
            </w:r>
          </w:p>
          <w:p w:rsidR="00207A6A" w:rsidRPr="00464557" w:rsidRDefault="00207A6A" w:rsidP="00207A6A">
            <w:pPr>
              <w:spacing w:after="0" w:line="240" w:lineRule="auto"/>
              <w:ind w:firstLine="709"/>
              <w:jc w:val="both"/>
              <w:rPr>
                <w:rFonts w:ascii="Times New Roman" w:eastAsia="Times New Roman" w:hAnsi="Times New Roman"/>
                <w:sz w:val="28"/>
                <w:szCs w:val="28"/>
              </w:rPr>
            </w:pPr>
          </w:p>
        </w:tc>
      </w:tr>
      <w:tr w:rsidR="00207A6A" w:rsidRPr="00464557" w:rsidTr="00207A6A">
        <w:trPr>
          <w:trHeight w:val="580"/>
        </w:trPr>
        <w:tc>
          <w:tcPr>
            <w:tcW w:w="4536"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proofErr w:type="spellStart"/>
            <w:r w:rsidRPr="00464557">
              <w:rPr>
                <w:rFonts w:ascii="Times New Roman" w:eastAsia="Times New Roman" w:hAnsi="Times New Roman"/>
                <w:sz w:val="28"/>
                <w:szCs w:val="28"/>
              </w:rPr>
              <w:t>Кубратска</w:t>
            </w:r>
            <w:proofErr w:type="spellEnd"/>
            <w:r w:rsidRPr="00464557">
              <w:rPr>
                <w:rFonts w:ascii="Times New Roman" w:eastAsia="Times New Roman" w:hAnsi="Times New Roman"/>
                <w:sz w:val="28"/>
                <w:szCs w:val="28"/>
              </w:rPr>
              <w:t xml:space="preserve"> районна прокуратура</w:t>
            </w:r>
          </w:p>
        </w:tc>
        <w:tc>
          <w:tcPr>
            <w:tcW w:w="1560" w:type="dxa"/>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8,1%</w:t>
            </w:r>
          </w:p>
        </w:tc>
        <w:tc>
          <w:tcPr>
            <w:tcW w:w="1559"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5,7%</w:t>
            </w:r>
          </w:p>
        </w:tc>
        <w:tc>
          <w:tcPr>
            <w:tcW w:w="1559" w:type="dxa"/>
            <w:shd w:val="clear" w:color="auto" w:fill="auto"/>
          </w:tcPr>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3,6 %</w:t>
            </w:r>
          </w:p>
        </w:tc>
      </w:tr>
    </w:tbl>
    <w:p w:rsidR="00207A6A" w:rsidRPr="00464557" w:rsidRDefault="00207A6A" w:rsidP="00207A6A">
      <w:pPr>
        <w:tabs>
          <w:tab w:val="right" w:pos="1440"/>
        </w:tabs>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      </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Причината за постановяване на разследване по общия ред по първоначално образуваните бързи производства е била необходимостта от извършване на множество процесуално-следствени действия и невъзможността същите да приключат в предвидения срок за разследване под формата на бързо производство.</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Работата по  бързите производства е един от факторите за ефективно противодействие на престъпността в района поради незабавният ефект от наказателната репресия, по отношение на  често срещани категории престъпления, макар и от категорията на леко наказуемите и е безспорен  приоритет.</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Анализът на данните сочи за добро качество и организация на работата в прокуратурите от Разградският съдебен район и взаимодействието с разследващите и полицейските органи.</w:t>
      </w:r>
    </w:p>
    <w:p w:rsidR="00207A6A" w:rsidRPr="00464557" w:rsidRDefault="00207A6A" w:rsidP="00207A6A">
      <w:pPr>
        <w:tabs>
          <w:tab w:val="right" w:pos="1440"/>
        </w:tabs>
        <w:spacing w:after="0" w:line="240" w:lineRule="auto"/>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u w:val="single"/>
        </w:rPr>
      </w:pPr>
      <w:r w:rsidRPr="00464557">
        <w:rPr>
          <w:rFonts w:ascii="Times New Roman" w:eastAsia="Times New Roman" w:hAnsi="Times New Roman"/>
          <w:sz w:val="28"/>
          <w:szCs w:val="28"/>
          <w:u w:val="single"/>
        </w:rPr>
        <w:t>Досъдебни производства, разследвани по общия ред</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През 2019 г. в съдебния район са наблюдавани общо 1625 досъдебни производства разследвани по общия ред.</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Новообразуваните от тях са 916 с дял от 56,4%.</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В сравнение с предходните два отчетни периода  общият брой на наблюдаваните досъдебни производства се е увеличил, а новообразуваните  досъдебни производства от тази категория бележи лек ръст спрямо 2018г. и  спад спрямо 2017г.</w:t>
      </w:r>
    </w:p>
    <w:p w:rsidR="00207A6A" w:rsidRPr="00464557" w:rsidRDefault="00207A6A" w:rsidP="00207A6A">
      <w:pPr>
        <w:tabs>
          <w:tab w:val="right" w:pos="1440"/>
        </w:tabs>
        <w:spacing w:after="0" w:line="240" w:lineRule="auto"/>
        <w:jc w:val="both"/>
        <w:rPr>
          <w:rFonts w:ascii="Times New Roman" w:eastAsia="Times New Roman" w:hAnsi="Times New Roman"/>
          <w:sz w:val="28"/>
          <w:szCs w:val="28"/>
        </w:rPr>
      </w:pPr>
      <w:r w:rsidRPr="00464557">
        <w:rPr>
          <w:rFonts w:ascii="Times New Roman" w:eastAsia="Times New Roman" w:hAnsi="Times New Roman"/>
          <w:noProof/>
          <w:sz w:val="28"/>
          <w:szCs w:val="28"/>
          <w:lang w:eastAsia="bg-BG"/>
        </w:rPr>
        <w:lastRenderedPageBreak/>
        <w:drawing>
          <wp:inline distT="0" distB="0" distL="0" distR="0" wp14:anchorId="7E3728AD" wp14:editId="25206B76">
            <wp:extent cx="5876925" cy="2628900"/>
            <wp:effectExtent l="0" t="0" r="9525" b="19050"/>
            <wp:docPr id="16" name="Об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464557">
        <w:rPr>
          <w:rFonts w:ascii="Times New Roman" w:eastAsia="Times New Roman" w:hAnsi="Times New Roman"/>
          <w:sz w:val="28"/>
          <w:szCs w:val="28"/>
        </w:rPr>
        <w:t xml:space="preserve">        Фиг.13 Новообразувани и общ брой наблюдавани досъдебни производства – дял на новообразуваните от наблюдаваните</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В Окръжна прокуратура –Разград са наблюдавани 178 досъдебни производства разследвани по общия ред, в т.ч. 62, или 34,8% новообразувани:</w:t>
      </w:r>
    </w:p>
    <w:p w:rsidR="002F6CC9" w:rsidRPr="00464557" w:rsidRDefault="00207A6A" w:rsidP="00207A6A">
      <w:pPr>
        <w:tabs>
          <w:tab w:val="right" w:pos="1440"/>
        </w:tabs>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    </w:t>
      </w:r>
      <w:r w:rsidR="00722DB2" w:rsidRPr="00464557">
        <w:rPr>
          <w:rFonts w:ascii="Times New Roman" w:eastAsia="Times New Roman" w:hAnsi="Times New Roman"/>
          <w:noProof/>
          <w:sz w:val="28"/>
          <w:szCs w:val="28"/>
          <w:lang w:eastAsia="bg-BG"/>
        </w:rPr>
        <w:drawing>
          <wp:inline distT="0" distB="0" distL="0" distR="0" wp14:anchorId="67C75605" wp14:editId="653BFAF2">
            <wp:extent cx="5867400" cy="2695575"/>
            <wp:effectExtent l="0" t="0" r="19050" b="9525"/>
            <wp:docPr id="17" name="Об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07A6A" w:rsidRPr="00464557" w:rsidRDefault="00722DB2" w:rsidP="00207A6A">
      <w:pPr>
        <w:tabs>
          <w:tab w:val="right" w:pos="1440"/>
        </w:tabs>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         </w:t>
      </w:r>
      <w:r w:rsidR="00207A6A" w:rsidRPr="00464557">
        <w:rPr>
          <w:rFonts w:ascii="Times New Roman" w:eastAsia="Times New Roman" w:hAnsi="Times New Roman"/>
          <w:sz w:val="28"/>
          <w:szCs w:val="28"/>
        </w:rPr>
        <w:t>Фиг.14 Новообразувани и общ брой наблюдавани досъдебни производства в РОП – дял на новообразуваните от наблюдаваните</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Сравнителният анализ на данните за предходните два отчетни периода сочи тенденция на спад в абсолютна стойност и относителен дял, както на общо наблюдаваните, така и на новообразуваните досъдебни производства.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Районна прокуратура - Разград</w:t>
      </w:r>
      <w:r w:rsidRPr="00464557">
        <w:rPr>
          <w:rFonts w:ascii="Times New Roman" w:eastAsia="Times New Roman" w:hAnsi="Times New Roman"/>
          <w:sz w:val="28"/>
          <w:szCs w:val="28"/>
        </w:rPr>
        <w:t xml:space="preserve"> са наблюдавани 872 досъдебни производства разследвани по общия ред, от които 505 или 57,9% новообразувани.</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Данните сочат за ръст в абсолютна стойност и лек спад в относителен дял на новообразуваните досъдебни производства от тази категория, както спрямо 2018 г. / 474 – 59,5%/, така и спрямо 2017 г. /843 – 64,8 %/.</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lastRenderedPageBreak/>
        <w:t xml:space="preserve">В  </w:t>
      </w:r>
      <w:r w:rsidRPr="00464557">
        <w:rPr>
          <w:rFonts w:ascii="Times New Roman" w:eastAsia="Times New Roman" w:hAnsi="Times New Roman"/>
          <w:sz w:val="28"/>
          <w:szCs w:val="28"/>
          <w:u w:val="single"/>
        </w:rPr>
        <w:t>Районна прокуратура - Исперих</w:t>
      </w:r>
      <w:r w:rsidRPr="00464557">
        <w:rPr>
          <w:rFonts w:ascii="Times New Roman" w:eastAsia="Times New Roman" w:hAnsi="Times New Roman"/>
          <w:sz w:val="28"/>
          <w:szCs w:val="28"/>
        </w:rPr>
        <w:t xml:space="preserve"> са наблюдавани 273 досъдебни производства, разследвани по общия ред, от които 143 или 52,4% новообразувани, при 181 или 67% новообразувани за 2018 г. и 177 новообразувани, съответно 68% за 2017 г. </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В </w:t>
      </w:r>
      <w:r w:rsidRPr="00464557">
        <w:rPr>
          <w:rFonts w:ascii="Times New Roman" w:eastAsia="Times New Roman" w:hAnsi="Times New Roman"/>
          <w:sz w:val="28"/>
          <w:szCs w:val="28"/>
          <w:u w:val="single"/>
        </w:rPr>
        <w:t>Районна прокуратура - Кубрат</w:t>
      </w:r>
      <w:r w:rsidRPr="00464557">
        <w:rPr>
          <w:rFonts w:ascii="Times New Roman" w:eastAsia="Times New Roman" w:hAnsi="Times New Roman"/>
          <w:sz w:val="28"/>
          <w:szCs w:val="28"/>
        </w:rPr>
        <w:t xml:space="preserve"> са наблюдавани 302 досъдебни производства, разследвани по общия ред, от които 206 или 68,2% новообразувани. В същата прокуратура през 2018 г. наблюдаваните новообразувани досъдебни производства от анализираната категория са били 167, съставляващи 59,6%, а през 2017 г. - 179, съответно 63,7%.</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u w:val="single"/>
        </w:rPr>
      </w:pPr>
      <w:r w:rsidRPr="00464557">
        <w:rPr>
          <w:rFonts w:ascii="Times New Roman" w:eastAsia="Times New Roman" w:hAnsi="Times New Roman"/>
          <w:sz w:val="28"/>
          <w:szCs w:val="28"/>
          <w:u w:val="single"/>
        </w:rPr>
        <w:t>Досъдебни производства, разследвани по общия ред от разследващ полицай:</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През 2019 година прокурорите в съдебния район са наблюдавали 1495 досъдебни производства, разследвани по общия ред от разследващ полицай, от които 866 или 57,9%  са новообразувани.</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Докато наблюдаваните производства бележат ръст, то новообразуваните такива от посочената категория бележат спад в абсолютна стойност спрямо предходните две календарни години :</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left="142" w:hanging="142"/>
        <w:jc w:val="both"/>
        <w:rPr>
          <w:rFonts w:ascii="Times New Roman" w:eastAsia="Times New Roman" w:hAnsi="Times New Roman"/>
          <w:sz w:val="28"/>
          <w:szCs w:val="28"/>
        </w:rPr>
      </w:pPr>
      <w:r w:rsidRPr="00464557">
        <w:rPr>
          <w:rFonts w:ascii="Times New Roman" w:eastAsia="Times New Roman" w:hAnsi="Times New Roman"/>
          <w:noProof/>
          <w:sz w:val="28"/>
          <w:szCs w:val="28"/>
          <w:lang w:eastAsia="bg-BG"/>
        </w:rPr>
        <w:drawing>
          <wp:inline distT="0" distB="0" distL="0" distR="0" wp14:anchorId="4916FCCA" wp14:editId="11ECBA49">
            <wp:extent cx="5915025" cy="2524125"/>
            <wp:effectExtent l="0" t="0" r="9525" b="9525"/>
            <wp:docPr id="18" name="Об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722DB2" w:rsidRPr="00464557">
        <w:rPr>
          <w:rFonts w:ascii="Times New Roman" w:eastAsia="Times New Roman" w:hAnsi="Times New Roman"/>
          <w:sz w:val="28"/>
          <w:szCs w:val="28"/>
        </w:rPr>
        <w:t xml:space="preserve">       </w:t>
      </w:r>
      <w:r w:rsidRPr="00464557">
        <w:rPr>
          <w:rFonts w:ascii="Times New Roman" w:eastAsia="Times New Roman" w:hAnsi="Times New Roman"/>
          <w:sz w:val="28"/>
          <w:szCs w:val="28"/>
        </w:rPr>
        <w:t xml:space="preserve"> Фиг.15 Досъдебни производства, разследвани по общия ред от разследващ полицай – общ брой и новообразувани</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Досъдебните производства от тази категория съставляват 92,0%  от всички такива, разследвани по общия ред и относителният им дял бележи сравнителна устойчивост спрямо </w:t>
      </w:r>
      <w:proofErr w:type="spellStart"/>
      <w:r w:rsidRPr="00464557">
        <w:rPr>
          <w:rFonts w:ascii="Times New Roman" w:eastAsia="Times New Roman" w:hAnsi="Times New Roman"/>
          <w:sz w:val="28"/>
          <w:szCs w:val="28"/>
        </w:rPr>
        <w:t>предходвните</w:t>
      </w:r>
      <w:proofErr w:type="spellEnd"/>
      <w:r w:rsidRPr="00464557">
        <w:rPr>
          <w:rFonts w:ascii="Times New Roman" w:eastAsia="Times New Roman" w:hAnsi="Times New Roman"/>
          <w:sz w:val="28"/>
          <w:szCs w:val="28"/>
        </w:rPr>
        <w:t xml:space="preserve"> два отчетни периода – 2018г. – 92,5%, а през 2017 г. – 93,7%.</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u w:val="single"/>
        </w:rPr>
      </w:pPr>
      <w:r w:rsidRPr="00464557">
        <w:rPr>
          <w:rFonts w:ascii="Times New Roman" w:eastAsia="Times New Roman" w:hAnsi="Times New Roman"/>
          <w:sz w:val="28"/>
          <w:szCs w:val="28"/>
          <w:u w:val="single"/>
        </w:rPr>
        <w:t>Досъдебни производства, разследвани по общия ред от следовател</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През 2019 година от следовател в съдебния район са разследвани 125 досъдебни производства, от които 48 или 38,4% новообразувани.</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Данните бележат известно увеличение спрямо предходните две години, когато са били съответно 2018 г. /110-35/, а за 2017 г. /95 – 33/. Това се дължи както на увеличението на общия брой наблюдавани досъдебни </w:t>
      </w:r>
      <w:r w:rsidRPr="00464557">
        <w:rPr>
          <w:rFonts w:ascii="Times New Roman" w:eastAsia="Times New Roman" w:hAnsi="Times New Roman"/>
          <w:sz w:val="28"/>
          <w:szCs w:val="28"/>
        </w:rPr>
        <w:lastRenderedPageBreak/>
        <w:t>производства, така и на самите престъпления - такива с фактическа и правна сложност.</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Досъдебните производства, разследвани по общия ред от следовател с възлагане по реда на чл.194, ал.1, т.4 от НПК са 15 за 2019 г.,  при 7 за 2018 г. и 14 за 2017 г.</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Разследваните по общия ред от следовател дела съставляват 7,7% и бележат значителен ръст спрямо 2018 г., когато те са били 2,3%, също така и спрямо 2017 г., когато са били  6%.</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През отчетния период в прокуратурите от съдебния район има три досъдебни производства разследвани от прокурор -  две в Районна прокуратура – Разград и едно в Районна прокуратура – гр. Кубрат. Няма новообразувани от посочената категория.</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Наблюдаваните досъдебни производства, разследвани от митнически инспектор през периода са две, като те са новообразувани.</w:t>
      </w:r>
    </w:p>
    <w:p w:rsidR="00207A6A" w:rsidRPr="00464557" w:rsidRDefault="00207A6A" w:rsidP="00207A6A">
      <w:pPr>
        <w:spacing w:after="0" w:line="240" w:lineRule="auto"/>
        <w:ind w:firstLine="709"/>
        <w:jc w:val="both"/>
        <w:rPr>
          <w:rFonts w:ascii="Times New Roman" w:eastAsia="Times New Roman" w:hAnsi="Times New Roman"/>
          <w:b/>
          <w:sz w:val="28"/>
          <w:szCs w:val="28"/>
          <w:lang w:eastAsia="bg-BG"/>
        </w:rPr>
      </w:pPr>
    </w:p>
    <w:p w:rsidR="00207A6A" w:rsidRPr="00464557" w:rsidRDefault="00207A6A" w:rsidP="00207A6A">
      <w:pPr>
        <w:spacing w:after="0" w:line="240" w:lineRule="auto"/>
        <w:ind w:firstLine="709"/>
        <w:jc w:val="both"/>
        <w:rPr>
          <w:rFonts w:ascii="Times New Roman" w:eastAsia="Times New Roman" w:hAnsi="Times New Roman"/>
          <w:b/>
          <w:sz w:val="28"/>
          <w:szCs w:val="28"/>
          <w:lang w:eastAsia="bg-BG"/>
        </w:rPr>
      </w:pPr>
    </w:p>
    <w:p w:rsidR="00207A6A" w:rsidRPr="00464557" w:rsidRDefault="00207A6A" w:rsidP="00207A6A">
      <w:pPr>
        <w:spacing w:after="0" w:line="240" w:lineRule="auto"/>
        <w:ind w:firstLine="709"/>
        <w:jc w:val="both"/>
        <w:rPr>
          <w:rFonts w:ascii="Times New Roman" w:eastAsia="Times New Roman" w:hAnsi="Times New Roman"/>
          <w:b/>
          <w:sz w:val="28"/>
          <w:szCs w:val="28"/>
          <w:u w:val="single"/>
          <w:lang w:eastAsia="bg-BG"/>
        </w:rPr>
      </w:pPr>
      <w:r w:rsidRPr="00464557">
        <w:rPr>
          <w:rFonts w:ascii="Times New Roman" w:eastAsia="Times New Roman" w:hAnsi="Times New Roman"/>
          <w:b/>
          <w:sz w:val="28"/>
          <w:szCs w:val="28"/>
          <w:u w:val="single"/>
          <w:lang w:eastAsia="bg-BG"/>
        </w:rPr>
        <w:t>2.</w:t>
      </w:r>
      <w:proofErr w:type="spellStart"/>
      <w:r w:rsidRPr="00464557">
        <w:rPr>
          <w:rFonts w:ascii="Times New Roman" w:eastAsia="Times New Roman" w:hAnsi="Times New Roman"/>
          <w:b/>
          <w:sz w:val="28"/>
          <w:szCs w:val="28"/>
          <w:u w:val="single"/>
          <w:lang w:eastAsia="bg-BG"/>
        </w:rPr>
        <w:t>2</w:t>
      </w:r>
      <w:proofErr w:type="spellEnd"/>
      <w:r w:rsidRPr="00464557">
        <w:rPr>
          <w:rFonts w:ascii="Times New Roman" w:eastAsia="Times New Roman" w:hAnsi="Times New Roman"/>
          <w:b/>
          <w:sz w:val="28"/>
          <w:szCs w:val="28"/>
          <w:u w:val="single"/>
          <w:lang w:eastAsia="bg-BG"/>
        </w:rPr>
        <w:t xml:space="preserve">. </w:t>
      </w:r>
      <w:proofErr w:type="spellStart"/>
      <w:r w:rsidRPr="00464557">
        <w:rPr>
          <w:rFonts w:ascii="Times New Roman" w:eastAsia="Times New Roman" w:hAnsi="Times New Roman"/>
          <w:b/>
          <w:sz w:val="28"/>
          <w:szCs w:val="28"/>
          <w:u w:val="single"/>
          <w:lang w:eastAsia="bg-BG"/>
        </w:rPr>
        <w:t>Срочност</w:t>
      </w:r>
      <w:proofErr w:type="spellEnd"/>
      <w:r w:rsidRPr="00464557">
        <w:rPr>
          <w:rFonts w:ascii="Times New Roman" w:eastAsia="Times New Roman" w:hAnsi="Times New Roman"/>
          <w:b/>
          <w:sz w:val="28"/>
          <w:szCs w:val="28"/>
          <w:u w:val="single"/>
          <w:lang w:eastAsia="bg-BG"/>
        </w:rPr>
        <w:t xml:space="preserve"> на разследването. </w:t>
      </w:r>
    </w:p>
    <w:p w:rsidR="00207A6A" w:rsidRPr="00464557" w:rsidRDefault="00207A6A" w:rsidP="00207A6A">
      <w:pPr>
        <w:spacing w:after="0" w:line="240" w:lineRule="auto"/>
        <w:ind w:firstLine="709"/>
        <w:jc w:val="both"/>
        <w:rPr>
          <w:rFonts w:ascii="Times New Roman" w:eastAsia="Times New Roman" w:hAnsi="Times New Roman"/>
          <w:b/>
          <w:sz w:val="28"/>
          <w:szCs w:val="28"/>
          <w:lang w:eastAsia="bg-BG"/>
        </w:rPr>
      </w:pPr>
    </w:p>
    <w:p w:rsidR="00207A6A" w:rsidRPr="00464557" w:rsidRDefault="00207A6A" w:rsidP="00207A6A">
      <w:pPr>
        <w:spacing w:after="0" w:line="240" w:lineRule="auto"/>
        <w:ind w:firstLine="709"/>
        <w:jc w:val="both"/>
        <w:rPr>
          <w:rFonts w:ascii="Times New Roman" w:eastAsia="Times New Roman" w:hAnsi="Times New Roman"/>
          <w:b/>
          <w:sz w:val="28"/>
          <w:szCs w:val="28"/>
          <w:lang w:eastAsia="bg-BG"/>
        </w:rPr>
      </w:pPr>
      <w:r w:rsidRPr="00464557">
        <w:rPr>
          <w:rFonts w:ascii="Times New Roman" w:eastAsia="Times New Roman" w:hAnsi="Times New Roman"/>
          <w:b/>
          <w:sz w:val="28"/>
          <w:szCs w:val="28"/>
          <w:lang w:eastAsia="bg-BG"/>
        </w:rPr>
        <w:t>През 2019 година в Разградският съдебен район са приключени 1341 досъдебни производства или 68,9% от наблюдаваните.</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В абсолютна стойност и относителен дял приключените досъдебни производства бележат лек спад спрямо предходните 2018 и 2017 г. :</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noProof/>
          <w:sz w:val="28"/>
          <w:szCs w:val="28"/>
          <w:lang w:eastAsia="bg-BG"/>
        </w:rPr>
        <w:drawing>
          <wp:inline distT="0" distB="0" distL="0" distR="0" wp14:anchorId="41B34162" wp14:editId="14E035A7">
            <wp:extent cx="5867400" cy="2409825"/>
            <wp:effectExtent l="0" t="0" r="19050" b="9525"/>
            <wp:docPr id="19" name="Об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464557">
        <w:t xml:space="preserve">     </w:t>
      </w:r>
      <w:r w:rsidRPr="00464557">
        <w:rPr>
          <w:rFonts w:ascii="Times New Roman" w:eastAsia="Times New Roman" w:hAnsi="Times New Roman"/>
          <w:sz w:val="28"/>
          <w:szCs w:val="28"/>
        </w:rPr>
        <w:t>Фиг.16 Приключени досъдебни производства – дял в % от наблюдаваните такива.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u w:val="single"/>
        </w:rPr>
      </w:pP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Най-добро е съотношението между наблюдавани и приключени досъдебни производства в </w:t>
      </w:r>
      <w:r w:rsidRPr="00464557">
        <w:rPr>
          <w:rFonts w:ascii="Times New Roman" w:eastAsia="Times New Roman" w:hAnsi="Times New Roman"/>
          <w:sz w:val="28"/>
          <w:szCs w:val="28"/>
          <w:u w:val="single"/>
          <w:lang w:eastAsia="bg-BG"/>
        </w:rPr>
        <w:t>Районна прокуратура - Исперих</w:t>
      </w:r>
      <w:r w:rsidRPr="00464557">
        <w:rPr>
          <w:rFonts w:ascii="Times New Roman" w:eastAsia="Times New Roman" w:hAnsi="Times New Roman"/>
          <w:sz w:val="28"/>
          <w:szCs w:val="28"/>
          <w:lang w:eastAsia="bg-BG"/>
        </w:rPr>
        <w:t>, където то съставлява 76,1% /385-293/, но е по-лошо в сравнение с предходните две години – 2018 г. – 77,2% /399-308/  и 2017 г. – 83,4% /410 - 342/.</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lastRenderedPageBreak/>
        <w:t xml:space="preserve">В </w:t>
      </w:r>
      <w:r w:rsidRPr="00464557">
        <w:rPr>
          <w:rFonts w:ascii="Times New Roman" w:eastAsia="Times New Roman" w:hAnsi="Times New Roman"/>
          <w:sz w:val="28"/>
          <w:szCs w:val="28"/>
          <w:u w:val="single"/>
          <w:lang w:eastAsia="bg-BG"/>
        </w:rPr>
        <w:t>Районна прокуратура - Кубрат</w:t>
      </w:r>
      <w:r w:rsidRPr="00464557">
        <w:rPr>
          <w:rFonts w:ascii="Times New Roman" w:eastAsia="Times New Roman" w:hAnsi="Times New Roman"/>
          <w:sz w:val="28"/>
          <w:szCs w:val="28"/>
          <w:lang w:eastAsia="bg-BG"/>
        </w:rPr>
        <w:t xml:space="preserve"> приключените досъдебни производства през отчетния период са 275 и съставляват 72% от общо разследваните 382.</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Очертава се тенденция на спад в абсолютни стойности и относителен дял  спрямо предходните два отчетни периода - 2018 г. /285-74,6%/ и 2017 г. /273-75,2%/.</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tabs>
          <w:tab w:val="left" w:pos="2235"/>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Делът на приключените досъдебни производства в </w:t>
      </w:r>
      <w:r w:rsidRPr="00464557">
        <w:rPr>
          <w:rFonts w:ascii="Times New Roman" w:eastAsia="Times New Roman" w:hAnsi="Times New Roman"/>
          <w:sz w:val="28"/>
          <w:szCs w:val="28"/>
          <w:u w:val="single"/>
          <w:lang w:eastAsia="bg-BG"/>
        </w:rPr>
        <w:t xml:space="preserve">Районна прокуратура – Разград </w:t>
      </w:r>
      <w:r w:rsidRPr="00464557">
        <w:rPr>
          <w:rFonts w:ascii="Times New Roman" w:eastAsia="Times New Roman" w:hAnsi="Times New Roman"/>
          <w:sz w:val="28"/>
          <w:szCs w:val="28"/>
          <w:lang w:eastAsia="bg-BG"/>
        </w:rPr>
        <w:t>в абсолютна стойност бележи лек ръст спрямо 2018г. и лек спад спрямо 2017г. Процентно съотношение бележи осезаем спад спрямо предходните 2018г. и 2017г.:</w:t>
      </w:r>
    </w:p>
    <w:p w:rsidR="00207A6A" w:rsidRPr="00464557" w:rsidRDefault="00207A6A" w:rsidP="00207A6A">
      <w:pPr>
        <w:tabs>
          <w:tab w:val="left" w:pos="1995"/>
        </w:tabs>
        <w:spacing w:after="0" w:line="240" w:lineRule="auto"/>
        <w:jc w:val="both"/>
        <w:rPr>
          <w:rFonts w:ascii="Times New Roman" w:eastAsia="Times New Roman" w:hAnsi="Times New Roman"/>
          <w:sz w:val="28"/>
          <w:szCs w:val="28"/>
        </w:rPr>
      </w:pPr>
      <w:r w:rsidRPr="00464557">
        <w:rPr>
          <w:rFonts w:ascii="Times New Roman" w:eastAsia="Times New Roman" w:hAnsi="Times New Roman"/>
          <w:noProof/>
          <w:sz w:val="28"/>
          <w:szCs w:val="28"/>
          <w:lang w:eastAsia="bg-BG"/>
        </w:rPr>
        <w:drawing>
          <wp:inline distT="0" distB="0" distL="0" distR="0" wp14:anchorId="78771477" wp14:editId="0B592068">
            <wp:extent cx="5895975" cy="2428875"/>
            <wp:effectExtent l="0" t="0" r="9525" b="9525"/>
            <wp:docPr id="20" name="Об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464557">
        <w:t xml:space="preserve">        </w:t>
      </w:r>
      <w:r w:rsidR="00EA358B" w:rsidRPr="00464557">
        <w:t xml:space="preserve">     </w:t>
      </w:r>
      <w:r w:rsidRPr="00464557">
        <w:t xml:space="preserve">  </w:t>
      </w:r>
      <w:r w:rsidRPr="00464557">
        <w:rPr>
          <w:rFonts w:ascii="Times New Roman" w:eastAsia="Times New Roman" w:hAnsi="Times New Roman"/>
          <w:sz w:val="28"/>
          <w:szCs w:val="28"/>
        </w:rPr>
        <w:t>Фиг.17 Приключени досъдебни производства в РРП – дял в % от наблюдаваните такива.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u w:val="single"/>
        </w:rPr>
      </w:pP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 В </w:t>
      </w:r>
      <w:r w:rsidRPr="00464557">
        <w:rPr>
          <w:rFonts w:ascii="Times New Roman" w:eastAsia="Times New Roman" w:hAnsi="Times New Roman"/>
          <w:sz w:val="28"/>
          <w:szCs w:val="28"/>
          <w:u w:val="single"/>
          <w:lang w:eastAsia="bg-BG"/>
        </w:rPr>
        <w:t>Окръжна прокуратура - Разград</w:t>
      </w:r>
      <w:r w:rsidRPr="00464557">
        <w:rPr>
          <w:rFonts w:ascii="Times New Roman" w:eastAsia="Times New Roman" w:hAnsi="Times New Roman"/>
          <w:sz w:val="28"/>
          <w:szCs w:val="28"/>
          <w:lang w:eastAsia="bg-BG"/>
        </w:rPr>
        <w:t xml:space="preserve"> приключените досъдебни производства през отчетния период са 104 и съставляват 55,3% от общо разследваните 188.  Наблюдава се  тенденция на спад в абсолютна стойност, но в процентно съотношение бележат ръст спрямо предходните два отчетни периода:</w:t>
      </w:r>
    </w:p>
    <w:p w:rsidR="00EA358B" w:rsidRPr="00464557" w:rsidRDefault="00207A6A" w:rsidP="00207A6A">
      <w:pPr>
        <w:tabs>
          <w:tab w:val="left" w:pos="1755"/>
        </w:tabs>
        <w:spacing w:after="0" w:line="240" w:lineRule="auto"/>
        <w:jc w:val="both"/>
      </w:pPr>
      <w:r w:rsidRPr="00464557">
        <w:rPr>
          <w:rFonts w:ascii="Times New Roman" w:eastAsia="Times New Roman" w:hAnsi="Times New Roman"/>
          <w:noProof/>
          <w:sz w:val="28"/>
          <w:szCs w:val="28"/>
          <w:lang w:eastAsia="bg-BG"/>
        </w:rPr>
        <w:drawing>
          <wp:inline distT="0" distB="0" distL="0" distR="0" wp14:anchorId="753CDCF7" wp14:editId="3AF5EFDC">
            <wp:extent cx="5895975" cy="2505075"/>
            <wp:effectExtent l="0" t="0" r="9525" b="9525"/>
            <wp:docPr id="21" name="Об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464557">
        <w:t xml:space="preserve">      </w:t>
      </w:r>
    </w:p>
    <w:p w:rsidR="00207A6A" w:rsidRPr="00464557" w:rsidRDefault="009504C2" w:rsidP="009504C2">
      <w:pPr>
        <w:tabs>
          <w:tab w:val="left" w:pos="851"/>
          <w:tab w:val="left" w:pos="1755"/>
        </w:tabs>
        <w:spacing w:after="0" w:line="240" w:lineRule="auto"/>
        <w:jc w:val="both"/>
        <w:rPr>
          <w:rFonts w:ascii="Times New Roman" w:eastAsia="Times New Roman" w:hAnsi="Times New Roman"/>
          <w:sz w:val="28"/>
          <w:szCs w:val="28"/>
          <w:u w:val="single"/>
        </w:rPr>
      </w:pPr>
      <w:r w:rsidRPr="00464557">
        <w:rPr>
          <w:rFonts w:ascii="Times New Roman" w:eastAsia="Times New Roman" w:hAnsi="Times New Roman"/>
          <w:sz w:val="28"/>
          <w:szCs w:val="28"/>
        </w:rPr>
        <w:t xml:space="preserve">          </w:t>
      </w:r>
      <w:r w:rsidR="00207A6A" w:rsidRPr="00464557">
        <w:rPr>
          <w:rFonts w:ascii="Times New Roman" w:eastAsia="Times New Roman" w:hAnsi="Times New Roman"/>
          <w:sz w:val="28"/>
          <w:szCs w:val="28"/>
        </w:rPr>
        <w:t>Фиг.18 Приключени досъдебни производства в РОП – дял в % от наблюдаваните такива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u w:val="single"/>
        </w:rPr>
      </w:pPr>
      <w:r w:rsidRPr="00464557">
        <w:rPr>
          <w:rFonts w:ascii="Times New Roman" w:eastAsia="Times New Roman" w:hAnsi="Times New Roman"/>
          <w:sz w:val="28"/>
          <w:szCs w:val="28"/>
          <w:lang w:eastAsia="bg-BG"/>
        </w:rPr>
        <w:lastRenderedPageBreak/>
        <w:t xml:space="preserve"> </w:t>
      </w:r>
    </w:p>
    <w:p w:rsidR="00207A6A" w:rsidRPr="00464557" w:rsidRDefault="00207A6A" w:rsidP="00207A6A">
      <w:pPr>
        <w:tabs>
          <w:tab w:val="left" w:pos="1755"/>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В съдебния район няма приключени досъдебни производства извън законовия срок.</w:t>
      </w:r>
    </w:p>
    <w:p w:rsidR="00207A6A" w:rsidRPr="00464557" w:rsidRDefault="00207A6A" w:rsidP="00207A6A">
      <w:pPr>
        <w:tabs>
          <w:tab w:val="left" w:pos="1755"/>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 В законов срок са и всички неприключени към 31.12.2019 година досъдебни производства.</w:t>
      </w:r>
    </w:p>
    <w:p w:rsidR="00207A6A" w:rsidRPr="00464557" w:rsidRDefault="00207A6A" w:rsidP="00207A6A">
      <w:pPr>
        <w:tabs>
          <w:tab w:val="left" w:pos="1755"/>
        </w:tabs>
        <w:spacing w:after="0" w:line="240" w:lineRule="auto"/>
        <w:ind w:firstLine="709"/>
        <w:jc w:val="both"/>
        <w:rPr>
          <w:rFonts w:ascii="Times New Roman" w:eastAsia="Times New Roman" w:hAnsi="Times New Roman"/>
          <w:b/>
          <w:sz w:val="28"/>
          <w:szCs w:val="28"/>
          <w:lang w:eastAsia="bg-BG"/>
        </w:rPr>
      </w:pPr>
    </w:p>
    <w:p w:rsidR="00207A6A" w:rsidRPr="00464557" w:rsidRDefault="00207A6A" w:rsidP="00207A6A">
      <w:pPr>
        <w:tabs>
          <w:tab w:val="left" w:pos="1755"/>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През 2019г., както и през предходните години прокурорите от Разградският съдебен район не са изпитвали сериозни затруднения при изпълнението на функциите си като наблюдаващи прокурори. На разположение на дежурните разследващи полицаи и следователи има дежурен прокурор и служител в прокуратурата. Продължава провеждането на периодични срещи по искане на полицейски служители и разследващи полицаи, така и по искане на прокурора по текущо установени проблеми по разследванията.</w:t>
      </w:r>
    </w:p>
    <w:p w:rsidR="00207A6A" w:rsidRPr="00464557" w:rsidRDefault="00207A6A" w:rsidP="00207A6A">
      <w:pPr>
        <w:tabs>
          <w:tab w:val="left" w:pos="1755"/>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Налице е добро взаимодействие като цяло между наблюдаващи прокурори и разследващи органи по работата им по ДП и преписки.</w:t>
      </w:r>
    </w:p>
    <w:p w:rsidR="00207A6A" w:rsidRPr="00464557" w:rsidRDefault="00207A6A" w:rsidP="00207A6A">
      <w:pPr>
        <w:tabs>
          <w:tab w:val="left" w:pos="1755"/>
        </w:tabs>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tabs>
          <w:tab w:val="left" w:pos="1755"/>
        </w:tabs>
        <w:spacing w:after="0" w:line="240" w:lineRule="auto"/>
        <w:ind w:firstLine="709"/>
        <w:jc w:val="both"/>
        <w:rPr>
          <w:rFonts w:ascii="Times New Roman" w:eastAsia="Times New Roman" w:hAnsi="Times New Roman"/>
          <w:b/>
          <w:sz w:val="28"/>
          <w:szCs w:val="28"/>
          <w:lang w:eastAsia="bg-BG"/>
        </w:rPr>
      </w:pPr>
      <w:r w:rsidRPr="00464557">
        <w:rPr>
          <w:rFonts w:ascii="Times New Roman" w:eastAsia="Times New Roman" w:hAnsi="Times New Roman"/>
          <w:b/>
          <w:sz w:val="28"/>
          <w:szCs w:val="28"/>
          <w:lang w:eastAsia="bg-BG"/>
        </w:rPr>
        <w:t>2.3.Решени досъдебни производства от прокурор. Видове решения.</w:t>
      </w:r>
    </w:p>
    <w:p w:rsidR="00207A6A" w:rsidRPr="00464557" w:rsidRDefault="00207A6A" w:rsidP="00207A6A">
      <w:pPr>
        <w:tabs>
          <w:tab w:val="left" w:pos="1755"/>
        </w:tabs>
        <w:spacing w:after="0" w:line="240" w:lineRule="auto"/>
        <w:ind w:firstLine="709"/>
        <w:jc w:val="both"/>
        <w:rPr>
          <w:rFonts w:ascii="Times New Roman" w:eastAsia="Times New Roman" w:hAnsi="Times New Roman"/>
          <w:b/>
          <w:sz w:val="28"/>
          <w:szCs w:val="28"/>
          <w:lang w:eastAsia="bg-BG"/>
        </w:rPr>
      </w:pPr>
    </w:p>
    <w:p w:rsidR="00207A6A" w:rsidRPr="00464557" w:rsidRDefault="00207A6A" w:rsidP="00207A6A">
      <w:pPr>
        <w:tabs>
          <w:tab w:val="left" w:pos="1755"/>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През 2019 година прокуратурите от Разградският съдебен район </w:t>
      </w:r>
      <w:r w:rsidRPr="00464557">
        <w:rPr>
          <w:rFonts w:ascii="Times New Roman" w:eastAsia="Times New Roman" w:hAnsi="Times New Roman"/>
          <w:sz w:val="28"/>
          <w:szCs w:val="28"/>
          <w:u w:val="single"/>
          <w:lang w:eastAsia="bg-BG"/>
        </w:rPr>
        <w:t>са решили 1737</w:t>
      </w:r>
      <w:r w:rsidRPr="00464557">
        <w:rPr>
          <w:rFonts w:ascii="Times New Roman" w:eastAsia="Times New Roman" w:hAnsi="Times New Roman"/>
          <w:sz w:val="28"/>
          <w:szCs w:val="28"/>
          <w:lang w:eastAsia="bg-BG"/>
        </w:rPr>
        <w:t xml:space="preserve"> досъдебни производства или 75% от всички наблюдавани:</w:t>
      </w:r>
    </w:p>
    <w:p w:rsidR="00207A6A" w:rsidRPr="00464557" w:rsidRDefault="00207A6A" w:rsidP="00207A6A">
      <w:pPr>
        <w:spacing w:after="0" w:line="240" w:lineRule="auto"/>
        <w:jc w:val="both"/>
        <w:rPr>
          <w:rFonts w:ascii="Times New Roman" w:eastAsia="Times New Roman" w:hAnsi="Times New Roman"/>
          <w:sz w:val="28"/>
          <w:szCs w:val="28"/>
          <w:u w:val="single"/>
        </w:rPr>
      </w:pPr>
      <w:r w:rsidRPr="00464557">
        <w:rPr>
          <w:rFonts w:ascii="Times New Roman" w:eastAsia="Times New Roman" w:hAnsi="Times New Roman"/>
          <w:noProof/>
          <w:sz w:val="28"/>
          <w:szCs w:val="28"/>
          <w:lang w:eastAsia="bg-BG"/>
        </w:rPr>
        <w:drawing>
          <wp:inline distT="0" distB="0" distL="0" distR="0" wp14:anchorId="07FF95A1" wp14:editId="731BF8A2">
            <wp:extent cx="5905500" cy="2733675"/>
            <wp:effectExtent l="0" t="0" r="19050" b="9525"/>
            <wp:docPr id="22" name="Об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464557">
        <w:t xml:space="preserve">       </w:t>
      </w:r>
      <w:r w:rsidR="009504C2" w:rsidRPr="00464557">
        <w:t xml:space="preserve">       </w:t>
      </w:r>
      <w:r w:rsidR="009504C2" w:rsidRPr="00464557">
        <w:rPr>
          <w:rFonts w:ascii="Times New Roman" w:eastAsia="Times New Roman" w:hAnsi="Times New Roman"/>
          <w:sz w:val="28"/>
          <w:szCs w:val="28"/>
        </w:rPr>
        <w:t>Ф</w:t>
      </w:r>
      <w:r w:rsidRPr="00464557">
        <w:rPr>
          <w:rFonts w:ascii="Times New Roman" w:eastAsia="Times New Roman" w:hAnsi="Times New Roman"/>
          <w:sz w:val="28"/>
          <w:szCs w:val="28"/>
        </w:rPr>
        <w:t>иг.19 Решени досъдебни производства – дял в % от наблюдаваните такива</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Сравнителният анализ спрямо предходните два отчетни периода сочи на </w:t>
      </w:r>
      <w:proofErr w:type="spellStart"/>
      <w:r w:rsidRPr="00464557">
        <w:rPr>
          <w:rFonts w:ascii="Times New Roman" w:eastAsia="Times New Roman" w:hAnsi="Times New Roman"/>
          <w:sz w:val="28"/>
          <w:szCs w:val="28"/>
          <w:lang w:eastAsia="bg-BG"/>
        </w:rPr>
        <w:t>очераваща</w:t>
      </w:r>
      <w:proofErr w:type="spellEnd"/>
      <w:r w:rsidRPr="00464557">
        <w:rPr>
          <w:rFonts w:ascii="Times New Roman" w:eastAsia="Times New Roman" w:hAnsi="Times New Roman"/>
          <w:sz w:val="28"/>
          <w:szCs w:val="28"/>
          <w:lang w:eastAsia="bg-BG"/>
        </w:rPr>
        <w:t xml:space="preserve"> се тенденция на спад на решените от прокурорите досъдебни производства, както в абсолютна стойност, така и в относителен дял.</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За поредна година много добър показател е </w:t>
      </w:r>
      <w:proofErr w:type="spellStart"/>
      <w:r w:rsidRPr="00464557">
        <w:rPr>
          <w:rFonts w:ascii="Times New Roman" w:eastAsia="Times New Roman" w:hAnsi="Times New Roman"/>
          <w:sz w:val="28"/>
          <w:szCs w:val="28"/>
          <w:lang w:eastAsia="bg-BG"/>
        </w:rPr>
        <w:t>срочността</w:t>
      </w:r>
      <w:proofErr w:type="spellEnd"/>
      <w:r w:rsidRPr="00464557">
        <w:rPr>
          <w:rFonts w:ascii="Times New Roman" w:eastAsia="Times New Roman" w:hAnsi="Times New Roman"/>
          <w:sz w:val="28"/>
          <w:szCs w:val="28"/>
          <w:lang w:eastAsia="bg-BG"/>
        </w:rPr>
        <w:t xml:space="preserve"> при решаване на досъдебните производства:</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Решените досъдебни производства от прокурорите в срок до един месец са 1727. Няма  досъдебно производство решени над 1 месец без удължен срок.</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lastRenderedPageBreak/>
        <w:t>Десет досъдебни производства – 1 на ОП Разград, 5 на РП - Разград  и 1 на РП- Исперих са решени в двумесечен срок с удължение на същия от административния ръководител.</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Останалите нерешени досъдебни производства са 60 и съставляват 4,5% от приключените досъдебни производства в съдебния район.</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Делът на нерешените приключени досъдебни производства е най-голям в </w:t>
      </w:r>
      <w:r w:rsidRPr="00464557">
        <w:rPr>
          <w:rFonts w:ascii="Times New Roman" w:eastAsia="Times New Roman" w:hAnsi="Times New Roman"/>
          <w:sz w:val="28"/>
          <w:szCs w:val="28"/>
          <w:u w:val="single"/>
          <w:lang w:eastAsia="bg-BG"/>
        </w:rPr>
        <w:t>Районна прокуратура - Разград -</w:t>
      </w:r>
      <w:r w:rsidRPr="00464557">
        <w:rPr>
          <w:rFonts w:ascii="Times New Roman" w:eastAsia="Times New Roman" w:hAnsi="Times New Roman"/>
          <w:sz w:val="28"/>
          <w:szCs w:val="28"/>
          <w:lang w:eastAsia="bg-BG"/>
        </w:rPr>
        <w:t xml:space="preserve"> 6,2% от приключените дела, при 6,5% за 2018 г. и 7% за 2017 г.</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В </w:t>
      </w:r>
      <w:r w:rsidRPr="00464557">
        <w:rPr>
          <w:rFonts w:ascii="Times New Roman" w:eastAsia="Times New Roman" w:hAnsi="Times New Roman"/>
          <w:sz w:val="28"/>
          <w:szCs w:val="28"/>
          <w:u w:val="single"/>
          <w:lang w:eastAsia="bg-BG"/>
        </w:rPr>
        <w:t>Районна прокуратура - Исперих</w:t>
      </w:r>
      <w:r w:rsidRPr="00464557">
        <w:rPr>
          <w:rFonts w:ascii="Times New Roman" w:eastAsia="Times New Roman" w:hAnsi="Times New Roman"/>
          <w:sz w:val="28"/>
          <w:szCs w:val="28"/>
          <w:lang w:eastAsia="bg-BG"/>
        </w:rPr>
        <w:t xml:space="preserve"> нерешените досъдебни производства съставляват 2%, при 1,9% за 2018 г. и 1,7% за 2017 г.</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Делът на нерешените приключени досъдебни производства в </w:t>
      </w:r>
      <w:r w:rsidRPr="00464557">
        <w:rPr>
          <w:rFonts w:ascii="Times New Roman" w:eastAsia="Times New Roman" w:hAnsi="Times New Roman"/>
          <w:sz w:val="28"/>
          <w:szCs w:val="28"/>
          <w:u w:val="single"/>
          <w:lang w:eastAsia="bg-BG"/>
        </w:rPr>
        <w:t xml:space="preserve">Районна прокуратура - Кубрат </w:t>
      </w:r>
      <w:r w:rsidRPr="00464557">
        <w:rPr>
          <w:rFonts w:ascii="Times New Roman" w:eastAsia="Times New Roman" w:hAnsi="Times New Roman"/>
          <w:sz w:val="28"/>
          <w:szCs w:val="28"/>
          <w:lang w:eastAsia="bg-BG"/>
        </w:rPr>
        <w:t xml:space="preserve">е 4%, при 3,5% за 2018 г. и 10% за 2017 г. и е реално обясним с кадровите проблеми в тази прокуратура.  </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В </w:t>
      </w:r>
      <w:r w:rsidRPr="00464557">
        <w:rPr>
          <w:rFonts w:ascii="Times New Roman" w:eastAsia="Times New Roman" w:hAnsi="Times New Roman"/>
          <w:sz w:val="28"/>
          <w:szCs w:val="28"/>
          <w:u w:val="single"/>
          <w:lang w:eastAsia="bg-BG"/>
        </w:rPr>
        <w:t>Окръжна прокуратура - Разград</w:t>
      </w:r>
      <w:r w:rsidRPr="00464557">
        <w:rPr>
          <w:rFonts w:ascii="Times New Roman" w:eastAsia="Times New Roman" w:hAnsi="Times New Roman"/>
          <w:sz w:val="28"/>
          <w:szCs w:val="28"/>
          <w:lang w:eastAsia="bg-BG"/>
        </w:rPr>
        <w:t xml:space="preserve"> е останало нерешено едно досъдебно производство или 1% от приключените, при 3,6% за 2018 г. и 6% за 2017 г.</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В съда са внесени 672 от решените в съдебния район досъдебни производства или 38,7%.</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Налице е ръст в абсолютна стойност на внесените в съда досъдебни производства в сравнение с 2018 г. и спад спрямо 2017 г. В относителен дял е изразена  тенденция на ръст спрямо предходните две години.</w:t>
      </w:r>
    </w:p>
    <w:p w:rsidR="00207A6A" w:rsidRPr="00464557" w:rsidRDefault="00207A6A" w:rsidP="00207A6A">
      <w:pPr>
        <w:spacing w:after="0" w:line="240" w:lineRule="auto"/>
        <w:jc w:val="both"/>
        <w:rPr>
          <w:rFonts w:ascii="Times New Roman" w:eastAsia="Times New Roman" w:hAnsi="Times New Roman"/>
          <w:sz w:val="28"/>
          <w:szCs w:val="28"/>
          <w:u w:val="single"/>
        </w:rPr>
      </w:pPr>
      <w:r w:rsidRPr="00464557">
        <w:rPr>
          <w:rFonts w:ascii="Times New Roman" w:eastAsia="Times New Roman" w:hAnsi="Times New Roman"/>
          <w:noProof/>
          <w:sz w:val="28"/>
          <w:szCs w:val="28"/>
          <w:lang w:eastAsia="bg-BG"/>
        </w:rPr>
        <w:drawing>
          <wp:inline distT="0" distB="0" distL="0" distR="0" wp14:anchorId="131E5312" wp14:editId="0D658287">
            <wp:extent cx="5876925" cy="2676525"/>
            <wp:effectExtent l="0" t="0" r="9525" b="9525"/>
            <wp:docPr id="23" name="Об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464557">
        <w:t xml:space="preserve">    </w:t>
      </w:r>
      <w:r w:rsidR="009504C2" w:rsidRPr="00464557">
        <w:t xml:space="preserve">         </w:t>
      </w:r>
      <w:r w:rsidRPr="00464557">
        <w:rPr>
          <w:rFonts w:ascii="Times New Roman" w:eastAsia="Times New Roman" w:hAnsi="Times New Roman"/>
          <w:sz w:val="28"/>
          <w:szCs w:val="28"/>
        </w:rPr>
        <w:t>Фиг.20 Внесени в съда досъдебни производства – дял в % от решените такива</w:t>
      </w:r>
    </w:p>
    <w:p w:rsidR="00207A6A" w:rsidRPr="00464557" w:rsidRDefault="00207A6A" w:rsidP="00207A6A">
      <w:pPr>
        <w:tabs>
          <w:tab w:val="left" w:pos="1200"/>
        </w:tabs>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tabs>
          <w:tab w:val="left" w:pos="1200"/>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От </w:t>
      </w:r>
      <w:r w:rsidRPr="00464557">
        <w:rPr>
          <w:rFonts w:ascii="Times New Roman" w:eastAsia="Times New Roman" w:hAnsi="Times New Roman"/>
          <w:sz w:val="28"/>
          <w:szCs w:val="28"/>
          <w:u w:val="single"/>
          <w:lang w:eastAsia="bg-BG"/>
        </w:rPr>
        <w:t>Окръжна прокуратура - Разград</w:t>
      </w:r>
      <w:r w:rsidRPr="00464557">
        <w:rPr>
          <w:rFonts w:ascii="Times New Roman" w:eastAsia="Times New Roman" w:hAnsi="Times New Roman"/>
          <w:sz w:val="28"/>
          <w:szCs w:val="28"/>
          <w:lang w:eastAsia="bg-BG"/>
        </w:rPr>
        <w:t xml:space="preserve"> в съда са внесени 40 досъдебни производства или 37,7% от решените.</w:t>
      </w:r>
    </w:p>
    <w:p w:rsidR="00207A6A" w:rsidRPr="00464557" w:rsidRDefault="00207A6A" w:rsidP="00207A6A">
      <w:pPr>
        <w:tabs>
          <w:tab w:val="left" w:pos="1200"/>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Налице е лек спад в абсолютна стойност на внесените в съда досъдебни производства спрямо предходните две години и тенденция на ръст в относителен дял от решените досъдебни производства:</w:t>
      </w:r>
    </w:p>
    <w:p w:rsidR="00207A6A" w:rsidRPr="00464557" w:rsidRDefault="00207A6A" w:rsidP="00207A6A">
      <w:pPr>
        <w:tabs>
          <w:tab w:val="left" w:pos="1200"/>
        </w:tabs>
        <w:spacing w:after="0" w:line="240" w:lineRule="auto"/>
        <w:jc w:val="both"/>
        <w:rPr>
          <w:rFonts w:ascii="Times New Roman" w:eastAsia="Times New Roman" w:hAnsi="Times New Roman"/>
          <w:sz w:val="28"/>
          <w:szCs w:val="28"/>
          <w:lang w:eastAsia="bg-BG"/>
        </w:rPr>
      </w:pPr>
    </w:p>
    <w:p w:rsidR="00207A6A" w:rsidRPr="00464557" w:rsidRDefault="00207A6A" w:rsidP="00207A6A">
      <w:pPr>
        <w:spacing w:after="0" w:line="240" w:lineRule="auto"/>
        <w:jc w:val="both"/>
        <w:rPr>
          <w:rFonts w:ascii="Times New Roman" w:eastAsia="Times New Roman" w:hAnsi="Times New Roman"/>
          <w:sz w:val="28"/>
          <w:szCs w:val="28"/>
          <w:u w:val="single"/>
        </w:rPr>
      </w:pPr>
      <w:r w:rsidRPr="00464557">
        <w:rPr>
          <w:rFonts w:ascii="Times New Roman" w:eastAsia="Times New Roman" w:hAnsi="Times New Roman"/>
          <w:noProof/>
          <w:sz w:val="28"/>
          <w:szCs w:val="28"/>
          <w:lang w:eastAsia="bg-BG"/>
        </w:rPr>
        <w:lastRenderedPageBreak/>
        <w:drawing>
          <wp:inline distT="0" distB="0" distL="0" distR="0" wp14:anchorId="0A4D363C" wp14:editId="4F265052">
            <wp:extent cx="5905500" cy="2647950"/>
            <wp:effectExtent l="0" t="0" r="19050" b="19050"/>
            <wp:docPr id="24" name="Об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464557">
        <w:t xml:space="preserve">            </w:t>
      </w:r>
      <w:r w:rsidR="009504C2" w:rsidRPr="00464557">
        <w:rPr>
          <w:rFonts w:ascii="Times New Roman" w:eastAsia="Times New Roman" w:hAnsi="Times New Roman"/>
          <w:sz w:val="28"/>
          <w:szCs w:val="28"/>
        </w:rPr>
        <w:t xml:space="preserve"> Ф</w:t>
      </w:r>
      <w:r w:rsidRPr="00464557">
        <w:rPr>
          <w:rFonts w:ascii="Times New Roman" w:eastAsia="Times New Roman" w:hAnsi="Times New Roman"/>
          <w:sz w:val="28"/>
          <w:szCs w:val="28"/>
        </w:rPr>
        <w:t>иг.21 Внесени в съда досъдебни производства от РОП – дял в % от решените такива</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В </w:t>
      </w:r>
      <w:r w:rsidRPr="00464557">
        <w:rPr>
          <w:rFonts w:ascii="Times New Roman" w:eastAsia="Times New Roman" w:hAnsi="Times New Roman"/>
          <w:sz w:val="28"/>
          <w:szCs w:val="28"/>
          <w:u w:val="single"/>
          <w:lang w:eastAsia="bg-BG"/>
        </w:rPr>
        <w:t>Районна прокуратура - Разград</w:t>
      </w:r>
      <w:r w:rsidRPr="00464557">
        <w:rPr>
          <w:rFonts w:ascii="Times New Roman" w:eastAsia="Times New Roman" w:hAnsi="Times New Roman"/>
          <w:sz w:val="28"/>
          <w:szCs w:val="28"/>
          <w:lang w:eastAsia="bg-BG"/>
        </w:rPr>
        <w:t xml:space="preserve"> броят и делът на внесените в съда досъдебни производства бележи ръст в абсолютни стойности и в относителен дял в сравнение с предходните две години:</w:t>
      </w:r>
    </w:p>
    <w:p w:rsidR="00207A6A" w:rsidRPr="00464557" w:rsidRDefault="00207A6A" w:rsidP="00207A6A">
      <w:pPr>
        <w:tabs>
          <w:tab w:val="left" w:pos="2055"/>
        </w:tabs>
        <w:spacing w:after="0" w:line="240" w:lineRule="auto"/>
        <w:jc w:val="both"/>
        <w:rPr>
          <w:rFonts w:ascii="Times New Roman" w:eastAsia="Times New Roman" w:hAnsi="Times New Roman"/>
          <w:sz w:val="28"/>
          <w:szCs w:val="28"/>
        </w:rPr>
      </w:pPr>
      <w:r w:rsidRPr="00464557">
        <w:rPr>
          <w:rFonts w:ascii="Times New Roman" w:eastAsia="Times New Roman" w:hAnsi="Times New Roman"/>
          <w:noProof/>
          <w:sz w:val="28"/>
          <w:szCs w:val="28"/>
          <w:lang w:eastAsia="bg-BG"/>
        </w:rPr>
        <w:drawing>
          <wp:inline distT="0" distB="0" distL="0" distR="0" wp14:anchorId="0BE4404B" wp14:editId="4E83434E">
            <wp:extent cx="5867400" cy="2628900"/>
            <wp:effectExtent l="0" t="0" r="19050" b="19050"/>
            <wp:docPr id="25" name="Об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464557">
        <w:t xml:space="preserve">            </w:t>
      </w:r>
      <w:r w:rsidRPr="00464557">
        <w:rPr>
          <w:rFonts w:ascii="Times New Roman" w:eastAsia="Times New Roman" w:hAnsi="Times New Roman"/>
          <w:sz w:val="28"/>
          <w:szCs w:val="28"/>
        </w:rPr>
        <w:t>Фиг.22 Внесени в съда досъдебни производства от РРП – дял в % от решените такива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u w:val="single"/>
        </w:rPr>
      </w:pPr>
    </w:p>
    <w:p w:rsidR="00207A6A" w:rsidRPr="00464557" w:rsidRDefault="00207A6A" w:rsidP="00207A6A">
      <w:pPr>
        <w:tabs>
          <w:tab w:val="left" w:pos="2055"/>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Броят на досъдебните производства внесени от </w:t>
      </w:r>
      <w:r w:rsidRPr="00464557">
        <w:rPr>
          <w:rFonts w:ascii="Times New Roman" w:eastAsia="Times New Roman" w:hAnsi="Times New Roman"/>
          <w:sz w:val="28"/>
          <w:szCs w:val="28"/>
          <w:u w:val="single"/>
          <w:lang w:eastAsia="bg-BG"/>
        </w:rPr>
        <w:t>Районна прокуратура - Исперих</w:t>
      </w:r>
      <w:r w:rsidRPr="00464557">
        <w:rPr>
          <w:rFonts w:ascii="Times New Roman" w:eastAsia="Times New Roman" w:hAnsi="Times New Roman"/>
          <w:sz w:val="28"/>
          <w:szCs w:val="28"/>
          <w:lang w:eastAsia="bg-BG"/>
        </w:rPr>
        <w:t xml:space="preserve"> в съда бележи ръст в абсолютна стойност спрямо 2018г. и спад спрямо 2017г.  и  тенденция на ръст в относителен дял спрямо предходните две години: </w:t>
      </w:r>
    </w:p>
    <w:p w:rsidR="00207A6A" w:rsidRPr="00464557" w:rsidRDefault="00207A6A" w:rsidP="00207A6A">
      <w:pPr>
        <w:tabs>
          <w:tab w:val="left" w:pos="1995"/>
        </w:tabs>
        <w:spacing w:after="0" w:line="240" w:lineRule="auto"/>
        <w:jc w:val="both"/>
        <w:rPr>
          <w:rFonts w:ascii="Times New Roman" w:eastAsia="Times New Roman" w:hAnsi="Times New Roman"/>
          <w:sz w:val="28"/>
          <w:szCs w:val="28"/>
        </w:rPr>
      </w:pPr>
      <w:r w:rsidRPr="00464557">
        <w:rPr>
          <w:rFonts w:ascii="Times New Roman" w:eastAsia="Times New Roman" w:hAnsi="Times New Roman"/>
          <w:noProof/>
          <w:sz w:val="28"/>
          <w:szCs w:val="28"/>
          <w:lang w:eastAsia="bg-BG"/>
        </w:rPr>
        <w:lastRenderedPageBreak/>
        <w:drawing>
          <wp:inline distT="0" distB="0" distL="0" distR="0" wp14:anchorId="1CB9DACF" wp14:editId="210BF804">
            <wp:extent cx="5857875" cy="2276475"/>
            <wp:effectExtent l="0" t="0" r="9525" b="9525"/>
            <wp:docPr id="26" name="Об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464557">
        <w:t xml:space="preserve">             </w:t>
      </w:r>
      <w:r w:rsidR="00071E61" w:rsidRPr="00464557">
        <w:t xml:space="preserve"> </w:t>
      </w:r>
      <w:r w:rsidRPr="00464557">
        <w:rPr>
          <w:rFonts w:ascii="Times New Roman" w:eastAsia="Times New Roman" w:hAnsi="Times New Roman"/>
          <w:sz w:val="28"/>
          <w:szCs w:val="28"/>
        </w:rPr>
        <w:t>Фиг.23 Внесени в съда досъдебни производства от ИРП – дял в % от решените такива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u w:val="single"/>
        </w:rPr>
      </w:pPr>
    </w:p>
    <w:p w:rsidR="00207A6A" w:rsidRPr="00464557" w:rsidRDefault="00207A6A" w:rsidP="00207A6A">
      <w:pPr>
        <w:tabs>
          <w:tab w:val="left" w:pos="1995"/>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Внесените от</w:t>
      </w:r>
      <w:r w:rsidRPr="00464557">
        <w:rPr>
          <w:rFonts w:ascii="Times New Roman" w:eastAsia="Times New Roman" w:hAnsi="Times New Roman"/>
          <w:sz w:val="28"/>
          <w:szCs w:val="28"/>
          <w:u w:val="single"/>
          <w:lang w:eastAsia="bg-BG"/>
        </w:rPr>
        <w:t xml:space="preserve"> Районна прокуратура</w:t>
      </w:r>
      <w:r w:rsidRPr="00464557">
        <w:rPr>
          <w:rFonts w:ascii="Times New Roman" w:eastAsia="Times New Roman" w:hAnsi="Times New Roman"/>
          <w:sz w:val="28"/>
          <w:szCs w:val="28"/>
          <w:lang w:eastAsia="bg-BG"/>
        </w:rPr>
        <w:t xml:space="preserve"> - Кубрат в съда досъдебни производства са 146 и съставляват 42,1% от решените за периода. Налице е изразена тенденция на спад в абсолютна стойност на внесените в съда досъдебни производства спрямо предходните два отчетни периода и спад в относителен дял спрямо 2018г.:</w:t>
      </w:r>
    </w:p>
    <w:p w:rsidR="005C4073" w:rsidRPr="00464557" w:rsidRDefault="005C4073" w:rsidP="00207A6A">
      <w:pPr>
        <w:tabs>
          <w:tab w:val="left" w:pos="1995"/>
        </w:tabs>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spacing w:after="0" w:line="240" w:lineRule="auto"/>
        <w:jc w:val="both"/>
        <w:rPr>
          <w:rFonts w:ascii="Times New Roman" w:eastAsia="Times New Roman" w:hAnsi="Times New Roman"/>
          <w:sz w:val="28"/>
          <w:szCs w:val="28"/>
          <w:u w:val="single"/>
        </w:rPr>
      </w:pPr>
      <w:r w:rsidRPr="00464557">
        <w:rPr>
          <w:rFonts w:ascii="Times New Roman" w:eastAsia="Times New Roman" w:hAnsi="Times New Roman"/>
          <w:noProof/>
          <w:sz w:val="28"/>
          <w:szCs w:val="28"/>
          <w:lang w:eastAsia="bg-BG"/>
        </w:rPr>
        <w:drawing>
          <wp:inline distT="0" distB="0" distL="0" distR="0" wp14:anchorId="6336697F" wp14:editId="397A283F">
            <wp:extent cx="5934075" cy="2343150"/>
            <wp:effectExtent l="0" t="0" r="9525" b="19050"/>
            <wp:docPr id="27" name="Обект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464557">
        <w:t xml:space="preserve">  </w:t>
      </w:r>
      <w:r w:rsidR="00071E61" w:rsidRPr="00464557">
        <w:t xml:space="preserve">           </w:t>
      </w:r>
      <w:r w:rsidRPr="00464557">
        <w:t xml:space="preserve"> </w:t>
      </w:r>
      <w:r w:rsidRPr="00464557">
        <w:rPr>
          <w:rFonts w:ascii="Times New Roman" w:eastAsia="Times New Roman" w:hAnsi="Times New Roman"/>
          <w:sz w:val="28"/>
          <w:szCs w:val="28"/>
        </w:rPr>
        <w:t>Фиг.24 Внесени в съда досъдебни производства от КРП – дял в % от решените такива</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tabs>
          <w:tab w:val="left" w:pos="2055"/>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Районна прокуратура - Разград е с най-малък относителен дял на внесените в съда досъдебни производства спрямо решените такива за периода, съответно – 32,6%, при 42,1% за Районна прокуратура - Кубрат, 50,5% за Районна прокуратура - Исперих и 37,7% за Окръжна прокуратура - Разград.</w:t>
      </w:r>
    </w:p>
    <w:p w:rsidR="00207A6A" w:rsidRPr="00464557" w:rsidRDefault="00207A6A" w:rsidP="00207A6A">
      <w:pPr>
        <w:tabs>
          <w:tab w:val="left" w:pos="1995"/>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Районна прокуратура - Исперих, в рамките на съдебния район е с най-добър резултат и с най-голям относителен дял на внесените в съда досъдебни производства спрямо решените през отчетния период.</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Обвинителните актове са 377 или 56,1% от прокурорските актове по внесените в съда досъдебните производства за съдебния район.</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lastRenderedPageBreak/>
        <w:t>Спрямо  2018г. е налице лек ръст, а спрямо 2017г. лек спад в абсолютната стойност на внесените в съда обвинителни актове.  В относителен дял е изразена тенденция на ръст спрямо предходните две години.</w:t>
      </w:r>
    </w:p>
    <w:p w:rsidR="00207A6A" w:rsidRPr="00464557" w:rsidRDefault="00207A6A" w:rsidP="00207A6A">
      <w:pPr>
        <w:spacing w:after="0" w:line="240" w:lineRule="auto"/>
        <w:jc w:val="both"/>
        <w:rPr>
          <w:rFonts w:ascii="Times New Roman" w:eastAsia="Times New Roman" w:hAnsi="Times New Roman"/>
          <w:sz w:val="28"/>
          <w:szCs w:val="28"/>
          <w:u w:val="single"/>
        </w:rPr>
      </w:pPr>
      <w:r w:rsidRPr="00464557">
        <w:rPr>
          <w:rFonts w:ascii="Times New Roman" w:eastAsia="Times New Roman" w:hAnsi="Times New Roman"/>
          <w:noProof/>
          <w:sz w:val="28"/>
          <w:szCs w:val="28"/>
          <w:lang w:eastAsia="bg-BG"/>
        </w:rPr>
        <w:drawing>
          <wp:inline distT="0" distB="0" distL="0" distR="0" wp14:anchorId="1E66BD13" wp14:editId="6670409E">
            <wp:extent cx="5867400" cy="2419350"/>
            <wp:effectExtent l="0" t="0" r="19050" b="19050"/>
            <wp:docPr id="28" name="Об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464557">
        <w:t xml:space="preserve">      </w:t>
      </w:r>
      <w:r w:rsidR="00071E61" w:rsidRPr="00464557">
        <w:t xml:space="preserve">        </w:t>
      </w:r>
      <w:r w:rsidRPr="00464557">
        <w:t xml:space="preserve"> </w:t>
      </w:r>
      <w:r w:rsidRPr="00464557">
        <w:rPr>
          <w:rFonts w:ascii="Times New Roman" w:eastAsia="Times New Roman" w:hAnsi="Times New Roman"/>
          <w:sz w:val="28"/>
          <w:szCs w:val="28"/>
        </w:rPr>
        <w:t xml:space="preserve">Фиг.25 </w:t>
      </w:r>
      <w:proofErr w:type="spellStart"/>
      <w:r w:rsidRPr="00464557">
        <w:rPr>
          <w:rFonts w:ascii="Times New Roman" w:eastAsia="Times New Roman" w:hAnsi="Times New Roman"/>
          <w:sz w:val="28"/>
          <w:szCs w:val="28"/>
        </w:rPr>
        <w:t>Обв</w:t>
      </w:r>
      <w:proofErr w:type="spellEnd"/>
      <w:r w:rsidRPr="00464557">
        <w:rPr>
          <w:rFonts w:ascii="Times New Roman" w:eastAsia="Times New Roman" w:hAnsi="Times New Roman"/>
          <w:sz w:val="28"/>
          <w:szCs w:val="28"/>
        </w:rPr>
        <w:t>. актове по внесени в съда досъдебни производства – дял в % от прокурорските актове по внесените в съда досъдебни производства</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 Споразуменията бележат тенденция на спад както в абсолютна стойност спрямо предходните две години, така и в относителен дял спрямо 2018г.:</w:t>
      </w: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noProof/>
          <w:sz w:val="28"/>
          <w:szCs w:val="28"/>
          <w:lang w:eastAsia="bg-BG"/>
        </w:rPr>
        <w:drawing>
          <wp:inline distT="0" distB="0" distL="0" distR="0" wp14:anchorId="7B6BC882" wp14:editId="70F81EA1">
            <wp:extent cx="5867400" cy="2390775"/>
            <wp:effectExtent l="0" t="0" r="19050" b="9525"/>
            <wp:docPr id="29" name="Об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464557">
        <w:t xml:space="preserve">         </w:t>
      </w:r>
      <w:r w:rsidR="00071E61" w:rsidRPr="00464557">
        <w:t xml:space="preserve">      </w:t>
      </w:r>
      <w:r w:rsidRPr="00464557">
        <w:rPr>
          <w:rFonts w:ascii="Times New Roman" w:eastAsia="Times New Roman" w:hAnsi="Times New Roman"/>
          <w:sz w:val="28"/>
          <w:szCs w:val="28"/>
        </w:rPr>
        <w:t>Фиг.26 Внесени със споразумение в съда досъдебни производства - дял в % от внесените в съда такива</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Внесените в съда предложения за </w:t>
      </w:r>
      <w:proofErr w:type="spellStart"/>
      <w:r w:rsidRPr="00464557">
        <w:rPr>
          <w:rFonts w:ascii="Times New Roman" w:eastAsia="Times New Roman" w:hAnsi="Times New Roman"/>
          <w:sz w:val="28"/>
          <w:szCs w:val="28"/>
          <w:lang w:eastAsia="bg-BG"/>
        </w:rPr>
        <w:t>оснобождаване</w:t>
      </w:r>
      <w:proofErr w:type="spellEnd"/>
      <w:r w:rsidRPr="00464557">
        <w:rPr>
          <w:rFonts w:ascii="Times New Roman" w:eastAsia="Times New Roman" w:hAnsi="Times New Roman"/>
          <w:sz w:val="28"/>
          <w:szCs w:val="28"/>
          <w:lang w:eastAsia="bg-BG"/>
        </w:rPr>
        <w:t xml:space="preserve"> от наказателна отговорност с налагане на административно наказание, по реда на чл.78а от НК са 150 или 22,3% от прокурорските актове по внесените в съда досъдебните производства за съдебния район.</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Спрямо  2018г. е налице лек ръст, а спрямо 2017г. значителен  спад в абсолютната стойност  и относителен дял  спрямо внесените в съда актове.  </w:t>
      </w:r>
    </w:p>
    <w:p w:rsidR="00071E61" w:rsidRPr="00464557" w:rsidRDefault="00207A6A" w:rsidP="00207A6A">
      <w:pPr>
        <w:spacing w:after="0" w:line="240" w:lineRule="auto"/>
        <w:jc w:val="both"/>
      </w:pPr>
      <w:r w:rsidRPr="00464557">
        <w:rPr>
          <w:rFonts w:ascii="Times New Roman" w:eastAsia="Times New Roman" w:hAnsi="Times New Roman"/>
          <w:noProof/>
          <w:sz w:val="28"/>
          <w:szCs w:val="28"/>
          <w:lang w:eastAsia="bg-BG"/>
        </w:rPr>
        <w:lastRenderedPageBreak/>
        <w:drawing>
          <wp:inline distT="0" distB="0" distL="0" distR="0" wp14:anchorId="79BC0CFB" wp14:editId="3E4AFB2F">
            <wp:extent cx="5886450" cy="2362200"/>
            <wp:effectExtent l="0" t="0" r="19050" b="19050"/>
            <wp:docPr id="30" name="Обект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07A6A" w:rsidRPr="00464557" w:rsidRDefault="00071E61" w:rsidP="00207A6A">
      <w:pPr>
        <w:spacing w:after="0" w:line="240" w:lineRule="auto"/>
        <w:jc w:val="both"/>
        <w:rPr>
          <w:rFonts w:ascii="Times New Roman" w:eastAsia="Times New Roman" w:hAnsi="Times New Roman"/>
          <w:sz w:val="28"/>
          <w:szCs w:val="28"/>
        </w:rPr>
      </w:pPr>
      <w:r w:rsidRPr="00464557">
        <w:t xml:space="preserve">           </w:t>
      </w:r>
      <w:r w:rsidR="00207A6A" w:rsidRPr="00464557">
        <w:t xml:space="preserve">   </w:t>
      </w:r>
      <w:r w:rsidR="00207A6A" w:rsidRPr="00464557">
        <w:rPr>
          <w:rFonts w:ascii="Times New Roman" w:eastAsia="Times New Roman" w:hAnsi="Times New Roman"/>
          <w:sz w:val="28"/>
          <w:szCs w:val="28"/>
        </w:rPr>
        <w:t>Фиг.27 Внесени с предложени по чл. 78а от НК в съда досъдебни производства – дял в % от внесените в съда такива</w:t>
      </w:r>
    </w:p>
    <w:p w:rsidR="00207A6A" w:rsidRPr="00464557" w:rsidRDefault="00207A6A" w:rsidP="00207A6A">
      <w:pPr>
        <w:tabs>
          <w:tab w:val="right" w:pos="1440"/>
        </w:tabs>
        <w:spacing w:after="0" w:line="240" w:lineRule="auto"/>
        <w:ind w:firstLine="709"/>
        <w:jc w:val="both"/>
        <w:rPr>
          <w:rFonts w:ascii="Times New Roman" w:eastAsia="Times New Roman" w:hAnsi="Times New Roman"/>
          <w:sz w:val="28"/>
          <w:szCs w:val="28"/>
          <w:u w:val="single"/>
        </w:rPr>
      </w:pP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В </w:t>
      </w:r>
      <w:r w:rsidRPr="00464557">
        <w:rPr>
          <w:rFonts w:ascii="Times New Roman" w:eastAsia="Times New Roman" w:hAnsi="Times New Roman"/>
          <w:sz w:val="28"/>
          <w:szCs w:val="28"/>
          <w:u w:val="single"/>
          <w:lang w:eastAsia="bg-BG"/>
        </w:rPr>
        <w:t>Окръжна прокуратура - Разград</w:t>
      </w:r>
      <w:r w:rsidRPr="00464557">
        <w:rPr>
          <w:rFonts w:ascii="Times New Roman" w:eastAsia="Times New Roman" w:hAnsi="Times New Roman"/>
          <w:sz w:val="28"/>
          <w:szCs w:val="28"/>
          <w:lang w:eastAsia="bg-BG"/>
        </w:rPr>
        <w:t xml:space="preserve"> обвинителните актове съставляват 67,5% от прокурорските актове по внесените в съда досъдебни производства, при 58,8% за 2018 г. и 75,5% за 2017 г.</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В </w:t>
      </w:r>
      <w:r w:rsidRPr="00464557">
        <w:rPr>
          <w:rFonts w:ascii="Times New Roman" w:eastAsia="Times New Roman" w:hAnsi="Times New Roman"/>
          <w:sz w:val="28"/>
          <w:szCs w:val="28"/>
          <w:u w:val="single"/>
          <w:lang w:eastAsia="bg-BG"/>
        </w:rPr>
        <w:t>Районна прокуратура - Разград</w:t>
      </w:r>
      <w:r w:rsidRPr="00464557">
        <w:rPr>
          <w:rFonts w:ascii="Times New Roman" w:eastAsia="Times New Roman" w:hAnsi="Times New Roman"/>
          <w:sz w:val="28"/>
          <w:szCs w:val="28"/>
          <w:lang w:eastAsia="bg-BG"/>
        </w:rPr>
        <w:t xml:space="preserve"> обвинителните актове съставляват 65,2% от прокурорските актове по внесените в съда досъдебни производства, при 69,6% за 2018 г. и 66,1% за 2017 г.</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В </w:t>
      </w:r>
      <w:r w:rsidRPr="00464557">
        <w:rPr>
          <w:rFonts w:ascii="Times New Roman" w:eastAsia="Times New Roman" w:hAnsi="Times New Roman"/>
          <w:sz w:val="28"/>
          <w:szCs w:val="28"/>
          <w:u w:val="single"/>
          <w:lang w:eastAsia="bg-BG"/>
        </w:rPr>
        <w:t>Районна прокуратура - Исперих</w:t>
      </w:r>
      <w:r w:rsidRPr="00464557">
        <w:rPr>
          <w:rFonts w:ascii="Times New Roman" w:eastAsia="Times New Roman" w:hAnsi="Times New Roman"/>
          <w:sz w:val="28"/>
          <w:szCs w:val="28"/>
          <w:lang w:eastAsia="bg-BG"/>
        </w:rPr>
        <w:t xml:space="preserve"> обвинителните актове съставляват 45,8% от прокурорските актове по внесените в съда досъдебни производства, при 44,6% за 2018 г. и 37,3% за 2017 г.</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В </w:t>
      </w:r>
      <w:r w:rsidRPr="00464557">
        <w:rPr>
          <w:rFonts w:ascii="Times New Roman" w:eastAsia="Times New Roman" w:hAnsi="Times New Roman"/>
          <w:sz w:val="28"/>
          <w:szCs w:val="28"/>
          <w:u w:val="single"/>
          <w:lang w:eastAsia="bg-BG"/>
        </w:rPr>
        <w:t>Районна прокуратура - Кубрат</w:t>
      </w:r>
      <w:r w:rsidRPr="00464557">
        <w:rPr>
          <w:rFonts w:ascii="Times New Roman" w:eastAsia="Times New Roman" w:hAnsi="Times New Roman"/>
          <w:sz w:val="28"/>
          <w:szCs w:val="28"/>
          <w:lang w:eastAsia="bg-BG"/>
        </w:rPr>
        <w:t xml:space="preserve"> обвинителните актове съставляват 47,9% от прокурорските актове по внесените в съда досъдебни производства, при 44,6% за 2018 г. и 46,1% за 2017 г.</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u w:val="single"/>
          <w:lang w:eastAsia="bg-BG"/>
        </w:rPr>
        <w:t>Прекратените</w:t>
      </w:r>
      <w:r w:rsidRPr="00464557">
        <w:rPr>
          <w:rFonts w:ascii="Times New Roman" w:eastAsia="Times New Roman" w:hAnsi="Times New Roman"/>
          <w:sz w:val="28"/>
          <w:szCs w:val="28"/>
          <w:lang w:eastAsia="bg-BG"/>
        </w:rPr>
        <w:t xml:space="preserve"> досъдебни производства за 2019 г. са 710 и съставляват 40,9%  от решените.</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Спрямо предходните години бележат спад в абсолютна стойност и в относителен дял:</w:t>
      </w:r>
    </w:p>
    <w:p w:rsidR="00207A6A" w:rsidRPr="00464557" w:rsidRDefault="00207A6A" w:rsidP="00207A6A">
      <w:pPr>
        <w:spacing w:after="0" w:line="240" w:lineRule="auto"/>
        <w:jc w:val="both"/>
        <w:rPr>
          <w:rFonts w:ascii="Times New Roman" w:eastAsia="Times New Roman" w:hAnsi="Times New Roman"/>
          <w:sz w:val="28"/>
          <w:szCs w:val="28"/>
          <w:u w:val="single"/>
        </w:rPr>
      </w:pPr>
      <w:r w:rsidRPr="00464557">
        <w:rPr>
          <w:rFonts w:ascii="Times New Roman" w:eastAsia="Times New Roman" w:hAnsi="Times New Roman"/>
          <w:noProof/>
          <w:sz w:val="28"/>
          <w:szCs w:val="28"/>
          <w:lang w:eastAsia="bg-BG"/>
        </w:rPr>
        <w:drawing>
          <wp:inline distT="0" distB="0" distL="0" distR="0" wp14:anchorId="5D93199B" wp14:editId="6F4A3FD9">
            <wp:extent cx="5876925" cy="2390775"/>
            <wp:effectExtent l="0" t="0" r="9525" b="9525"/>
            <wp:docPr id="31" name="Об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464557">
        <w:t xml:space="preserve">  </w:t>
      </w:r>
      <w:r w:rsidR="0070313F" w:rsidRPr="00464557">
        <w:t xml:space="preserve">            </w:t>
      </w:r>
      <w:r w:rsidR="0070313F" w:rsidRPr="00464557">
        <w:rPr>
          <w:rFonts w:ascii="Times New Roman" w:eastAsia="Times New Roman" w:hAnsi="Times New Roman"/>
          <w:sz w:val="28"/>
          <w:szCs w:val="28"/>
        </w:rPr>
        <w:t>Ф</w:t>
      </w:r>
      <w:r w:rsidRPr="00464557">
        <w:rPr>
          <w:rFonts w:ascii="Times New Roman" w:eastAsia="Times New Roman" w:hAnsi="Times New Roman"/>
          <w:sz w:val="28"/>
          <w:szCs w:val="28"/>
        </w:rPr>
        <w:t>иг.28 Прекратени досъдебни производства – дял в % от решените такива</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lastRenderedPageBreak/>
        <w:t xml:space="preserve">Аналогичен е изводът и за прекратените </w:t>
      </w:r>
      <w:r w:rsidRPr="00464557">
        <w:rPr>
          <w:rFonts w:ascii="Times New Roman" w:eastAsia="Times New Roman" w:hAnsi="Times New Roman"/>
          <w:sz w:val="28"/>
          <w:szCs w:val="28"/>
          <w:u w:val="single"/>
          <w:lang w:eastAsia="bg-BG"/>
        </w:rPr>
        <w:t>по давност</w:t>
      </w:r>
      <w:r w:rsidRPr="00464557">
        <w:rPr>
          <w:rFonts w:ascii="Times New Roman" w:eastAsia="Times New Roman" w:hAnsi="Times New Roman"/>
          <w:sz w:val="28"/>
          <w:szCs w:val="28"/>
          <w:lang w:eastAsia="bg-BG"/>
        </w:rPr>
        <w:t xml:space="preserve"> досъдебни производства, с оглед намалението им през 2019 г., в абсолютна стойност и в относителен дял спрямо общия брой на прекратените досъдебни производства през 2018 г. и 2017 г.:</w:t>
      </w:r>
    </w:p>
    <w:p w:rsidR="0070313F" w:rsidRPr="00464557" w:rsidRDefault="0070313F" w:rsidP="00207A6A">
      <w:pPr>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spacing w:after="0" w:line="240" w:lineRule="auto"/>
        <w:jc w:val="both"/>
        <w:rPr>
          <w:rFonts w:ascii="Times New Roman" w:eastAsia="Times New Roman" w:hAnsi="Times New Roman"/>
          <w:sz w:val="28"/>
          <w:szCs w:val="28"/>
          <w:u w:val="single"/>
        </w:rPr>
      </w:pPr>
      <w:r w:rsidRPr="00464557">
        <w:rPr>
          <w:rFonts w:ascii="Times New Roman" w:eastAsia="Times New Roman" w:hAnsi="Times New Roman"/>
          <w:noProof/>
          <w:sz w:val="28"/>
          <w:szCs w:val="28"/>
          <w:lang w:eastAsia="bg-BG"/>
        </w:rPr>
        <w:drawing>
          <wp:inline distT="0" distB="0" distL="0" distR="0" wp14:anchorId="0E80614B" wp14:editId="6E213EA7">
            <wp:extent cx="5886450" cy="2619375"/>
            <wp:effectExtent l="0" t="0" r="19050" b="9525"/>
            <wp:docPr id="32" name="Об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464557">
        <w:t xml:space="preserve">  </w:t>
      </w:r>
      <w:r w:rsidR="0070313F" w:rsidRPr="00464557">
        <w:t xml:space="preserve">           </w:t>
      </w:r>
      <w:r w:rsidRPr="00464557">
        <w:t xml:space="preserve"> </w:t>
      </w:r>
      <w:r w:rsidRPr="00464557">
        <w:rPr>
          <w:rFonts w:ascii="Times New Roman" w:eastAsia="Times New Roman" w:hAnsi="Times New Roman"/>
          <w:sz w:val="28"/>
          <w:szCs w:val="28"/>
        </w:rPr>
        <w:t>Фиг.29 Прекратени по давност досъдебни производства – дял в % от всички прекратени за периода</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С положителен знак следва да се отчете обстоятелството, че през отчетния период в съдебния район няма прекратени по давност досъдебни производства срещу известен извършител, както и такива, по които е имало привлечени обвиняеми лица.</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Прокурорите от Разградският съдебен район стриктно следят да не се допусне изтичане на </w:t>
      </w:r>
      <w:proofErr w:type="spellStart"/>
      <w:r w:rsidRPr="00464557">
        <w:rPr>
          <w:rFonts w:ascii="Times New Roman" w:eastAsia="Times New Roman" w:hAnsi="Times New Roman"/>
          <w:sz w:val="28"/>
          <w:szCs w:val="28"/>
          <w:lang w:eastAsia="bg-BG"/>
        </w:rPr>
        <w:t>давностните</w:t>
      </w:r>
      <w:proofErr w:type="spellEnd"/>
      <w:r w:rsidRPr="00464557">
        <w:rPr>
          <w:rFonts w:ascii="Times New Roman" w:eastAsia="Times New Roman" w:hAnsi="Times New Roman"/>
          <w:sz w:val="28"/>
          <w:szCs w:val="28"/>
          <w:lang w:eastAsia="bg-BG"/>
        </w:rPr>
        <w:t xml:space="preserve"> срокове по спрените наказателни производства, поради бездействие.</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От останалите 342 прекратени досъдебни производства 78 или 22,8% са срещу известен извършител. Следва да се посочи, че техният дял е намалял спрямо 2018 г. – 25,6% и спрямо 2017 г. – 24,4%. </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С най-голям относителен дял в съдебния район са прекратените от тази категория досъдебни производства срещу известен извършител в Районна прокуратура - Кубрат – 41%, следвана от </w:t>
      </w:r>
      <w:r w:rsidRPr="00464557">
        <w:rPr>
          <w:rFonts w:ascii="Times New Roman" w:eastAsia="Times New Roman" w:hAnsi="Times New Roman"/>
          <w:sz w:val="28"/>
          <w:szCs w:val="28"/>
          <w:u w:val="single"/>
          <w:lang w:eastAsia="bg-BG"/>
        </w:rPr>
        <w:t xml:space="preserve"> </w:t>
      </w:r>
      <w:r w:rsidRPr="00464557">
        <w:rPr>
          <w:rFonts w:ascii="Times New Roman" w:eastAsia="Times New Roman" w:hAnsi="Times New Roman"/>
          <w:sz w:val="28"/>
          <w:szCs w:val="28"/>
          <w:lang w:eastAsia="bg-BG"/>
        </w:rPr>
        <w:t>Районна прокуратура - Разград – 39,7%,, Районна прокуратура - Исперих – 16,7% и Окръжна прокуратура - Разград - 2,6%.</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Основната причина за прекратяване на наказателното производство е обстоятелството, че съответното деяние не съставлява престъпление от общ характер. </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ab/>
        <w:t xml:space="preserve">В голямата си част досъдебните производства са образувани при наличие на всички предвидени за това законови предпоставки. При част от тях тежестта и характера на престъплението, за което е подаден сигнал,  са налагали извършването на неотложни следствени действия и  приобщаването по реда на НПК  на  доказателства, имащи съществено </w:t>
      </w:r>
      <w:r w:rsidRPr="00464557">
        <w:rPr>
          <w:rFonts w:ascii="Times New Roman" w:eastAsia="Times New Roman" w:hAnsi="Times New Roman"/>
          <w:sz w:val="28"/>
          <w:szCs w:val="28"/>
          <w:lang w:eastAsia="bg-BG"/>
        </w:rPr>
        <w:lastRenderedPageBreak/>
        <w:t xml:space="preserve">значение за разкриване на обективната истина по делото. Част от делата са  прекратени поради наличието на нормативно основание, каквито са  чл.218б от НК и чл.343, ал.2 от НК. Друга част от тях са прекратени, след установяване чрез съответни експертизи, че стойността на предмета на посегателство или на наркотичното вещество, е  изключително ниска, поради което и след преценка на обществената опасност на деянието и дееца,  е   прието, че обществената опасност на деянията е </w:t>
      </w:r>
      <w:proofErr w:type="spellStart"/>
      <w:r w:rsidRPr="00464557">
        <w:rPr>
          <w:rFonts w:ascii="Times New Roman" w:eastAsia="Times New Roman" w:hAnsi="Times New Roman"/>
          <w:sz w:val="28"/>
          <w:szCs w:val="28"/>
          <w:lang w:eastAsia="bg-BG"/>
        </w:rPr>
        <w:t>малозначителна</w:t>
      </w:r>
      <w:proofErr w:type="spellEnd"/>
      <w:r w:rsidRPr="00464557">
        <w:rPr>
          <w:rFonts w:ascii="Times New Roman" w:eastAsia="Times New Roman" w:hAnsi="Times New Roman"/>
          <w:sz w:val="28"/>
          <w:szCs w:val="28"/>
          <w:lang w:eastAsia="bg-BG"/>
        </w:rPr>
        <w:t xml:space="preserve"> или явно незначителна по смисъла на чл. 9, ал. 2 от НК.</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ab/>
        <w:t>Всички постановления са много добре мотивирани от фактическа и правна страна. Отразяват установената фактическа обстановка, преценката на доказателствата и съответните на това правни изводи на наблюдаващите прокурори.</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През отчетния период, както и през 2018г. в съдебния район няма прекратени досъдебни производства по реда на чл. чл. 368 и чл. 369 от  НПК.</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 Анализът на продължителността на досъдебната фаза по внесените в съда и прекратени досъдебни производства за 2019 г. сочи устойчивост на </w:t>
      </w:r>
      <w:proofErr w:type="spellStart"/>
      <w:r w:rsidRPr="00464557">
        <w:rPr>
          <w:rFonts w:ascii="Times New Roman" w:eastAsia="Times New Roman" w:hAnsi="Times New Roman"/>
          <w:sz w:val="28"/>
          <w:szCs w:val="28"/>
          <w:lang w:eastAsia="bg-BG"/>
        </w:rPr>
        <w:t>на</w:t>
      </w:r>
      <w:proofErr w:type="spellEnd"/>
      <w:r w:rsidRPr="00464557">
        <w:rPr>
          <w:rFonts w:ascii="Times New Roman" w:eastAsia="Times New Roman" w:hAnsi="Times New Roman"/>
          <w:sz w:val="28"/>
          <w:szCs w:val="28"/>
          <w:lang w:eastAsia="bg-BG"/>
        </w:rPr>
        <w:t xml:space="preserve"> показателя в абсолютна стойност и в относителен дял спрямо 2018г. и влошаване спрямо 2017г.</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С обща продължителност над 1 година от образуването на досъдебното производство до решаването му от прокурор са 131 досъдебни производства или 12,9%, от които с продължителност над 2 години са 25 или 2,5% :</w:t>
      </w:r>
    </w:p>
    <w:p w:rsidR="00207A6A" w:rsidRPr="00464557" w:rsidRDefault="00207A6A" w:rsidP="00207A6A">
      <w:pPr>
        <w:tabs>
          <w:tab w:val="left" w:pos="1800"/>
        </w:tabs>
        <w:spacing w:after="0" w:line="240" w:lineRule="auto"/>
        <w:jc w:val="both"/>
        <w:rPr>
          <w:rFonts w:ascii="Times New Roman" w:eastAsia="Times New Roman" w:hAnsi="Times New Roman"/>
          <w:sz w:val="28"/>
          <w:szCs w:val="28"/>
          <w:lang w:eastAsia="bg-BG"/>
        </w:rPr>
      </w:pPr>
    </w:p>
    <w:p w:rsidR="00207A6A" w:rsidRPr="00464557" w:rsidRDefault="00207A6A" w:rsidP="00207A6A">
      <w:pPr>
        <w:tabs>
          <w:tab w:val="left" w:pos="1800"/>
        </w:tabs>
        <w:spacing w:after="0" w:line="240" w:lineRule="auto"/>
        <w:jc w:val="both"/>
        <w:rPr>
          <w:rFonts w:ascii="Times New Roman" w:eastAsia="Times New Roman" w:hAnsi="Times New Roman"/>
          <w:sz w:val="28"/>
          <w:szCs w:val="28"/>
          <w:u w:val="single"/>
        </w:rPr>
      </w:pPr>
      <w:r w:rsidRPr="00464557">
        <w:rPr>
          <w:rFonts w:ascii="Times New Roman" w:eastAsia="Times New Roman" w:hAnsi="Times New Roman"/>
          <w:noProof/>
          <w:sz w:val="28"/>
          <w:szCs w:val="28"/>
          <w:lang w:eastAsia="bg-BG"/>
        </w:rPr>
        <w:drawing>
          <wp:inline distT="0" distB="0" distL="0" distR="0" wp14:anchorId="0C6D86A8" wp14:editId="60D3836A">
            <wp:extent cx="5943600" cy="2381250"/>
            <wp:effectExtent l="0" t="0" r="19050" b="19050"/>
            <wp:docPr id="33" name="Об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464557">
        <w:t xml:space="preserve">            </w:t>
      </w:r>
      <w:r w:rsidR="0070313F" w:rsidRPr="00464557">
        <w:rPr>
          <w:rFonts w:ascii="Times New Roman" w:eastAsia="Times New Roman" w:hAnsi="Times New Roman"/>
          <w:sz w:val="28"/>
          <w:szCs w:val="28"/>
        </w:rPr>
        <w:t xml:space="preserve"> </w:t>
      </w:r>
      <w:r w:rsidRPr="00464557">
        <w:rPr>
          <w:rFonts w:ascii="Times New Roman" w:eastAsia="Times New Roman" w:hAnsi="Times New Roman"/>
          <w:sz w:val="28"/>
          <w:szCs w:val="28"/>
        </w:rPr>
        <w:t>Фиг.30 Досъдебни производства с обща продължителност над 1 година от образуването им до решаването им – дял в % от решените в такива</w:t>
      </w:r>
    </w:p>
    <w:p w:rsidR="00207A6A" w:rsidRPr="00464557" w:rsidRDefault="00207A6A" w:rsidP="00207A6A">
      <w:pPr>
        <w:tabs>
          <w:tab w:val="left" w:pos="1800"/>
        </w:tabs>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tabs>
          <w:tab w:val="left" w:pos="1800"/>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Решените по същество досъдебни производства с продължителност на досъдебната фаза до 1 година, включително до 8 месеца за съдебния район съставляват 87, 1%, при 87% за 2018 г. и 90,1% за 2017 г.</w:t>
      </w:r>
    </w:p>
    <w:p w:rsidR="00207A6A" w:rsidRPr="00464557" w:rsidRDefault="00207A6A" w:rsidP="00207A6A">
      <w:pPr>
        <w:tabs>
          <w:tab w:val="left" w:pos="1800"/>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Най-голям е делът на досъдебните производства от посочената категория с продължителност на досъдебната фаза до 8 месеца, които общо за района съставляват 77,2% при 77,9% за 2018 г.</w:t>
      </w:r>
    </w:p>
    <w:p w:rsidR="00207A6A" w:rsidRPr="00464557" w:rsidRDefault="00207A6A" w:rsidP="00207A6A">
      <w:pPr>
        <w:tabs>
          <w:tab w:val="left" w:pos="1800"/>
        </w:tabs>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tabs>
          <w:tab w:val="left" w:pos="1800"/>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Най-добър резултат има </w:t>
      </w:r>
      <w:r w:rsidRPr="00464557">
        <w:rPr>
          <w:rFonts w:ascii="Times New Roman" w:eastAsia="Times New Roman" w:hAnsi="Times New Roman"/>
          <w:sz w:val="28"/>
          <w:szCs w:val="28"/>
          <w:u w:val="single"/>
          <w:lang w:eastAsia="bg-BG"/>
        </w:rPr>
        <w:t>Районна прокуратура - Кубрат</w:t>
      </w:r>
      <w:r w:rsidRPr="00464557">
        <w:rPr>
          <w:rFonts w:ascii="Times New Roman" w:eastAsia="Times New Roman" w:hAnsi="Times New Roman"/>
          <w:sz w:val="28"/>
          <w:szCs w:val="28"/>
          <w:lang w:eastAsia="bg-BG"/>
        </w:rPr>
        <w:t>, тъй като с продължителност до 8 месеца на досъдебната фаза са 90,1% от прекратените и внесените в съда досъдебни производства.</w:t>
      </w:r>
    </w:p>
    <w:p w:rsidR="00207A6A" w:rsidRPr="00464557" w:rsidRDefault="00207A6A" w:rsidP="00207A6A">
      <w:pPr>
        <w:tabs>
          <w:tab w:val="left" w:pos="1800"/>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Много добро е това съотношение и за </w:t>
      </w:r>
      <w:r w:rsidRPr="00464557">
        <w:rPr>
          <w:rFonts w:ascii="Times New Roman" w:eastAsia="Times New Roman" w:hAnsi="Times New Roman"/>
          <w:sz w:val="28"/>
          <w:szCs w:val="28"/>
          <w:u w:val="single"/>
          <w:lang w:eastAsia="bg-BG"/>
        </w:rPr>
        <w:t xml:space="preserve">Районна прокуратура – Исперих </w:t>
      </w:r>
      <w:r w:rsidRPr="00464557">
        <w:rPr>
          <w:rFonts w:ascii="Times New Roman" w:eastAsia="Times New Roman" w:hAnsi="Times New Roman"/>
          <w:sz w:val="28"/>
          <w:szCs w:val="28"/>
          <w:lang w:eastAsia="bg-BG"/>
        </w:rPr>
        <w:t>-78,5 %.</w:t>
      </w:r>
    </w:p>
    <w:p w:rsidR="00207A6A" w:rsidRPr="00464557" w:rsidRDefault="00207A6A" w:rsidP="00207A6A">
      <w:pPr>
        <w:tabs>
          <w:tab w:val="left" w:pos="1800"/>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В </w:t>
      </w:r>
      <w:r w:rsidRPr="00464557">
        <w:rPr>
          <w:rFonts w:ascii="Times New Roman" w:eastAsia="Times New Roman" w:hAnsi="Times New Roman"/>
          <w:sz w:val="28"/>
          <w:szCs w:val="28"/>
          <w:u w:val="single"/>
          <w:lang w:eastAsia="bg-BG"/>
        </w:rPr>
        <w:t>Районна прокуратура - Разград</w:t>
      </w:r>
      <w:r w:rsidRPr="00464557">
        <w:rPr>
          <w:rFonts w:ascii="Times New Roman" w:eastAsia="Times New Roman" w:hAnsi="Times New Roman"/>
          <w:sz w:val="28"/>
          <w:szCs w:val="28"/>
          <w:lang w:eastAsia="bg-BG"/>
        </w:rPr>
        <w:t xml:space="preserve"> до 8 месеца е била продължителността на досъдебната фаза по 74,3% от прекратените и внесените в съда досъдебни производства, а в </w:t>
      </w:r>
      <w:r w:rsidRPr="00464557">
        <w:rPr>
          <w:rFonts w:ascii="Times New Roman" w:eastAsia="Times New Roman" w:hAnsi="Times New Roman"/>
          <w:sz w:val="28"/>
          <w:szCs w:val="28"/>
          <w:u w:val="single"/>
          <w:lang w:eastAsia="bg-BG"/>
        </w:rPr>
        <w:t>Окръжна прокуратура - Разград</w:t>
      </w:r>
      <w:r w:rsidRPr="00464557">
        <w:rPr>
          <w:rFonts w:ascii="Times New Roman" w:eastAsia="Times New Roman" w:hAnsi="Times New Roman"/>
          <w:sz w:val="28"/>
          <w:szCs w:val="28"/>
          <w:lang w:eastAsia="bg-BG"/>
        </w:rPr>
        <w:t xml:space="preserve"> –50,7%.</w:t>
      </w:r>
    </w:p>
    <w:p w:rsidR="00207A6A" w:rsidRPr="00464557" w:rsidRDefault="00207A6A" w:rsidP="00207A6A">
      <w:pPr>
        <w:tabs>
          <w:tab w:val="left" w:pos="1800"/>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Всички прокуратури в съдебния район имат досъдебни производства с продължителност на досъдебната фаза над 2 години – общо 25.</w:t>
      </w:r>
    </w:p>
    <w:p w:rsidR="00207A6A" w:rsidRPr="00464557" w:rsidRDefault="00207A6A" w:rsidP="00207A6A">
      <w:pPr>
        <w:tabs>
          <w:tab w:val="left" w:pos="1800"/>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Причините, обуславящи по-продължителни срокове на разследване на  голяма част от досъдебни производства, са изключително обективни и идентични с вече изведените за предходни отчетни периоди:</w:t>
      </w:r>
    </w:p>
    <w:p w:rsidR="00207A6A" w:rsidRPr="00464557" w:rsidRDefault="00207A6A" w:rsidP="00207A6A">
      <w:pPr>
        <w:tabs>
          <w:tab w:val="left" w:pos="1800"/>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Недостиг и липса на вещи лица в съдебния район, което налага възлагане на експертизи на вещи лица от други съдебни райони, със съответната загуба на време по предоставяне на материалите по делото и съответно за връщането им след изготвянето на заключение, както и със съответно увеличаване на разходите.</w:t>
      </w:r>
    </w:p>
    <w:p w:rsidR="00207A6A" w:rsidRPr="00464557" w:rsidRDefault="00207A6A" w:rsidP="00207A6A">
      <w:pPr>
        <w:tabs>
          <w:tab w:val="left" w:pos="1800"/>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Изготвяне на молби за правна помощ и европейски заповеди за разследване до компетентните органи на други държави.</w:t>
      </w:r>
    </w:p>
    <w:p w:rsidR="00207A6A" w:rsidRPr="00464557" w:rsidRDefault="00207A6A" w:rsidP="00207A6A">
      <w:pPr>
        <w:tabs>
          <w:tab w:val="left" w:pos="1800"/>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 Голяма натовареност на разследващите полицаи, при периодично възникваща недостатъчна кадрова обезпеченост. </w:t>
      </w:r>
    </w:p>
    <w:p w:rsidR="00207A6A" w:rsidRPr="00464557" w:rsidRDefault="00207A6A" w:rsidP="00207A6A">
      <w:pPr>
        <w:spacing w:after="0" w:line="240" w:lineRule="auto"/>
        <w:ind w:left="-142" w:right="-286"/>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 </w:t>
      </w:r>
    </w:p>
    <w:p w:rsidR="00207A6A" w:rsidRPr="00464557" w:rsidRDefault="00207A6A" w:rsidP="00207A6A">
      <w:pPr>
        <w:tabs>
          <w:tab w:val="left" w:pos="1800"/>
        </w:tabs>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tabs>
          <w:tab w:val="left" w:pos="1800"/>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През 2019 г. прокурорите в съдебния район </w:t>
      </w:r>
      <w:r w:rsidRPr="00464557">
        <w:rPr>
          <w:rFonts w:ascii="Times New Roman" w:eastAsia="Times New Roman" w:hAnsi="Times New Roman"/>
          <w:sz w:val="28"/>
          <w:szCs w:val="28"/>
          <w:u w:val="single"/>
          <w:lang w:eastAsia="bg-BG"/>
        </w:rPr>
        <w:t>са спрели</w:t>
      </w:r>
      <w:r w:rsidRPr="00464557">
        <w:rPr>
          <w:rFonts w:ascii="Times New Roman" w:eastAsia="Times New Roman" w:hAnsi="Times New Roman"/>
          <w:sz w:val="28"/>
          <w:szCs w:val="28"/>
          <w:lang w:eastAsia="bg-BG"/>
        </w:rPr>
        <w:t xml:space="preserve"> общо 299 досъдебни производства или 22,3% от тези с приключено разследване.</w:t>
      </w:r>
    </w:p>
    <w:p w:rsidR="00207A6A" w:rsidRPr="00464557" w:rsidRDefault="00207A6A" w:rsidP="00207A6A">
      <w:pPr>
        <w:tabs>
          <w:tab w:val="left" w:pos="1800"/>
        </w:tabs>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Налице е тенденция на спад в абсолютна стойност и в относителен дял на спрените досъдебни производства:</w:t>
      </w:r>
    </w:p>
    <w:p w:rsidR="00207A6A" w:rsidRPr="00464557" w:rsidRDefault="00207A6A" w:rsidP="00207A6A">
      <w:pPr>
        <w:spacing w:after="0" w:line="240" w:lineRule="auto"/>
        <w:jc w:val="both"/>
        <w:rPr>
          <w:rFonts w:ascii="Times New Roman" w:eastAsia="Times New Roman" w:hAnsi="Times New Roman"/>
          <w:sz w:val="28"/>
          <w:szCs w:val="28"/>
          <w:lang w:eastAsia="bg-BG"/>
        </w:rPr>
      </w:pP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noProof/>
          <w:sz w:val="28"/>
          <w:szCs w:val="28"/>
          <w:lang w:eastAsia="bg-BG"/>
        </w:rPr>
        <w:drawing>
          <wp:inline distT="0" distB="0" distL="0" distR="0" wp14:anchorId="2D65760A" wp14:editId="286E3321">
            <wp:extent cx="5876925" cy="2400300"/>
            <wp:effectExtent l="0" t="0" r="9525" b="19050"/>
            <wp:docPr id="54" name="Обект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464557">
        <w:t xml:space="preserve">               </w:t>
      </w:r>
      <w:r w:rsidR="00CD638F" w:rsidRPr="00464557">
        <w:t xml:space="preserve"> </w:t>
      </w:r>
      <w:r w:rsidRPr="00464557">
        <w:t xml:space="preserve"> </w:t>
      </w:r>
      <w:r w:rsidRPr="00464557">
        <w:rPr>
          <w:rFonts w:ascii="Times New Roman" w:eastAsia="Times New Roman" w:hAnsi="Times New Roman"/>
          <w:sz w:val="28"/>
          <w:szCs w:val="28"/>
        </w:rPr>
        <w:t>Фиг.31 Спрени досъдебни производства – дял в % от тези с приключено разследване</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lastRenderedPageBreak/>
        <w:t xml:space="preserve">През </w:t>
      </w:r>
      <w:proofErr w:type="spellStart"/>
      <w:r w:rsidRPr="00464557">
        <w:rPr>
          <w:rFonts w:ascii="Times New Roman" w:eastAsia="Times New Roman" w:hAnsi="Times New Roman"/>
          <w:sz w:val="28"/>
          <w:szCs w:val="28"/>
          <w:lang w:eastAsia="bg-BG"/>
        </w:rPr>
        <w:t>отчетия</w:t>
      </w:r>
      <w:proofErr w:type="spellEnd"/>
      <w:r w:rsidRPr="00464557">
        <w:rPr>
          <w:rFonts w:ascii="Times New Roman" w:eastAsia="Times New Roman" w:hAnsi="Times New Roman"/>
          <w:sz w:val="28"/>
          <w:szCs w:val="28"/>
          <w:lang w:eastAsia="bg-BG"/>
        </w:rPr>
        <w:t xml:space="preserve"> период поради неразкриване извършителите на престъпленията, на основание чл. 244, ал. 1, т. 2 от НПК са спрени 193 наказателни производства, а на други основания са спрени 106.</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Спрените наказателни производства се възобновяват незабавно след отпадане на основанието за спиране.</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 Възобновените производства за съдебния район са 456.</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spacing w:after="0" w:line="240" w:lineRule="auto"/>
        <w:ind w:firstLine="709"/>
        <w:jc w:val="both"/>
        <w:rPr>
          <w:rFonts w:ascii="Times New Roman" w:eastAsia="Times New Roman" w:hAnsi="Times New Roman"/>
          <w:b/>
          <w:sz w:val="28"/>
          <w:szCs w:val="28"/>
          <w:u w:val="single"/>
          <w:lang w:eastAsia="bg-BG"/>
        </w:rPr>
      </w:pPr>
      <w:r w:rsidRPr="00464557">
        <w:rPr>
          <w:rFonts w:ascii="Times New Roman" w:eastAsia="Times New Roman" w:hAnsi="Times New Roman"/>
          <w:b/>
          <w:sz w:val="28"/>
          <w:szCs w:val="28"/>
          <w:u w:val="single"/>
          <w:lang w:eastAsia="bg-BG"/>
        </w:rPr>
        <w:t>Мерки за неотклонение</w:t>
      </w:r>
    </w:p>
    <w:p w:rsidR="00207A6A" w:rsidRPr="00464557" w:rsidRDefault="00207A6A" w:rsidP="00207A6A">
      <w:pPr>
        <w:spacing w:after="0" w:line="240" w:lineRule="auto"/>
        <w:ind w:firstLine="709"/>
        <w:jc w:val="both"/>
        <w:rPr>
          <w:rFonts w:ascii="Times New Roman" w:eastAsia="Times New Roman" w:hAnsi="Times New Roman"/>
          <w:b/>
          <w:sz w:val="28"/>
          <w:szCs w:val="28"/>
          <w:u w:val="single"/>
          <w:lang w:eastAsia="bg-BG"/>
        </w:rPr>
      </w:pP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През 2019 година прокурорите от Разградският съдебен район са внесли в съда общо 49 искания по реда на чл. 64, ал. 1 от НПК, за вземане по отношение на обвиняеми лица мярка за неотклонение „задържане под стража“.</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Сравнителният анализ на данните спрямо предходните два отчетни периода сочи на спад с 12,5% спрямо 2018г. и ръст с 44% спрямо 2017г.:</w:t>
      </w:r>
    </w:p>
    <w:p w:rsidR="00207A6A" w:rsidRPr="00464557" w:rsidRDefault="00207A6A" w:rsidP="00207A6A">
      <w:pPr>
        <w:spacing w:after="0" w:line="240" w:lineRule="auto"/>
        <w:jc w:val="both"/>
        <w:rPr>
          <w:rFonts w:ascii="Times New Roman" w:eastAsia="Times New Roman" w:hAnsi="Times New Roman"/>
          <w:sz w:val="28"/>
          <w:szCs w:val="28"/>
          <w:u w:val="single"/>
        </w:rPr>
      </w:pPr>
      <w:r w:rsidRPr="00464557">
        <w:rPr>
          <w:rFonts w:ascii="Times New Roman" w:eastAsia="Times New Roman" w:hAnsi="Times New Roman"/>
          <w:noProof/>
          <w:sz w:val="28"/>
          <w:szCs w:val="28"/>
          <w:lang w:eastAsia="bg-BG"/>
        </w:rPr>
        <w:drawing>
          <wp:inline distT="0" distB="0" distL="0" distR="0" wp14:anchorId="26AC3622" wp14:editId="37A57238">
            <wp:extent cx="5924550" cy="2590800"/>
            <wp:effectExtent l="0" t="0" r="19050" b="19050"/>
            <wp:docPr id="57" name="Об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464557">
        <w:t xml:space="preserve">                </w:t>
      </w:r>
      <w:r w:rsidR="004D3F4B" w:rsidRPr="00464557">
        <w:rPr>
          <w:rFonts w:ascii="Times New Roman" w:eastAsia="Times New Roman" w:hAnsi="Times New Roman"/>
          <w:sz w:val="28"/>
          <w:szCs w:val="28"/>
        </w:rPr>
        <w:t>Фиг.32</w:t>
      </w:r>
      <w:r w:rsidRPr="00464557">
        <w:rPr>
          <w:rFonts w:ascii="Times New Roman" w:eastAsia="Times New Roman" w:hAnsi="Times New Roman"/>
          <w:sz w:val="28"/>
          <w:szCs w:val="28"/>
        </w:rPr>
        <w:t xml:space="preserve"> </w:t>
      </w:r>
      <w:r w:rsidRPr="00464557">
        <w:rPr>
          <w:rFonts w:ascii="Times New Roman" w:eastAsia="Times New Roman" w:hAnsi="Times New Roman"/>
          <w:color w:val="000000"/>
          <w:sz w:val="28"/>
          <w:szCs w:val="28"/>
          <w:lang w:eastAsia="bg-BG"/>
        </w:rPr>
        <w:t xml:space="preserve">Внесени в съда искания по чл.64 от НПК за вземане на м.н. „задържане под стража“ </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Уважени са 40 или 81,6% от направените искания за вземане на мярка за неотклонение „задържане под стража“, при  80,1% за 2018 г. и 85,3% за 2017 г.</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По пет от делата, по които съдът е оставил без уважение исканията за вземане на мярка за неотклонение „задържане под стража“, по отношение на обвиняемите лица е взета мярка за неотклонение „домашен арест“.</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По едно неуважено искане за вземане на мярка за неотклонение „задържане под стража“ на Окръжна прокуратура – Разград и  две на Районна прокуратура – Разград, съдът взел по-леки мерки за неотклонение.</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Подадени са седем протеста по неуважени искания за вземане на мярка за неотклонение „задържане под стража“.  Три от тях са уважени от </w:t>
      </w:r>
      <w:proofErr w:type="spellStart"/>
      <w:r w:rsidRPr="00464557">
        <w:rPr>
          <w:rFonts w:ascii="Times New Roman" w:eastAsia="Times New Roman" w:hAnsi="Times New Roman"/>
          <w:sz w:val="28"/>
          <w:szCs w:val="28"/>
          <w:lang w:eastAsia="bg-BG"/>
        </w:rPr>
        <w:t>въззивния</w:t>
      </w:r>
      <w:proofErr w:type="spellEnd"/>
      <w:r w:rsidRPr="00464557">
        <w:rPr>
          <w:rFonts w:ascii="Times New Roman" w:eastAsia="Times New Roman" w:hAnsi="Times New Roman"/>
          <w:sz w:val="28"/>
          <w:szCs w:val="28"/>
          <w:lang w:eastAsia="bg-BG"/>
        </w:rPr>
        <w:t xml:space="preserve"> съд.</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При условията на чл. 63, ал .6 от НПК от прокурор е изменена мярка за неотклонение „задържане под стража“ спрямо 7 лица,  три лица на </w:t>
      </w:r>
      <w:r w:rsidRPr="00464557">
        <w:rPr>
          <w:rFonts w:ascii="Times New Roman" w:eastAsia="Times New Roman" w:hAnsi="Times New Roman"/>
          <w:sz w:val="28"/>
          <w:szCs w:val="28"/>
          <w:lang w:eastAsia="bg-BG"/>
        </w:rPr>
        <w:lastRenderedPageBreak/>
        <w:t xml:space="preserve">Окръжна прокуратура –Разград, 2 на Районна прокуратура – Разград и 2 на Районна прокуратура - Кубрат. </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 xml:space="preserve">При условията на чл. 234, ал .8 от НПК от прокурор е отменена мярка на процесуална принуда по отношение на 6 лица,  всичките на Окръжна прокуратура –Разград. </w:t>
      </w: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През отчетния период с мярка за неотклонение „задържане под стража“ са били общо 41 лица, а с мярка за неотклонение „домашен арест“ – 19 лица.</w:t>
      </w:r>
    </w:p>
    <w:p w:rsidR="00207A6A" w:rsidRPr="00464557" w:rsidRDefault="00207A6A" w:rsidP="00207A6A">
      <w:pPr>
        <w:spacing w:after="0" w:line="240" w:lineRule="auto"/>
        <w:ind w:firstLine="709"/>
        <w:jc w:val="both"/>
        <w:rPr>
          <w:rFonts w:ascii="Times New Roman" w:eastAsia="Times New Roman" w:hAnsi="Times New Roman"/>
          <w:b/>
          <w:sz w:val="28"/>
          <w:szCs w:val="28"/>
          <w:u w:val="single"/>
        </w:rPr>
      </w:pPr>
      <w:r w:rsidRPr="00464557">
        <w:rPr>
          <w:rFonts w:ascii="Times New Roman" w:eastAsia="Times New Roman" w:hAnsi="Times New Roman"/>
          <w:sz w:val="28"/>
          <w:szCs w:val="28"/>
          <w:lang w:eastAsia="bg-BG"/>
        </w:rPr>
        <w:t xml:space="preserve">Към 31.12.2019 година с мярка за неотклонение „задържане под стража“ са били 5 лица по неприключени досъдебни производства: Съответно по досъдебни производства на Окръжна прокуратура 3 лица,  всички със срок на задържане до 8 месеца; 1 лице по досъдебно производства на Разградска районна прокуратура със срок на задържане до 2 месеца и 1 лице със срок на задържане до 2 месеца на Районна прокуратура Исперих. </w:t>
      </w:r>
    </w:p>
    <w:p w:rsidR="00207A6A" w:rsidRPr="00464557" w:rsidRDefault="00207A6A" w:rsidP="00207A6A">
      <w:pPr>
        <w:spacing w:after="0" w:line="240" w:lineRule="auto"/>
        <w:jc w:val="both"/>
        <w:rPr>
          <w:rFonts w:ascii="Times New Roman" w:eastAsia="Times New Roman" w:hAnsi="Times New Roman"/>
          <w:b/>
          <w:sz w:val="28"/>
          <w:szCs w:val="28"/>
          <w:u w:val="single"/>
        </w:rPr>
      </w:pPr>
    </w:p>
    <w:p w:rsidR="00207A6A" w:rsidRPr="00464557" w:rsidRDefault="00207A6A" w:rsidP="00207A6A">
      <w:pPr>
        <w:spacing w:after="0" w:line="240" w:lineRule="auto"/>
        <w:jc w:val="both"/>
        <w:rPr>
          <w:rFonts w:ascii="Times New Roman" w:eastAsia="Times New Roman" w:hAnsi="Times New Roman"/>
          <w:b/>
          <w:sz w:val="28"/>
          <w:szCs w:val="28"/>
          <w:u w:val="single"/>
        </w:rPr>
      </w:pPr>
    </w:p>
    <w:p w:rsidR="00207A6A" w:rsidRPr="00464557" w:rsidRDefault="00207A6A" w:rsidP="00207A6A">
      <w:pPr>
        <w:spacing w:after="0" w:line="240" w:lineRule="auto"/>
        <w:ind w:firstLine="709"/>
        <w:jc w:val="both"/>
        <w:rPr>
          <w:rFonts w:ascii="Times New Roman" w:eastAsia="Times New Roman" w:hAnsi="Times New Roman"/>
          <w:b/>
          <w:sz w:val="28"/>
          <w:szCs w:val="28"/>
          <w:u w:val="single"/>
        </w:rPr>
      </w:pPr>
      <w:r w:rsidRPr="00464557">
        <w:rPr>
          <w:rFonts w:ascii="Times New Roman" w:eastAsia="Times New Roman" w:hAnsi="Times New Roman"/>
          <w:b/>
          <w:sz w:val="28"/>
          <w:szCs w:val="28"/>
          <w:u w:val="single"/>
        </w:rPr>
        <w:t>Действия за разрешаване на конкуренция на административно-наказателна отговорност и наказателна отговорност</w:t>
      </w:r>
    </w:p>
    <w:p w:rsidR="00207A6A" w:rsidRPr="00464557" w:rsidRDefault="00207A6A" w:rsidP="00207A6A">
      <w:pPr>
        <w:spacing w:after="0" w:line="240" w:lineRule="auto"/>
        <w:jc w:val="both"/>
        <w:rPr>
          <w:rFonts w:ascii="Times New Roman" w:eastAsia="Times New Roman" w:hAnsi="Times New Roman"/>
          <w:b/>
          <w:sz w:val="28"/>
          <w:szCs w:val="28"/>
          <w:u w:val="single"/>
        </w:rPr>
      </w:pP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ab/>
        <w:t xml:space="preserve">През отчетната 2019 г. прокурорите от Разградски съдебен район са изготвили 2 предложения по чл. 72, ал. 1 във вр  с чл. 70, б. „д“ от ЗАНН, и двете изготвени от Районна прокуратура – гр. Разград. За сравнение, през 2018г. изготвените предложения са били 14, а през 2017г. – едно. </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През 2019г.  от съда са разгледани 3 предложения, и трите са уважени.</w:t>
      </w:r>
    </w:p>
    <w:p w:rsidR="00207A6A" w:rsidRPr="00464557" w:rsidRDefault="00207A6A" w:rsidP="00207A6A">
      <w:pPr>
        <w:spacing w:after="0" w:line="240" w:lineRule="auto"/>
        <w:jc w:val="both"/>
        <w:rPr>
          <w:rFonts w:ascii="Times New Roman" w:eastAsia="Times New Roman" w:hAnsi="Times New Roman"/>
          <w:sz w:val="28"/>
          <w:szCs w:val="28"/>
        </w:rPr>
      </w:pPr>
      <w:r w:rsidRPr="00464557">
        <w:rPr>
          <w:rFonts w:ascii="Times New Roman" w:eastAsia="Times New Roman" w:hAnsi="Times New Roman"/>
          <w:sz w:val="28"/>
          <w:szCs w:val="28"/>
        </w:rPr>
        <w:t>През 2018г. са били разгледани 14 предложения, всичките са били уважени. През 2017г. не е имало разгледани от съда предложения.</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След произнасяне на съда, през 2019г. прокурорите от Разградски съдебен район са образували 11 досъдебни производства, а една преписка е била прекратена. Две досъдебни производства са  възобновени.  Девет досъдебни  производства са внесени в съда и са постановени десет осъдителни присъди, влезли в сила.</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През 2018г. са били възобновени 3 досъдебни производства, две са били внесени в съда и има постановена една осъдителна присъда.</w:t>
      </w:r>
    </w:p>
    <w:p w:rsidR="00207A6A" w:rsidRPr="00464557" w:rsidRDefault="00207A6A" w:rsidP="00207A6A">
      <w:pPr>
        <w:spacing w:after="0" w:line="240" w:lineRule="auto"/>
        <w:jc w:val="both"/>
        <w:rPr>
          <w:rFonts w:ascii="Times New Roman" w:eastAsia="Times New Roman" w:hAnsi="Times New Roman"/>
          <w:sz w:val="28"/>
          <w:szCs w:val="28"/>
        </w:rPr>
      </w:pPr>
    </w:p>
    <w:p w:rsidR="00207A6A" w:rsidRPr="00464557" w:rsidRDefault="00207A6A" w:rsidP="00207A6A">
      <w:pPr>
        <w:spacing w:after="0" w:line="240" w:lineRule="auto"/>
        <w:jc w:val="both"/>
        <w:rPr>
          <w:rFonts w:ascii="Times New Roman" w:eastAsia="Times New Roman" w:hAnsi="Times New Roman"/>
          <w:b/>
          <w:sz w:val="28"/>
          <w:szCs w:val="28"/>
          <w:u w:val="single"/>
        </w:rPr>
      </w:pPr>
    </w:p>
    <w:p w:rsidR="00207A6A" w:rsidRPr="00464557" w:rsidRDefault="00207A6A" w:rsidP="00207A6A">
      <w:pPr>
        <w:spacing w:after="0" w:line="240" w:lineRule="auto"/>
        <w:ind w:firstLine="709"/>
        <w:jc w:val="both"/>
        <w:rPr>
          <w:rFonts w:ascii="Times New Roman" w:eastAsia="Times New Roman" w:hAnsi="Times New Roman"/>
          <w:sz w:val="28"/>
          <w:szCs w:val="28"/>
          <w:lang w:eastAsia="bg-BG"/>
        </w:rPr>
      </w:pPr>
      <w:r w:rsidRPr="00464557">
        <w:rPr>
          <w:rFonts w:ascii="Times New Roman" w:eastAsia="Times New Roman" w:hAnsi="Times New Roman"/>
          <w:b/>
          <w:sz w:val="28"/>
          <w:szCs w:val="28"/>
          <w:u w:val="single"/>
        </w:rPr>
        <w:t>Обобщени изводи, проблеми и мерки</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Анализът на данните за дейността на прокуратурите в Разградският съдебен район по досъдебната фаза на наказателното производство през 2019 г. налага следните изводи:</w:t>
      </w:r>
    </w:p>
    <w:p w:rsidR="00207A6A" w:rsidRPr="00464557" w:rsidRDefault="00207A6A" w:rsidP="00207A6A">
      <w:pPr>
        <w:numPr>
          <w:ilvl w:val="0"/>
          <w:numId w:val="4"/>
        </w:numPr>
        <w:tabs>
          <w:tab w:val="left" w:pos="993"/>
          <w:tab w:val="right" w:pos="1440"/>
        </w:tabs>
        <w:spacing w:after="0" w:line="240" w:lineRule="auto"/>
        <w:ind w:left="0" w:firstLine="708"/>
        <w:jc w:val="both"/>
        <w:rPr>
          <w:rFonts w:ascii="Times New Roman" w:eastAsia="Times New Roman" w:hAnsi="Times New Roman"/>
          <w:sz w:val="28"/>
          <w:szCs w:val="28"/>
        </w:rPr>
      </w:pPr>
      <w:r w:rsidRPr="00464557">
        <w:rPr>
          <w:rFonts w:ascii="Times New Roman" w:eastAsia="Times New Roman" w:hAnsi="Times New Roman"/>
          <w:sz w:val="28"/>
          <w:szCs w:val="28"/>
        </w:rPr>
        <w:t>Налице е тенденция на ръст по отношение на новообразуваните следствени преписки, но тенденция на спад в абсолютна стойност и в относителен дял по отношение на  новообразуваните досъдебни наказателни производства за съдебния район като цяло.</w:t>
      </w:r>
    </w:p>
    <w:p w:rsidR="00207A6A" w:rsidRPr="00464557" w:rsidRDefault="00207A6A" w:rsidP="00207A6A">
      <w:pPr>
        <w:numPr>
          <w:ilvl w:val="0"/>
          <w:numId w:val="4"/>
        </w:numPr>
        <w:tabs>
          <w:tab w:val="left" w:pos="993"/>
        </w:tabs>
        <w:spacing w:after="0" w:line="240" w:lineRule="auto"/>
        <w:ind w:left="0"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lastRenderedPageBreak/>
        <w:t>Тенденция на ръст на следствените преписки, решени с постановления за отказ да се образува досъдебно производство, като цяло за съдебния район.</w:t>
      </w:r>
    </w:p>
    <w:p w:rsidR="00207A6A" w:rsidRPr="00464557" w:rsidRDefault="00207A6A" w:rsidP="00207A6A">
      <w:pPr>
        <w:numPr>
          <w:ilvl w:val="0"/>
          <w:numId w:val="4"/>
        </w:numPr>
        <w:tabs>
          <w:tab w:val="left" w:pos="993"/>
        </w:tabs>
        <w:spacing w:after="0" w:line="240" w:lineRule="auto"/>
        <w:ind w:left="0"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Налице са много добри резултати за </w:t>
      </w:r>
      <w:proofErr w:type="spellStart"/>
      <w:r w:rsidRPr="00464557">
        <w:rPr>
          <w:rFonts w:ascii="Times New Roman" w:eastAsia="Times New Roman" w:hAnsi="Times New Roman"/>
          <w:sz w:val="28"/>
          <w:szCs w:val="28"/>
        </w:rPr>
        <w:t>срочността</w:t>
      </w:r>
      <w:proofErr w:type="spellEnd"/>
      <w:r w:rsidRPr="00464557">
        <w:rPr>
          <w:rFonts w:ascii="Times New Roman" w:eastAsia="Times New Roman" w:hAnsi="Times New Roman"/>
          <w:sz w:val="28"/>
          <w:szCs w:val="28"/>
        </w:rPr>
        <w:t xml:space="preserve"> на решаване на преписки, както и относно качеството на тази прокурорска дейност, обусловени от постоянен висок относителен дял на потвърдените прокурорски актове при </w:t>
      </w:r>
      <w:proofErr w:type="spellStart"/>
      <w:r w:rsidRPr="00464557">
        <w:rPr>
          <w:rFonts w:ascii="Times New Roman" w:eastAsia="Times New Roman" w:hAnsi="Times New Roman"/>
          <w:sz w:val="28"/>
          <w:szCs w:val="28"/>
        </w:rPr>
        <w:t>инстанционния</w:t>
      </w:r>
      <w:proofErr w:type="spellEnd"/>
      <w:r w:rsidRPr="00464557">
        <w:rPr>
          <w:rFonts w:ascii="Times New Roman" w:eastAsia="Times New Roman" w:hAnsi="Times New Roman"/>
          <w:sz w:val="28"/>
          <w:szCs w:val="28"/>
        </w:rPr>
        <w:t xml:space="preserve"> и служебен контрол. </w:t>
      </w:r>
    </w:p>
    <w:p w:rsidR="00207A6A" w:rsidRPr="00464557" w:rsidRDefault="00207A6A" w:rsidP="00207A6A">
      <w:pPr>
        <w:numPr>
          <w:ilvl w:val="0"/>
          <w:numId w:val="4"/>
        </w:numPr>
        <w:tabs>
          <w:tab w:val="left" w:pos="993"/>
        </w:tabs>
        <w:spacing w:after="0" w:line="240" w:lineRule="auto"/>
        <w:ind w:left="0"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Устойчивост на </w:t>
      </w:r>
      <w:proofErr w:type="spellStart"/>
      <w:r w:rsidRPr="00464557">
        <w:rPr>
          <w:rFonts w:ascii="Times New Roman" w:eastAsia="Times New Roman" w:hAnsi="Times New Roman"/>
          <w:sz w:val="28"/>
          <w:szCs w:val="28"/>
        </w:rPr>
        <w:t>инстанционните</w:t>
      </w:r>
      <w:proofErr w:type="spellEnd"/>
      <w:r w:rsidRPr="00464557">
        <w:rPr>
          <w:rFonts w:ascii="Times New Roman" w:eastAsia="Times New Roman" w:hAnsi="Times New Roman"/>
          <w:sz w:val="28"/>
          <w:szCs w:val="28"/>
        </w:rPr>
        <w:t xml:space="preserve"> преписки спрямо 2018г. и ръст спрямо 2017г.</w:t>
      </w:r>
    </w:p>
    <w:p w:rsidR="00207A6A" w:rsidRPr="00464557" w:rsidRDefault="00207A6A" w:rsidP="00207A6A">
      <w:pPr>
        <w:numPr>
          <w:ilvl w:val="0"/>
          <w:numId w:val="4"/>
        </w:numPr>
        <w:tabs>
          <w:tab w:val="left" w:pos="993"/>
        </w:tabs>
        <w:spacing w:after="0" w:line="240" w:lineRule="auto"/>
        <w:ind w:left="0"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Спад в абсолютна стойност и в относителен дял на </w:t>
      </w:r>
      <w:proofErr w:type="spellStart"/>
      <w:r w:rsidRPr="00464557">
        <w:rPr>
          <w:rFonts w:ascii="Times New Roman" w:eastAsia="Times New Roman" w:hAnsi="Times New Roman"/>
          <w:sz w:val="28"/>
          <w:szCs w:val="28"/>
        </w:rPr>
        <w:t>новообрзауваните</w:t>
      </w:r>
      <w:proofErr w:type="spellEnd"/>
      <w:r w:rsidRPr="00464557">
        <w:rPr>
          <w:rFonts w:ascii="Times New Roman" w:eastAsia="Times New Roman" w:hAnsi="Times New Roman"/>
          <w:sz w:val="28"/>
          <w:szCs w:val="28"/>
        </w:rPr>
        <w:t xml:space="preserve"> бързи производства  спрямо 2018г.,  но ръст на същите спрямо 2017г.</w:t>
      </w:r>
    </w:p>
    <w:p w:rsidR="00207A6A" w:rsidRPr="00464557" w:rsidRDefault="00207A6A" w:rsidP="00207A6A">
      <w:pPr>
        <w:numPr>
          <w:ilvl w:val="0"/>
          <w:numId w:val="4"/>
        </w:numPr>
        <w:tabs>
          <w:tab w:val="right" w:pos="993"/>
        </w:tabs>
        <w:spacing w:after="0" w:line="240" w:lineRule="auto"/>
        <w:ind w:left="0" w:firstLine="708"/>
        <w:jc w:val="both"/>
        <w:rPr>
          <w:rFonts w:ascii="Times New Roman" w:eastAsia="Times New Roman" w:hAnsi="Times New Roman"/>
          <w:sz w:val="28"/>
          <w:szCs w:val="28"/>
        </w:rPr>
      </w:pPr>
      <w:r w:rsidRPr="00464557">
        <w:rPr>
          <w:rFonts w:ascii="Times New Roman" w:eastAsia="Times New Roman" w:hAnsi="Times New Roman"/>
          <w:sz w:val="28"/>
          <w:szCs w:val="28"/>
        </w:rPr>
        <w:t>Ефективността на разследването на бързите производства в аспекта на приключването и решаването им като такива е намаляла спрямо 2018г.</w:t>
      </w:r>
    </w:p>
    <w:p w:rsidR="00207A6A" w:rsidRPr="00464557" w:rsidRDefault="00207A6A" w:rsidP="00207A6A">
      <w:pPr>
        <w:numPr>
          <w:ilvl w:val="0"/>
          <w:numId w:val="4"/>
        </w:numPr>
        <w:tabs>
          <w:tab w:val="left" w:pos="993"/>
        </w:tabs>
        <w:spacing w:after="0" w:line="240" w:lineRule="auto"/>
        <w:ind w:left="0" w:firstLine="708"/>
        <w:jc w:val="both"/>
        <w:rPr>
          <w:rFonts w:ascii="Times New Roman" w:eastAsia="Times New Roman" w:hAnsi="Times New Roman"/>
          <w:sz w:val="28"/>
          <w:szCs w:val="28"/>
          <w:lang w:eastAsia="bg-BG"/>
        </w:rPr>
      </w:pPr>
      <w:r w:rsidRPr="00464557">
        <w:rPr>
          <w:rFonts w:ascii="Times New Roman" w:eastAsia="Times New Roman" w:hAnsi="Times New Roman"/>
          <w:sz w:val="28"/>
          <w:szCs w:val="28"/>
          <w:lang w:eastAsia="bg-BG"/>
        </w:rPr>
        <w:t>Налице е лек ръст  в абсолютна стойност на внесените в съда досъдебни наказателни производства по отношение на предходната 2018 г. и спад спрямо 2017 г. В относителен дял е изразена  тенденция на ръст спрямо предходните две години.</w:t>
      </w:r>
    </w:p>
    <w:p w:rsidR="00207A6A" w:rsidRPr="00464557" w:rsidRDefault="00207A6A" w:rsidP="00207A6A">
      <w:pPr>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8. Много добра </w:t>
      </w:r>
      <w:proofErr w:type="spellStart"/>
      <w:r w:rsidRPr="00464557">
        <w:rPr>
          <w:rFonts w:ascii="Times New Roman" w:eastAsia="Times New Roman" w:hAnsi="Times New Roman"/>
          <w:sz w:val="28"/>
          <w:szCs w:val="28"/>
        </w:rPr>
        <w:t>срочност</w:t>
      </w:r>
      <w:proofErr w:type="spellEnd"/>
      <w:r w:rsidRPr="00464557">
        <w:rPr>
          <w:rFonts w:ascii="Times New Roman" w:eastAsia="Times New Roman" w:hAnsi="Times New Roman"/>
          <w:sz w:val="28"/>
          <w:szCs w:val="28"/>
        </w:rPr>
        <w:t xml:space="preserve"> на решаване на досъдебните производства като цяло за съдебния район.</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9.</w:t>
      </w:r>
      <w:r w:rsidRPr="00464557">
        <w:t xml:space="preserve"> </w:t>
      </w:r>
      <w:r w:rsidRPr="00464557">
        <w:rPr>
          <w:rFonts w:ascii="Times New Roman" w:eastAsia="Times New Roman" w:hAnsi="Times New Roman"/>
          <w:sz w:val="28"/>
          <w:szCs w:val="28"/>
        </w:rPr>
        <w:t>Наличните проблеми с получаването на заключения по назначените експертизи остават нерешени и през 2019 г. и водят до забавяне приключването на дела, които по същество са с изяснена фактическа обстановка.</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Предходното изложение дава основание като приоритети за дейността на прокуратурите в Разградски съдебен район през 2019 година да се изведат:</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1. Запазване на много добрите резултати относно </w:t>
      </w:r>
      <w:proofErr w:type="spellStart"/>
      <w:r w:rsidRPr="00464557">
        <w:rPr>
          <w:rFonts w:ascii="Times New Roman" w:eastAsia="Times New Roman" w:hAnsi="Times New Roman"/>
          <w:sz w:val="28"/>
          <w:szCs w:val="28"/>
        </w:rPr>
        <w:t>срочността</w:t>
      </w:r>
      <w:proofErr w:type="spellEnd"/>
      <w:r w:rsidRPr="00464557">
        <w:rPr>
          <w:rFonts w:ascii="Times New Roman" w:eastAsia="Times New Roman" w:hAnsi="Times New Roman"/>
          <w:sz w:val="28"/>
          <w:szCs w:val="28"/>
        </w:rPr>
        <w:t xml:space="preserve"> на решаване на следствените преписки и досъдебните производства и  подобряване на ефективността на приложение на ускорената форма на разследване. </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r w:rsidRPr="00464557">
        <w:rPr>
          <w:rFonts w:ascii="Times New Roman" w:eastAsia="Times New Roman" w:hAnsi="Times New Roman"/>
          <w:sz w:val="28"/>
          <w:szCs w:val="28"/>
        </w:rPr>
        <w:t xml:space="preserve">2. Подобряване на ефективността от дейността на наблюдаващите прокурори по ръководство и надзор върху разследването, с оглед осигуряване на по-добра </w:t>
      </w:r>
      <w:proofErr w:type="spellStart"/>
      <w:r w:rsidRPr="00464557">
        <w:rPr>
          <w:rFonts w:ascii="Times New Roman" w:eastAsia="Times New Roman" w:hAnsi="Times New Roman"/>
          <w:sz w:val="28"/>
          <w:szCs w:val="28"/>
        </w:rPr>
        <w:t>срочност</w:t>
      </w:r>
      <w:proofErr w:type="spellEnd"/>
      <w:r w:rsidRPr="00464557">
        <w:rPr>
          <w:rFonts w:ascii="Times New Roman" w:eastAsia="Times New Roman" w:hAnsi="Times New Roman"/>
          <w:sz w:val="28"/>
          <w:szCs w:val="28"/>
        </w:rPr>
        <w:t xml:space="preserve"> и качество на досъдебните производства. </w:t>
      </w: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p>
    <w:p w:rsidR="00207A6A" w:rsidRPr="00464557" w:rsidRDefault="00207A6A" w:rsidP="00207A6A">
      <w:pPr>
        <w:spacing w:after="0" w:line="240" w:lineRule="auto"/>
        <w:ind w:firstLine="709"/>
        <w:contextualSpacing/>
        <w:jc w:val="both"/>
        <w:rPr>
          <w:rFonts w:ascii="Times New Roman" w:eastAsia="Times New Roman" w:hAnsi="Times New Roman"/>
          <w:sz w:val="28"/>
          <w:szCs w:val="28"/>
        </w:rPr>
      </w:pPr>
    </w:p>
    <w:p w:rsidR="00207A6A" w:rsidRPr="00464557" w:rsidRDefault="00207A6A" w:rsidP="00207A6A">
      <w:pPr>
        <w:tabs>
          <w:tab w:val="left" w:pos="2790"/>
        </w:tabs>
        <w:spacing w:after="0" w:line="240" w:lineRule="auto"/>
        <w:ind w:firstLine="709"/>
        <w:jc w:val="both"/>
        <w:rPr>
          <w:rFonts w:ascii="Times New Roman" w:eastAsia="Times New Roman" w:hAnsi="Times New Roman"/>
          <w:sz w:val="28"/>
          <w:szCs w:val="28"/>
        </w:rPr>
      </w:pPr>
      <w:r w:rsidRPr="00464557">
        <w:rPr>
          <w:rFonts w:ascii="Times New Roman" w:eastAsia="Times New Roman" w:hAnsi="Times New Roman"/>
          <w:sz w:val="28"/>
          <w:szCs w:val="28"/>
        </w:rPr>
        <w:tab/>
      </w:r>
    </w:p>
    <w:p w:rsidR="00207A6A" w:rsidRPr="00464557" w:rsidRDefault="00207A6A" w:rsidP="00207A6A">
      <w:pPr>
        <w:shd w:val="clear" w:color="auto" w:fill="FFFFFF"/>
        <w:spacing w:after="0" w:line="240" w:lineRule="auto"/>
        <w:ind w:firstLine="709"/>
        <w:jc w:val="both"/>
        <w:rPr>
          <w:rFonts w:ascii="Times New Roman" w:hAnsi="Times New Roman"/>
          <w:b/>
          <w:sz w:val="28"/>
          <w:szCs w:val="28"/>
        </w:rPr>
      </w:pPr>
    </w:p>
    <w:p w:rsidR="003731C3" w:rsidRPr="00464557" w:rsidRDefault="003731C3" w:rsidP="00DA0A59">
      <w:pPr>
        <w:shd w:val="clear" w:color="auto" w:fill="FFFFFF"/>
        <w:spacing w:after="0" w:line="240" w:lineRule="auto"/>
        <w:ind w:firstLine="709"/>
        <w:jc w:val="both"/>
        <w:rPr>
          <w:rFonts w:ascii="Times New Roman" w:hAnsi="Times New Roman"/>
          <w:b/>
          <w:sz w:val="28"/>
          <w:szCs w:val="28"/>
        </w:rPr>
      </w:pPr>
    </w:p>
    <w:p w:rsidR="00B21010" w:rsidRPr="00464557" w:rsidRDefault="00B21010" w:rsidP="00DA0A59">
      <w:pPr>
        <w:shd w:val="clear" w:color="auto" w:fill="FFFFFF"/>
        <w:spacing w:after="0" w:line="240" w:lineRule="auto"/>
        <w:ind w:firstLine="709"/>
        <w:jc w:val="both"/>
        <w:rPr>
          <w:rFonts w:ascii="Times New Roman" w:hAnsi="Times New Roman"/>
          <w:b/>
          <w:sz w:val="28"/>
          <w:szCs w:val="28"/>
        </w:rPr>
      </w:pPr>
    </w:p>
    <w:p w:rsidR="00B21010" w:rsidRPr="00464557" w:rsidRDefault="00B21010" w:rsidP="00DA0A59">
      <w:pPr>
        <w:shd w:val="clear" w:color="auto" w:fill="FFFFFF"/>
        <w:spacing w:after="0" w:line="240" w:lineRule="auto"/>
        <w:ind w:firstLine="709"/>
        <w:jc w:val="both"/>
        <w:rPr>
          <w:rFonts w:ascii="Times New Roman" w:hAnsi="Times New Roman"/>
          <w:b/>
          <w:sz w:val="28"/>
          <w:szCs w:val="28"/>
        </w:rPr>
      </w:pPr>
    </w:p>
    <w:p w:rsidR="003731C3" w:rsidRPr="00464557" w:rsidRDefault="003731C3" w:rsidP="00DA0A59">
      <w:pPr>
        <w:shd w:val="clear" w:color="auto" w:fill="FFFFFF"/>
        <w:spacing w:after="0" w:line="240" w:lineRule="auto"/>
        <w:ind w:firstLine="709"/>
        <w:jc w:val="both"/>
        <w:rPr>
          <w:rFonts w:ascii="Times New Roman" w:hAnsi="Times New Roman"/>
          <w:b/>
          <w:sz w:val="28"/>
          <w:szCs w:val="28"/>
        </w:rPr>
      </w:pPr>
    </w:p>
    <w:p w:rsidR="003731C3" w:rsidRPr="00464557" w:rsidRDefault="003731C3" w:rsidP="00DA0A59">
      <w:pPr>
        <w:shd w:val="clear" w:color="auto" w:fill="FFFFFF"/>
        <w:spacing w:after="0" w:line="240" w:lineRule="auto"/>
        <w:ind w:firstLine="709"/>
        <w:jc w:val="both"/>
        <w:rPr>
          <w:rFonts w:ascii="Times New Roman" w:hAnsi="Times New Roman"/>
          <w:b/>
          <w:sz w:val="28"/>
          <w:szCs w:val="28"/>
        </w:rPr>
      </w:pPr>
    </w:p>
    <w:p w:rsidR="003731C3" w:rsidRPr="00464557" w:rsidRDefault="003731C3" w:rsidP="00DA0A59">
      <w:pPr>
        <w:shd w:val="clear" w:color="auto" w:fill="FFFFFF"/>
        <w:spacing w:after="0" w:line="240" w:lineRule="auto"/>
        <w:ind w:firstLine="709"/>
        <w:jc w:val="both"/>
        <w:rPr>
          <w:rFonts w:ascii="Times New Roman" w:hAnsi="Times New Roman"/>
          <w:b/>
          <w:sz w:val="28"/>
          <w:szCs w:val="28"/>
        </w:rPr>
      </w:pPr>
    </w:p>
    <w:p w:rsidR="003731C3" w:rsidRPr="00464557" w:rsidRDefault="003731C3" w:rsidP="00DA0A59">
      <w:pPr>
        <w:shd w:val="clear" w:color="auto" w:fill="FFFFFF"/>
        <w:spacing w:after="0" w:line="240" w:lineRule="auto"/>
        <w:ind w:firstLine="709"/>
        <w:jc w:val="both"/>
        <w:rPr>
          <w:rFonts w:ascii="Times New Roman" w:hAnsi="Times New Roman"/>
          <w:b/>
          <w:sz w:val="28"/>
          <w:szCs w:val="28"/>
        </w:rPr>
      </w:pPr>
    </w:p>
    <w:p w:rsidR="003731C3" w:rsidRPr="00464557" w:rsidRDefault="003731C3" w:rsidP="00DA0A59">
      <w:pPr>
        <w:shd w:val="clear" w:color="auto" w:fill="FFFFFF"/>
        <w:spacing w:after="0" w:line="240" w:lineRule="auto"/>
        <w:ind w:firstLine="709"/>
        <w:jc w:val="both"/>
        <w:rPr>
          <w:rFonts w:ascii="Times New Roman" w:hAnsi="Times New Roman"/>
          <w:b/>
          <w:sz w:val="28"/>
          <w:szCs w:val="28"/>
        </w:rPr>
      </w:pPr>
    </w:p>
    <w:p w:rsidR="008D014B" w:rsidRPr="00464557" w:rsidRDefault="008D014B" w:rsidP="008D014B">
      <w:pPr>
        <w:shd w:val="clear" w:color="auto" w:fill="FFFFFF"/>
        <w:spacing w:after="0" w:line="240" w:lineRule="auto"/>
        <w:ind w:firstLine="709"/>
        <w:jc w:val="both"/>
        <w:rPr>
          <w:rFonts w:ascii="Times New Roman" w:hAnsi="Times New Roman"/>
          <w:b/>
          <w:sz w:val="28"/>
          <w:szCs w:val="28"/>
        </w:rPr>
      </w:pPr>
      <w:r w:rsidRPr="00464557">
        <w:rPr>
          <w:rFonts w:ascii="Times New Roman" w:hAnsi="Times New Roman"/>
          <w:b/>
          <w:sz w:val="28"/>
          <w:szCs w:val="28"/>
        </w:rPr>
        <w:lastRenderedPageBreak/>
        <w:t>ІІ. Съдебна фаза</w:t>
      </w:r>
    </w:p>
    <w:p w:rsidR="008D014B" w:rsidRPr="00464557" w:rsidRDefault="008D014B" w:rsidP="008D014B">
      <w:pPr>
        <w:spacing w:after="0" w:line="240" w:lineRule="auto"/>
        <w:ind w:firstLine="709"/>
        <w:jc w:val="both"/>
        <w:rPr>
          <w:rFonts w:ascii="Times New Roman" w:hAnsi="Times New Roman"/>
          <w:b/>
          <w:sz w:val="28"/>
          <w:szCs w:val="28"/>
        </w:rPr>
      </w:pPr>
    </w:p>
    <w:p w:rsidR="008D014B" w:rsidRPr="00464557" w:rsidRDefault="008D014B" w:rsidP="008D014B">
      <w:pPr>
        <w:spacing w:after="0" w:line="240" w:lineRule="auto"/>
        <w:ind w:firstLine="709"/>
        <w:contextualSpacing/>
        <w:jc w:val="both"/>
        <w:rPr>
          <w:rFonts w:ascii="Times New Roman" w:eastAsia="Times New Roman" w:hAnsi="Times New Roman"/>
          <w:b/>
          <w:sz w:val="28"/>
          <w:szCs w:val="28"/>
        </w:rPr>
      </w:pPr>
      <w:r w:rsidRPr="00464557">
        <w:rPr>
          <w:rFonts w:ascii="Times New Roman" w:eastAsia="Times New Roman" w:hAnsi="Times New Roman"/>
          <w:b/>
          <w:sz w:val="28"/>
          <w:szCs w:val="28"/>
        </w:rPr>
        <w:t>1.Наказателно-съдебен надзор.</w:t>
      </w:r>
    </w:p>
    <w:p w:rsidR="008D014B" w:rsidRPr="00464557" w:rsidRDefault="008D014B" w:rsidP="008D014B">
      <w:pPr>
        <w:spacing w:after="0" w:line="240" w:lineRule="auto"/>
        <w:ind w:firstLine="709"/>
        <w:contextualSpacing/>
        <w:jc w:val="both"/>
        <w:rPr>
          <w:rFonts w:ascii="Times New Roman" w:eastAsia="Times New Roman" w:hAnsi="Times New Roman"/>
          <w:b/>
          <w:sz w:val="28"/>
          <w:szCs w:val="28"/>
        </w:rPr>
      </w:pPr>
    </w:p>
    <w:p w:rsidR="008D014B" w:rsidRPr="00464557" w:rsidRDefault="008D014B" w:rsidP="008D014B">
      <w:pPr>
        <w:spacing w:after="0" w:line="240" w:lineRule="auto"/>
        <w:ind w:firstLine="709"/>
        <w:jc w:val="both"/>
        <w:rPr>
          <w:rFonts w:ascii="Times New Roman" w:hAnsi="Times New Roman"/>
          <w:sz w:val="28"/>
          <w:szCs w:val="28"/>
        </w:rPr>
      </w:pPr>
      <w:r w:rsidRPr="00464557">
        <w:rPr>
          <w:rFonts w:ascii="Times New Roman" w:hAnsi="Times New Roman"/>
          <w:b/>
          <w:sz w:val="28"/>
          <w:szCs w:val="28"/>
        </w:rPr>
        <w:t>Внесени прокурорски актове</w:t>
      </w:r>
    </w:p>
    <w:p w:rsidR="008D014B" w:rsidRPr="00464557" w:rsidRDefault="008D014B" w:rsidP="008D014B">
      <w:pPr>
        <w:spacing w:after="0" w:line="240" w:lineRule="auto"/>
        <w:ind w:firstLine="709"/>
        <w:jc w:val="both"/>
        <w:rPr>
          <w:rFonts w:ascii="Times New Roman" w:hAnsi="Times New Roman"/>
          <w:sz w:val="28"/>
          <w:szCs w:val="28"/>
        </w:rPr>
      </w:pPr>
      <w:r w:rsidRPr="00464557">
        <w:rPr>
          <w:rFonts w:ascii="Times New Roman" w:hAnsi="Times New Roman"/>
          <w:sz w:val="28"/>
          <w:szCs w:val="28"/>
        </w:rPr>
        <w:t>През 2019 година в съдилищата в Разградски съдебен район били внесени общо673 прокурорски акта срещу 740 лица.</w:t>
      </w:r>
    </w:p>
    <w:p w:rsidR="008D014B" w:rsidRPr="00464557" w:rsidRDefault="008D014B" w:rsidP="008D014B">
      <w:pPr>
        <w:spacing w:after="0" w:line="240" w:lineRule="auto"/>
        <w:ind w:firstLine="709"/>
        <w:jc w:val="both"/>
        <w:rPr>
          <w:rFonts w:ascii="Times New Roman" w:hAnsi="Times New Roman"/>
          <w:sz w:val="28"/>
          <w:szCs w:val="28"/>
        </w:rPr>
      </w:pPr>
      <w:r w:rsidRPr="00464557">
        <w:rPr>
          <w:rFonts w:ascii="Times New Roman" w:hAnsi="Times New Roman"/>
          <w:sz w:val="28"/>
          <w:szCs w:val="28"/>
        </w:rPr>
        <w:t xml:space="preserve">В сравнение с 2018г. броят на прокурорските актове се запазил в абсолютна стойност– 673, а в сравнение с 2017г. - 714, прокурорските актове са намалели съответно с 6%. </w:t>
      </w:r>
    </w:p>
    <w:p w:rsidR="008D014B" w:rsidRPr="00464557" w:rsidRDefault="008D014B" w:rsidP="008D014B">
      <w:pPr>
        <w:spacing w:after="0" w:line="240" w:lineRule="auto"/>
        <w:ind w:firstLine="709"/>
        <w:jc w:val="both"/>
        <w:rPr>
          <w:rFonts w:ascii="Times New Roman" w:hAnsi="Times New Roman"/>
          <w:sz w:val="28"/>
          <w:szCs w:val="28"/>
        </w:rPr>
      </w:pPr>
    </w:p>
    <w:p w:rsidR="008D014B" w:rsidRPr="00464557" w:rsidRDefault="008D014B" w:rsidP="008D014B">
      <w:pPr>
        <w:spacing w:after="0" w:line="240" w:lineRule="auto"/>
        <w:ind w:firstLine="709"/>
        <w:jc w:val="both"/>
        <w:rPr>
          <w:rFonts w:ascii="Times New Roman" w:hAnsi="Times New Roman"/>
          <w:sz w:val="28"/>
          <w:szCs w:val="28"/>
        </w:rPr>
      </w:pPr>
      <w:r w:rsidRPr="00464557">
        <w:rPr>
          <w:rFonts w:ascii="Times New Roman" w:hAnsi="Times New Roman"/>
          <w:sz w:val="28"/>
          <w:szCs w:val="28"/>
        </w:rPr>
        <w:t>Данните за внесените прокурорски актове, по прокуратури, през последните три години, са изразени в диаграмата:</w:t>
      </w:r>
    </w:p>
    <w:p w:rsidR="008D014B" w:rsidRPr="00464557" w:rsidRDefault="008D014B" w:rsidP="008D014B">
      <w:pPr>
        <w:spacing w:after="0" w:line="240" w:lineRule="auto"/>
        <w:ind w:firstLine="709"/>
        <w:jc w:val="both"/>
        <w:rPr>
          <w:rFonts w:ascii="Times New Roman" w:hAnsi="Times New Roman"/>
          <w:sz w:val="28"/>
          <w:szCs w:val="28"/>
        </w:rPr>
      </w:pPr>
    </w:p>
    <w:p w:rsidR="008D014B" w:rsidRPr="00464557" w:rsidRDefault="008D014B" w:rsidP="008D014B">
      <w:pPr>
        <w:spacing w:after="0" w:line="240" w:lineRule="auto"/>
        <w:jc w:val="both"/>
        <w:rPr>
          <w:rFonts w:ascii="Times New Roman" w:hAnsi="Times New Roman"/>
          <w:sz w:val="28"/>
          <w:szCs w:val="28"/>
        </w:rPr>
      </w:pPr>
      <w:r w:rsidRPr="00464557">
        <w:rPr>
          <w:rFonts w:ascii="Times New Roman" w:hAnsi="Times New Roman"/>
          <w:noProof/>
          <w:sz w:val="28"/>
          <w:szCs w:val="28"/>
          <w:lang w:eastAsia="bg-BG"/>
        </w:rPr>
        <w:drawing>
          <wp:inline distT="0" distB="0" distL="0" distR="0" wp14:anchorId="611BAD34" wp14:editId="7DD07C14">
            <wp:extent cx="5924550" cy="3209925"/>
            <wp:effectExtent l="0" t="0" r="19050" b="9525"/>
            <wp:docPr id="58" name="Диагра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C360D" w:rsidRPr="00464557" w:rsidRDefault="004C360D" w:rsidP="008D014B">
      <w:pPr>
        <w:spacing w:after="0" w:line="240" w:lineRule="auto"/>
        <w:ind w:firstLine="709"/>
        <w:jc w:val="both"/>
        <w:rPr>
          <w:rFonts w:ascii="Times New Roman" w:hAnsi="Times New Roman"/>
          <w:sz w:val="28"/>
          <w:szCs w:val="28"/>
        </w:rPr>
      </w:pPr>
    </w:p>
    <w:p w:rsidR="008D014B" w:rsidRPr="00464557" w:rsidRDefault="008D014B" w:rsidP="008D014B">
      <w:pPr>
        <w:spacing w:after="0" w:line="240" w:lineRule="auto"/>
        <w:ind w:firstLine="709"/>
        <w:jc w:val="both"/>
        <w:rPr>
          <w:rFonts w:ascii="Times New Roman" w:hAnsi="Times New Roman"/>
          <w:sz w:val="28"/>
          <w:szCs w:val="28"/>
        </w:rPr>
      </w:pPr>
      <w:r w:rsidRPr="00464557">
        <w:rPr>
          <w:rFonts w:ascii="Times New Roman" w:hAnsi="Times New Roman"/>
          <w:sz w:val="28"/>
          <w:szCs w:val="28"/>
        </w:rPr>
        <w:t>Фиг.3</w:t>
      </w:r>
      <w:r w:rsidR="00E0703A" w:rsidRPr="00464557">
        <w:rPr>
          <w:rFonts w:ascii="Times New Roman" w:hAnsi="Times New Roman"/>
          <w:sz w:val="28"/>
          <w:szCs w:val="28"/>
        </w:rPr>
        <w:t>3</w:t>
      </w:r>
      <w:r w:rsidRPr="00464557">
        <w:rPr>
          <w:rFonts w:ascii="Times New Roman" w:hAnsi="Times New Roman"/>
          <w:sz w:val="28"/>
          <w:szCs w:val="28"/>
        </w:rPr>
        <w:t xml:space="preserve">. Внесени прокурорски актове по прокуратури през последните три години. </w:t>
      </w:r>
    </w:p>
    <w:p w:rsidR="008D014B" w:rsidRPr="00464557" w:rsidRDefault="008D014B" w:rsidP="008D014B">
      <w:pPr>
        <w:spacing w:after="0" w:line="240" w:lineRule="auto"/>
        <w:ind w:firstLine="709"/>
        <w:jc w:val="both"/>
        <w:rPr>
          <w:rFonts w:ascii="Times New Roman" w:hAnsi="Times New Roman"/>
          <w:sz w:val="28"/>
          <w:szCs w:val="28"/>
        </w:rPr>
      </w:pPr>
    </w:p>
    <w:p w:rsidR="008D014B" w:rsidRPr="00464557" w:rsidRDefault="008D014B" w:rsidP="008D014B">
      <w:pPr>
        <w:spacing w:after="0" w:line="240" w:lineRule="auto"/>
        <w:ind w:firstLine="709"/>
        <w:jc w:val="both"/>
        <w:rPr>
          <w:rFonts w:ascii="Times New Roman" w:hAnsi="Times New Roman"/>
          <w:sz w:val="28"/>
          <w:szCs w:val="28"/>
        </w:rPr>
      </w:pPr>
      <w:r w:rsidRPr="00464557">
        <w:rPr>
          <w:rFonts w:ascii="Times New Roman" w:hAnsi="Times New Roman"/>
          <w:sz w:val="28"/>
          <w:szCs w:val="28"/>
        </w:rPr>
        <w:t xml:space="preserve">Намаление на прокурорските актове се наблюдава в Окръжна прокуратура – гр. Разград и Районна прокуратура – гр. Кубрат, съответно с 21,57 % и с 16,57% спрямо предходната година. </w:t>
      </w:r>
    </w:p>
    <w:p w:rsidR="008D014B" w:rsidRPr="00464557" w:rsidRDefault="008D014B" w:rsidP="008D014B">
      <w:pPr>
        <w:spacing w:after="0" w:line="240" w:lineRule="auto"/>
        <w:ind w:firstLine="709"/>
        <w:jc w:val="both"/>
        <w:rPr>
          <w:rFonts w:ascii="Times New Roman" w:hAnsi="Times New Roman"/>
          <w:sz w:val="28"/>
          <w:szCs w:val="28"/>
        </w:rPr>
      </w:pPr>
      <w:r w:rsidRPr="00464557">
        <w:rPr>
          <w:rFonts w:ascii="Times New Roman" w:hAnsi="Times New Roman"/>
          <w:sz w:val="28"/>
          <w:szCs w:val="28"/>
        </w:rPr>
        <w:t>В Районна прокуратура – гр. Разград има леко увеличение в броя на делата, внесени за разглеждане в Районен съд- Разград, в сравнение с 2018г. – 12,55%  и устойчивост в сравнение с тези, внесени през – 2017г.</w:t>
      </w:r>
    </w:p>
    <w:p w:rsidR="008D014B" w:rsidRDefault="008D014B" w:rsidP="008D014B">
      <w:pPr>
        <w:spacing w:after="0" w:line="240" w:lineRule="auto"/>
        <w:ind w:firstLine="709"/>
        <w:jc w:val="both"/>
        <w:rPr>
          <w:rFonts w:ascii="Times New Roman" w:hAnsi="Times New Roman"/>
          <w:sz w:val="28"/>
          <w:szCs w:val="28"/>
        </w:rPr>
      </w:pPr>
      <w:r w:rsidRPr="00464557">
        <w:rPr>
          <w:rFonts w:ascii="Times New Roman" w:hAnsi="Times New Roman"/>
          <w:sz w:val="28"/>
          <w:szCs w:val="28"/>
        </w:rPr>
        <w:t>В Районна прокуратура-Исперих също се наблюдава лек ръст спрямо 2018г. – 3,80%  и спад с 13,18% спрямо 2017г.</w:t>
      </w:r>
    </w:p>
    <w:p w:rsidR="008D014B" w:rsidRDefault="008D014B" w:rsidP="008D014B">
      <w:pPr>
        <w:spacing w:after="0" w:line="240" w:lineRule="auto"/>
        <w:jc w:val="both"/>
        <w:rPr>
          <w:rFonts w:ascii="Times New Roman" w:hAnsi="Times New Roman"/>
          <w:sz w:val="28"/>
          <w:szCs w:val="28"/>
        </w:rPr>
      </w:pPr>
    </w:p>
    <w:p w:rsidR="008D014B" w:rsidRDefault="008D014B" w:rsidP="008D014B">
      <w:pPr>
        <w:spacing w:after="0" w:line="240" w:lineRule="auto"/>
        <w:jc w:val="both"/>
        <w:rPr>
          <w:rFonts w:ascii="Times New Roman" w:hAnsi="Times New Roman"/>
          <w:sz w:val="28"/>
          <w:szCs w:val="28"/>
        </w:rPr>
      </w:pPr>
    </w:p>
    <w:p w:rsidR="008D014B" w:rsidRPr="00EE4D0D" w:rsidRDefault="008D014B" w:rsidP="008D014B">
      <w:pPr>
        <w:spacing w:after="0" w:line="240" w:lineRule="auto"/>
        <w:ind w:firstLine="709"/>
        <w:jc w:val="both"/>
        <w:rPr>
          <w:rFonts w:ascii="Times New Roman" w:hAnsi="Times New Roman"/>
          <w:sz w:val="28"/>
          <w:szCs w:val="28"/>
        </w:rPr>
      </w:pPr>
    </w:p>
    <w:p w:rsidR="008D014B" w:rsidRPr="00EE4D0D"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lastRenderedPageBreak/>
        <w:t>По прокуратури, по години и по видове внесени прокурорски актове данните са следните:</w:t>
      </w:r>
    </w:p>
    <w:p w:rsidR="008D014B" w:rsidRPr="00EE4D0D" w:rsidRDefault="008D014B" w:rsidP="008D014B">
      <w:pPr>
        <w:spacing w:after="0" w:line="240" w:lineRule="auto"/>
        <w:ind w:firstLine="709"/>
        <w:jc w:val="both"/>
        <w:rPr>
          <w:rFonts w:ascii="Times New Roman" w:hAnsi="Times New Roman"/>
          <w:sz w:val="28"/>
          <w:szCs w:val="28"/>
        </w:rPr>
      </w:pPr>
    </w:p>
    <w:tbl>
      <w:tblPr>
        <w:tblStyle w:val="11"/>
        <w:tblW w:w="0" w:type="auto"/>
        <w:tblLook w:val="04A0" w:firstRow="1" w:lastRow="0" w:firstColumn="1" w:lastColumn="0" w:noHBand="0" w:noVBand="1"/>
      </w:tblPr>
      <w:tblGrid>
        <w:gridCol w:w="901"/>
        <w:gridCol w:w="919"/>
        <w:gridCol w:w="977"/>
        <w:gridCol w:w="939"/>
        <w:gridCol w:w="920"/>
        <w:gridCol w:w="977"/>
        <w:gridCol w:w="939"/>
        <w:gridCol w:w="920"/>
        <w:gridCol w:w="977"/>
        <w:gridCol w:w="939"/>
      </w:tblGrid>
      <w:tr w:rsidR="008D014B" w:rsidRPr="00EE4D0D" w:rsidTr="00766ADB">
        <w:trPr>
          <w:trHeight w:val="32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8D014B" w:rsidRPr="002749EB" w:rsidRDefault="008D014B" w:rsidP="00766ADB">
            <w:pPr>
              <w:rPr>
                <w:rFonts w:ascii="Times New Roman" w:hAnsi="Times New Roman"/>
                <w:sz w:val="24"/>
                <w:szCs w:val="24"/>
              </w:rPr>
            </w:pPr>
            <w:r w:rsidRPr="002749EB">
              <w:rPr>
                <w:rFonts w:ascii="Times New Roman" w:hAnsi="Times New Roman"/>
                <w:sz w:val="24"/>
                <w:szCs w:val="24"/>
              </w:rPr>
              <w:t>Прокуратура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8D014B" w:rsidRPr="002749EB" w:rsidRDefault="008D014B" w:rsidP="00766ADB">
            <w:pPr>
              <w:rPr>
                <w:rFonts w:ascii="Times New Roman" w:hAnsi="Times New Roman"/>
                <w:b/>
                <w:sz w:val="24"/>
                <w:szCs w:val="24"/>
              </w:rPr>
            </w:pPr>
            <w:r>
              <w:rPr>
                <w:rFonts w:ascii="Times New Roman" w:hAnsi="Times New Roman"/>
                <w:b/>
                <w:sz w:val="24"/>
                <w:szCs w:val="24"/>
              </w:rPr>
              <w:t>2019</w:t>
            </w:r>
            <w:r w:rsidRPr="002749EB">
              <w:rPr>
                <w:rFonts w:ascii="Times New Roman" w:hAnsi="Times New Roman"/>
                <w:b/>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8D014B" w:rsidRPr="002749EB" w:rsidRDefault="008D014B" w:rsidP="00766ADB">
            <w:pPr>
              <w:rPr>
                <w:rFonts w:ascii="Times New Roman" w:hAnsi="Times New Roman"/>
                <w:b/>
                <w:sz w:val="24"/>
                <w:szCs w:val="24"/>
                <w:lang w:val="en-US"/>
              </w:rPr>
            </w:pPr>
            <w:r>
              <w:rPr>
                <w:rFonts w:ascii="Times New Roman" w:hAnsi="Times New Roman"/>
                <w:b/>
                <w:sz w:val="24"/>
                <w:szCs w:val="24"/>
                <w:lang w:val="en-US"/>
              </w:rPr>
              <w:t>201</w:t>
            </w:r>
            <w:r>
              <w:rPr>
                <w:rFonts w:ascii="Times New Roman" w:hAnsi="Times New Roman"/>
                <w:b/>
                <w:sz w:val="24"/>
                <w:szCs w:val="24"/>
              </w:rPr>
              <w:t>8</w:t>
            </w:r>
            <w:r w:rsidRPr="002749EB">
              <w:rPr>
                <w:rFonts w:ascii="Times New Roman" w:hAnsi="Times New Roman"/>
                <w:b/>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8D014B" w:rsidRPr="002749EB" w:rsidRDefault="008D014B" w:rsidP="00766ADB">
            <w:pPr>
              <w:rPr>
                <w:rFonts w:ascii="Times New Roman" w:hAnsi="Times New Roman"/>
                <w:b/>
                <w:sz w:val="24"/>
                <w:szCs w:val="24"/>
              </w:rPr>
            </w:pPr>
            <w:r>
              <w:rPr>
                <w:rFonts w:ascii="Times New Roman" w:hAnsi="Times New Roman"/>
                <w:b/>
                <w:sz w:val="24"/>
                <w:szCs w:val="24"/>
              </w:rPr>
              <w:t>2017</w:t>
            </w:r>
            <w:r w:rsidRPr="002749EB">
              <w:rPr>
                <w:rFonts w:ascii="Times New Roman" w:hAnsi="Times New Roman"/>
                <w:b/>
                <w:sz w:val="24"/>
                <w:szCs w:val="24"/>
              </w:rPr>
              <w:t>г.</w:t>
            </w:r>
          </w:p>
        </w:tc>
      </w:tr>
      <w:tr w:rsidR="008D014B" w:rsidRPr="00EE4D0D" w:rsidTr="00766AD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014B" w:rsidRPr="002749EB"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2749EB" w:rsidRDefault="008D014B" w:rsidP="00766ADB">
            <w:pPr>
              <w:rPr>
                <w:rFonts w:ascii="Times New Roman" w:hAnsi="Times New Roman"/>
                <w:sz w:val="24"/>
                <w:szCs w:val="24"/>
                <w:lang w:val="en-US"/>
              </w:rPr>
            </w:pPr>
            <w:r>
              <w:rPr>
                <w:rFonts w:ascii="Times New Roman" w:hAnsi="Times New Roman"/>
                <w:sz w:val="24"/>
                <w:szCs w:val="24"/>
              </w:rPr>
              <w:t>Обвин</w:t>
            </w:r>
            <w:r w:rsidRPr="002749EB">
              <w:rPr>
                <w:rFonts w:ascii="Times New Roman" w:hAnsi="Times New Roman"/>
                <w:sz w:val="24"/>
                <w:szCs w:val="24"/>
              </w:rPr>
              <w:t>ителен акт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2749EB" w:rsidRDefault="008D014B" w:rsidP="00766ADB">
            <w:pPr>
              <w:rPr>
                <w:rFonts w:ascii="Times New Roman" w:hAnsi="Times New Roman"/>
                <w:sz w:val="24"/>
                <w:szCs w:val="24"/>
              </w:rPr>
            </w:pPr>
            <w:r w:rsidRPr="002749EB">
              <w:rPr>
                <w:rFonts w:ascii="Times New Roman" w:hAnsi="Times New Roman"/>
                <w:sz w:val="24"/>
                <w:szCs w:val="24"/>
              </w:rPr>
              <w:t>Споразумение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2749EB" w:rsidRDefault="008D014B" w:rsidP="00766ADB">
            <w:pPr>
              <w:rPr>
                <w:rFonts w:ascii="Times New Roman" w:hAnsi="Times New Roman"/>
                <w:sz w:val="24"/>
                <w:szCs w:val="24"/>
              </w:rPr>
            </w:pPr>
            <w:r w:rsidRPr="002749EB">
              <w:rPr>
                <w:rFonts w:ascii="Times New Roman" w:hAnsi="Times New Roman"/>
                <w:sz w:val="24"/>
                <w:szCs w:val="24"/>
              </w:rPr>
              <w:t>Предложение по чл.78а от НК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2749EB" w:rsidRDefault="008D014B" w:rsidP="00766ADB">
            <w:pPr>
              <w:rPr>
                <w:rFonts w:ascii="Times New Roman" w:hAnsi="Times New Roman"/>
                <w:sz w:val="24"/>
                <w:szCs w:val="24"/>
                <w:lang w:val="en-US"/>
              </w:rPr>
            </w:pPr>
            <w:r w:rsidRPr="002749EB">
              <w:rPr>
                <w:rFonts w:ascii="Times New Roman" w:hAnsi="Times New Roman"/>
                <w:sz w:val="24"/>
                <w:szCs w:val="24"/>
              </w:rPr>
              <w:t>Обвинителен акт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2749EB" w:rsidRDefault="008D014B" w:rsidP="00766ADB">
            <w:pPr>
              <w:rPr>
                <w:rFonts w:ascii="Times New Roman" w:hAnsi="Times New Roman"/>
                <w:sz w:val="24"/>
                <w:szCs w:val="24"/>
              </w:rPr>
            </w:pPr>
            <w:r w:rsidRPr="002749EB">
              <w:rPr>
                <w:rFonts w:ascii="Times New Roman" w:hAnsi="Times New Roman"/>
                <w:sz w:val="24"/>
                <w:szCs w:val="24"/>
              </w:rPr>
              <w:t>Споразумение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2749EB" w:rsidRDefault="008D014B" w:rsidP="00766ADB">
            <w:pPr>
              <w:rPr>
                <w:rFonts w:ascii="Times New Roman" w:hAnsi="Times New Roman"/>
                <w:sz w:val="24"/>
                <w:szCs w:val="24"/>
              </w:rPr>
            </w:pPr>
            <w:r w:rsidRPr="002749EB">
              <w:rPr>
                <w:rFonts w:ascii="Times New Roman" w:hAnsi="Times New Roman"/>
                <w:sz w:val="24"/>
                <w:szCs w:val="24"/>
              </w:rPr>
              <w:t>Предложение по чл.78а от НК</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014B" w:rsidRPr="002749EB" w:rsidRDefault="008D014B" w:rsidP="00766ADB">
            <w:pPr>
              <w:rPr>
                <w:rFonts w:ascii="Times New Roman" w:hAnsi="Times New Roman"/>
                <w:sz w:val="24"/>
                <w:szCs w:val="24"/>
              </w:rPr>
            </w:pPr>
            <w:r>
              <w:rPr>
                <w:rFonts w:ascii="Times New Roman" w:hAnsi="Times New Roman"/>
                <w:sz w:val="24"/>
                <w:szCs w:val="24"/>
              </w:rPr>
              <w:t>Обвинител</w:t>
            </w:r>
            <w:r w:rsidRPr="002749EB">
              <w:rPr>
                <w:rFonts w:ascii="Times New Roman" w:hAnsi="Times New Roman"/>
                <w:sz w:val="24"/>
                <w:szCs w:val="24"/>
              </w:rPr>
              <w:t>ен акт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014B" w:rsidRPr="002749EB" w:rsidRDefault="008D014B" w:rsidP="00766ADB">
            <w:pPr>
              <w:rPr>
                <w:rFonts w:ascii="Times New Roman" w:hAnsi="Times New Roman"/>
                <w:sz w:val="24"/>
                <w:szCs w:val="24"/>
              </w:rPr>
            </w:pPr>
            <w:r w:rsidRPr="002749EB">
              <w:rPr>
                <w:rFonts w:ascii="Times New Roman" w:hAnsi="Times New Roman"/>
                <w:sz w:val="24"/>
                <w:szCs w:val="24"/>
              </w:rPr>
              <w:t>Споразумение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014B" w:rsidRPr="002749EB" w:rsidRDefault="008D014B" w:rsidP="00766ADB">
            <w:pPr>
              <w:rPr>
                <w:rFonts w:ascii="Times New Roman" w:hAnsi="Times New Roman"/>
                <w:sz w:val="24"/>
                <w:szCs w:val="24"/>
              </w:rPr>
            </w:pPr>
            <w:r w:rsidRPr="002749EB">
              <w:rPr>
                <w:rFonts w:ascii="Times New Roman" w:hAnsi="Times New Roman"/>
                <w:sz w:val="24"/>
                <w:szCs w:val="24"/>
              </w:rPr>
              <w:t>Предложение по чл.78а от НК</w:t>
            </w:r>
          </w:p>
        </w:tc>
      </w:tr>
      <w:tr w:rsidR="008D014B" w:rsidRPr="00EE4D0D" w:rsidTr="00766ADB">
        <w:trPr>
          <w:trHeight w:val="45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014B" w:rsidRDefault="008D014B" w:rsidP="00766ADB">
            <w:pPr>
              <w:rPr>
                <w:rFonts w:ascii="Times New Roman" w:hAnsi="Times New Roman"/>
                <w:b/>
                <w:sz w:val="24"/>
                <w:szCs w:val="24"/>
              </w:rPr>
            </w:pPr>
            <w:r w:rsidRPr="002749EB">
              <w:rPr>
                <w:rFonts w:ascii="Times New Roman" w:hAnsi="Times New Roman"/>
                <w:b/>
                <w:sz w:val="24"/>
                <w:szCs w:val="24"/>
              </w:rPr>
              <w:t xml:space="preserve">ОП </w:t>
            </w:r>
            <w:proofErr w:type="spellStart"/>
            <w:r w:rsidRPr="002749EB">
              <w:rPr>
                <w:rFonts w:ascii="Times New Roman" w:hAnsi="Times New Roman"/>
                <w:b/>
                <w:sz w:val="24"/>
                <w:szCs w:val="24"/>
              </w:rPr>
              <w:t>Разг</w:t>
            </w:r>
            <w:proofErr w:type="spellEnd"/>
          </w:p>
          <w:p w:rsidR="008D014B" w:rsidRPr="002749EB" w:rsidRDefault="008D014B" w:rsidP="00766ADB">
            <w:pPr>
              <w:rPr>
                <w:rFonts w:ascii="Times New Roman" w:hAnsi="Times New Roman"/>
                <w:b/>
                <w:sz w:val="24"/>
                <w:szCs w:val="24"/>
              </w:rPr>
            </w:pPr>
            <w:proofErr w:type="spellStart"/>
            <w:r w:rsidRPr="002749EB">
              <w:rPr>
                <w:rFonts w:ascii="Times New Roman" w:hAnsi="Times New Roman"/>
                <w:b/>
                <w:sz w:val="24"/>
                <w:szCs w:val="24"/>
              </w:rPr>
              <w:t>рад</w:t>
            </w:r>
            <w:proofErr w:type="spellEnd"/>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8D014B" w:rsidRPr="00B529C6" w:rsidRDefault="008D014B" w:rsidP="00766ADB">
            <w:pPr>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8D014B" w:rsidRPr="00B529C6" w:rsidRDefault="008D014B" w:rsidP="00766ADB">
            <w:pPr>
              <w:rPr>
                <w:rFonts w:ascii="Times New Roman" w:hAnsi="Times New Roman"/>
                <w:sz w:val="24"/>
                <w:szCs w:val="24"/>
              </w:rPr>
            </w:pPr>
            <w:r>
              <w:rPr>
                <w:rFonts w:ascii="Times New Roman" w:hAnsi="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lang w:val="en-US"/>
              </w:rPr>
            </w:pPr>
            <w:r w:rsidRPr="002749EB">
              <w:rPr>
                <w:rFonts w:ascii="Times New Roman" w:hAnsi="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sidRPr="002749EB">
              <w:rPr>
                <w:rFonts w:ascii="Times New Roman" w:hAnsi="Times New Roman"/>
                <w:sz w:val="24"/>
                <w:szCs w:val="24"/>
              </w:rPr>
              <w:t>1</w:t>
            </w:r>
          </w:p>
        </w:tc>
      </w:tr>
      <w:tr w:rsidR="008D014B" w:rsidRPr="00EE4D0D" w:rsidTr="00766ADB">
        <w:trPr>
          <w:trHeight w:val="5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014B" w:rsidRDefault="008D014B" w:rsidP="00766ADB">
            <w:pPr>
              <w:rPr>
                <w:rFonts w:ascii="Times New Roman" w:hAnsi="Times New Roman"/>
                <w:b/>
                <w:sz w:val="24"/>
                <w:szCs w:val="24"/>
              </w:rPr>
            </w:pPr>
            <w:r w:rsidRPr="002749EB">
              <w:rPr>
                <w:rFonts w:ascii="Times New Roman" w:hAnsi="Times New Roman"/>
                <w:b/>
                <w:sz w:val="24"/>
                <w:szCs w:val="24"/>
              </w:rPr>
              <w:t xml:space="preserve">РП </w:t>
            </w:r>
            <w:proofErr w:type="spellStart"/>
            <w:r w:rsidRPr="002749EB">
              <w:rPr>
                <w:rFonts w:ascii="Times New Roman" w:hAnsi="Times New Roman"/>
                <w:b/>
                <w:sz w:val="24"/>
                <w:szCs w:val="24"/>
              </w:rPr>
              <w:t>Разг</w:t>
            </w:r>
            <w:proofErr w:type="spellEnd"/>
          </w:p>
          <w:p w:rsidR="008D014B" w:rsidRPr="002749EB" w:rsidRDefault="008D014B" w:rsidP="00766ADB">
            <w:pPr>
              <w:rPr>
                <w:rFonts w:ascii="Times New Roman" w:hAnsi="Times New Roman"/>
                <w:b/>
                <w:sz w:val="24"/>
                <w:szCs w:val="24"/>
              </w:rPr>
            </w:pPr>
            <w:proofErr w:type="spellStart"/>
            <w:r w:rsidRPr="002749EB">
              <w:rPr>
                <w:rFonts w:ascii="Times New Roman" w:hAnsi="Times New Roman"/>
                <w:b/>
                <w:sz w:val="24"/>
                <w:szCs w:val="24"/>
              </w:rPr>
              <w:t>рад</w:t>
            </w:r>
            <w:proofErr w:type="spellEnd"/>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193</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62</w:t>
            </w:r>
          </w:p>
        </w:tc>
        <w:tc>
          <w:tcPr>
            <w:tcW w:w="0" w:type="auto"/>
            <w:tcBorders>
              <w:top w:val="single" w:sz="4" w:space="0" w:color="auto"/>
              <w:left w:val="single" w:sz="4" w:space="0" w:color="auto"/>
              <w:bottom w:val="single" w:sz="4" w:space="0" w:color="auto"/>
              <w:right w:val="single" w:sz="4" w:space="0" w:color="auto"/>
            </w:tcBorders>
          </w:tcPr>
          <w:p w:rsidR="008D014B" w:rsidRPr="00B529C6" w:rsidRDefault="008D014B" w:rsidP="00766ADB">
            <w:pP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83</w:t>
            </w:r>
          </w:p>
        </w:tc>
        <w:tc>
          <w:tcPr>
            <w:tcW w:w="0" w:type="auto"/>
            <w:tcBorders>
              <w:top w:val="single" w:sz="4" w:space="0" w:color="auto"/>
              <w:left w:val="single" w:sz="4" w:space="0" w:color="auto"/>
              <w:bottom w:val="single" w:sz="4" w:space="0" w:color="auto"/>
              <w:right w:val="single" w:sz="4" w:space="0" w:color="auto"/>
            </w:tcBorders>
          </w:tcPr>
          <w:p w:rsidR="008D014B" w:rsidRPr="00B529C6" w:rsidRDefault="008D014B" w:rsidP="00766ADB">
            <w:pPr>
              <w:rPr>
                <w:rFonts w:ascii="Times New Roman" w:hAnsi="Times New Roman"/>
                <w:sz w:val="24"/>
                <w:szCs w:val="24"/>
              </w:rPr>
            </w:pPr>
            <w:r>
              <w:rPr>
                <w:rFonts w:ascii="Times New Roman" w:hAnsi="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8D014B" w:rsidRPr="00B529C6" w:rsidRDefault="008D014B" w:rsidP="00766ADB">
            <w:pPr>
              <w:rPr>
                <w:rFonts w:ascii="Times New Roman" w:hAnsi="Times New Roman"/>
                <w:sz w:val="24"/>
                <w:szCs w:val="24"/>
              </w:rPr>
            </w:pPr>
            <w:r>
              <w:rPr>
                <w:rFonts w:ascii="Times New Roman" w:hAnsi="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195</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62</w:t>
            </w:r>
          </w:p>
        </w:tc>
      </w:tr>
      <w:tr w:rsidR="008D014B" w:rsidRPr="00EE4D0D" w:rsidTr="00766ADB">
        <w:trPr>
          <w:trHeight w:val="55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014B" w:rsidRDefault="008D014B" w:rsidP="00766ADB">
            <w:pPr>
              <w:rPr>
                <w:rFonts w:ascii="Times New Roman" w:hAnsi="Times New Roman"/>
                <w:b/>
                <w:sz w:val="24"/>
                <w:szCs w:val="24"/>
              </w:rPr>
            </w:pPr>
            <w:r w:rsidRPr="002749EB">
              <w:rPr>
                <w:rFonts w:ascii="Times New Roman" w:hAnsi="Times New Roman"/>
                <w:b/>
                <w:sz w:val="24"/>
                <w:szCs w:val="24"/>
              </w:rPr>
              <w:t xml:space="preserve">РП </w:t>
            </w:r>
            <w:proofErr w:type="spellStart"/>
            <w:r w:rsidRPr="002749EB">
              <w:rPr>
                <w:rFonts w:ascii="Times New Roman" w:hAnsi="Times New Roman"/>
                <w:b/>
                <w:sz w:val="24"/>
                <w:szCs w:val="24"/>
              </w:rPr>
              <w:t>Испе</w:t>
            </w:r>
            <w:proofErr w:type="spellEnd"/>
          </w:p>
          <w:p w:rsidR="008D014B" w:rsidRPr="002749EB" w:rsidRDefault="008D014B" w:rsidP="00766ADB">
            <w:pPr>
              <w:rPr>
                <w:rFonts w:ascii="Times New Roman" w:hAnsi="Times New Roman"/>
                <w:b/>
                <w:sz w:val="24"/>
                <w:szCs w:val="24"/>
              </w:rPr>
            </w:pPr>
            <w:r w:rsidRPr="002749EB">
              <w:rPr>
                <w:rFonts w:ascii="Times New Roman" w:hAnsi="Times New Roman"/>
                <w:b/>
                <w:sz w:val="24"/>
                <w:szCs w:val="24"/>
              </w:rPr>
              <w:t>рих</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87</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62</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lang w:val="en-US"/>
              </w:rPr>
            </w:pPr>
            <w:r w:rsidRPr="002749EB">
              <w:rPr>
                <w:rFonts w:ascii="Times New Roman" w:hAnsi="Times New Roman"/>
                <w:sz w:val="24"/>
                <w:szCs w:val="24"/>
                <w:lang w:val="en-US"/>
              </w:rPr>
              <w:t>82</w:t>
            </w:r>
          </w:p>
        </w:tc>
        <w:tc>
          <w:tcPr>
            <w:tcW w:w="0" w:type="auto"/>
            <w:tcBorders>
              <w:top w:val="single" w:sz="4" w:space="0" w:color="auto"/>
              <w:left w:val="single" w:sz="4" w:space="0" w:color="auto"/>
              <w:bottom w:val="single" w:sz="4" w:space="0" w:color="auto"/>
              <w:right w:val="single" w:sz="4" w:space="0" w:color="auto"/>
            </w:tcBorders>
          </w:tcPr>
          <w:p w:rsidR="008D014B" w:rsidRPr="00B529C6" w:rsidRDefault="008D014B" w:rsidP="00766ADB">
            <w:pPr>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8D014B" w:rsidRPr="00B529C6" w:rsidRDefault="008D014B" w:rsidP="00766ADB">
            <w:pPr>
              <w:rPr>
                <w:rFonts w:ascii="Times New Roman" w:hAnsi="Times New Roman"/>
                <w:sz w:val="24"/>
                <w:szCs w:val="24"/>
              </w:rPr>
            </w:pPr>
            <w:r>
              <w:rPr>
                <w:rFonts w:ascii="Times New Roman" w:hAnsi="Times New Roman"/>
                <w:sz w:val="24"/>
                <w:szCs w:val="24"/>
              </w:rPr>
              <w:t>37</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82</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74</w:t>
            </w:r>
          </w:p>
        </w:tc>
      </w:tr>
      <w:tr w:rsidR="008D014B" w:rsidRPr="00EE4D0D" w:rsidTr="00766ADB">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014B" w:rsidRDefault="008D014B" w:rsidP="00766ADB">
            <w:pPr>
              <w:rPr>
                <w:rFonts w:ascii="Times New Roman" w:hAnsi="Times New Roman"/>
                <w:b/>
                <w:sz w:val="24"/>
                <w:szCs w:val="24"/>
              </w:rPr>
            </w:pPr>
            <w:r w:rsidRPr="002749EB">
              <w:rPr>
                <w:rFonts w:ascii="Times New Roman" w:hAnsi="Times New Roman"/>
                <w:b/>
                <w:sz w:val="24"/>
                <w:szCs w:val="24"/>
              </w:rPr>
              <w:t>РП Куб</w:t>
            </w:r>
          </w:p>
          <w:p w:rsidR="008D014B" w:rsidRPr="002749EB" w:rsidRDefault="008D014B" w:rsidP="00766ADB">
            <w:pPr>
              <w:rPr>
                <w:rFonts w:ascii="Times New Roman" w:hAnsi="Times New Roman"/>
                <w:b/>
                <w:sz w:val="24"/>
                <w:szCs w:val="24"/>
              </w:rPr>
            </w:pPr>
            <w:proofErr w:type="spellStart"/>
            <w:r w:rsidRPr="002749EB">
              <w:rPr>
                <w:rFonts w:ascii="Times New Roman" w:hAnsi="Times New Roman"/>
                <w:b/>
                <w:sz w:val="24"/>
                <w:szCs w:val="24"/>
              </w:rPr>
              <w:t>рат</w:t>
            </w:r>
            <w:proofErr w:type="spellEnd"/>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44</w:t>
            </w:r>
          </w:p>
        </w:tc>
        <w:tc>
          <w:tcPr>
            <w:tcW w:w="0" w:type="auto"/>
            <w:tcBorders>
              <w:top w:val="single" w:sz="4" w:space="0" w:color="auto"/>
              <w:left w:val="single" w:sz="4" w:space="0" w:color="auto"/>
              <w:bottom w:val="single" w:sz="4" w:space="0" w:color="auto"/>
              <w:right w:val="single" w:sz="4" w:space="0" w:color="auto"/>
            </w:tcBorders>
          </w:tcPr>
          <w:p w:rsidR="008D014B" w:rsidRPr="00F66637" w:rsidRDefault="008D014B" w:rsidP="00766ADB">
            <w:pPr>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8D014B" w:rsidRPr="00F66637" w:rsidRDefault="008D014B" w:rsidP="00766ADB">
            <w:pPr>
              <w:rPr>
                <w:rFonts w:ascii="Times New Roman" w:hAnsi="Times New Roman"/>
                <w:sz w:val="24"/>
                <w:szCs w:val="24"/>
              </w:rPr>
            </w:pPr>
            <w:r>
              <w:rPr>
                <w:rFonts w:ascii="Times New Roman" w:hAnsi="Times New Roman"/>
                <w:sz w:val="24"/>
                <w:szCs w:val="24"/>
              </w:rPr>
              <w:t>49</w:t>
            </w:r>
          </w:p>
        </w:tc>
        <w:tc>
          <w:tcPr>
            <w:tcW w:w="0" w:type="auto"/>
            <w:tcBorders>
              <w:top w:val="single" w:sz="4" w:space="0" w:color="auto"/>
              <w:left w:val="single" w:sz="4" w:space="0" w:color="auto"/>
              <w:bottom w:val="single" w:sz="4" w:space="0" w:color="auto"/>
              <w:right w:val="single" w:sz="4" w:space="0" w:color="auto"/>
            </w:tcBorders>
          </w:tcPr>
          <w:p w:rsidR="008D014B" w:rsidRPr="00F66637" w:rsidRDefault="008D014B" w:rsidP="00766ADB">
            <w:pPr>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71</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36</w:t>
            </w:r>
          </w:p>
        </w:tc>
        <w:tc>
          <w:tcPr>
            <w:tcW w:w="0" w:type="auto"/>
            <w:tcBorders>
              <w:top w:val="single" w:sz="4" w:space="0" w:color="auto"/>
              <w:left w:val="single" w:sz="4" w:space="0" w:color="auto"/>
              <w:bottom w:val="single" w:sz="4" w:space="0" w:color="auto"/>
              <w:right w:val="single" w:sz="4" w:space="0" w:color="auto"/>
            </w:tcBorders>
          </w:tcPr>
          <w:p w:rsidR="008D014B" w:rsidRPr="002749EB" w:rsidRDefault="008D014B" w:rsidP="00766ADB">
            <w:pPr>
              <w:rPr>
                <w:rFonts w:ascii="Times New Roman" w:hAnsi="Times New Roman"/>
                <w:sz w:val="24"/>
                <w:szCs w:val="24"/>
              </w:rPr>
            </w:pPr>
            <w:r>
              <w:rPr>
                <w:rFonts w:ascii="Times New Roman" w:hAnsi="Times New Roman"/>
                <w:sz w:val="24"/>
                <w:szCs w:val="24"/>
              </w:rPr>
              <w:t>47</w:t>
            </w:r>
          </w:p>
        </w:tc>
      </w:tr>
    </w:tbl>
    <w:p w:rsidR="008D014B" w:rsidRDefault="008D014B" w:rsidP="008D014B">
      <w:pPr>
        <w:spacing w:after="0" w:line="240" w:lineRule="auto"/>
        <w:ind w:firstLine="709"/>
        <w:jc w:val="both"/>
        <w:rPr>
          <w:rFonts w:ascii="Times New Roman" w:hAnsi="Times New Roman"/>
          <w:color w:val="FF0000"/>
          <w:sz w:val="28"/>
          <w:szCs w:val="28"/>
        </w:rPr>
      </w:pPr>
    </w:p>
    <w:p w:rsidR="008D014B" w:rsidRPr="001D0C43" w:rsidRDefault="008D014B" w:rsidP="008D014B">
      <w:pPr>
        <w:spacing w:after="0" w:line="240" w:lineRule="auto"/>
        <w:ind w:firstLine="709"/>
        <w:jc w:val="both"/>
        <w:rPr>
          <w:rFonts w:ascii="Times New Roman" w:hAnsi="Times New Roman"/>
          <w:sz w:val="28"/>
          <w:szCs w:val="28"/>
        </w:rPr>
      </w:pPr>
      <w:r w:rsidRPr="001D0C43">
        <w:rPr>
          <w:rFonts w:ascii="Times New Roman" w:hAnsi="Times New Roman"/>
          <w:sz w:val="28"/>
          <w:szCs w:val="28"/>
        </w:rPr>
        <w:t>Общо внесените обвинителни актове за Разградски съдебен район през отчетния период са 377 ( 2018г. – 373; 2017г. – 382), внесените със сключване на споразумение дела са 146( 2018г. – 157; 2017г. – 148), а с предложение за освобождаване от наказателна отговорност и налагане на административно наказание са 150 дела ( 2018г. – 143; 2017г. – 184).  Налице е сравнителна устойчивост спрямо предходните години, което е показател за ефективност в дейността на прокурорите от съдебния окръг.</w:t>
      </w:r>
    </w:p>
    <w:p w:rsidR="008D014B" w:rsidRPr="00707492" w:rsidRDefault="008D014B" w:rsidP="008D014B">
      <w:pPr>
        <w:spacing w:after="0" w:line="240" w:lineRule="auto"/>
        <w:ind w:firstLine="709"/>
        <w:jc w:val="both"/>
        <w:rPr>
          <w:rFonts w:ascii="Times New Roman" w:hAnsi="Times New Roman"/>
          <w:color w:val="FF0000"/>
          <w:sz w:val="28"/>
          <w:szCs w:val="28"/>
        </w:rPr>
      </w:pPr>
    </w:p>
    <w:p w:rsidR="008D014B"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2368A1">
        <w:rPr>
          <w:rFonts w:ascii="Times New Roman" w:hAnsi="Times New Roman"/>
          <w:sz w:val="28"/>
          <w:szCs w:val="28"/>
        </w:rPr>
        <w:t xml:space="preserve">рез отчетния период </w:t>
      </w:r>
      <w:r>
        <w:rPr>
          <w:rFonts w:ascii="Times New Roman" w:hAnsi="Times New Roman"/>
          <w:sz w:val="28"/>
          <w:szCs w:val="28"/>
        </w:rPr>
        <w:t>на съд са предадени 740</w:t>
      </w:r>
      <w:r w:rsidRPr="00EE4D0D">
        <w:rPr>
          <w:rFonts w:ascii="Times New Roman" w:hAnsi="Times New Roman"/>
          <w:sz w:val="28"/>
          <w:szCs w:val="28"/>
        </w:rPr>
        <w:t xml:space="preserve"> лица</w:t>
      </w:r>
      <w:r>
        <w:rPr>
          <w:rFonts w:ascii="Times New Roman" w:hAnsi="Times New Roman"/>
          <w:sz w:val="28"/>
          <w:szCs w:val="28"/>
        </w:rPr>
        <w:t>, през 2018</w:t>
      </w:r>
      <w:r w:rsidRPr="00EE4D0D">
        <w:rPr>
          <w:rFonts w:ascii="Times New Roman" w:hAnsi="Times New Roman"/>
          <w:sz w:val="28"/>
          <w:szCs w:val="28"/>
        </w:rPr>
        <w:t xml:space="preserve"> г. –</w:t>
      </w:r>
      <w:r>
        <w:rPr>
          <w:rFonts w:ascii="Times New Roman" w:hAnsi="Times New Roman"/>
          <w:sz w:val="28"/>
          <w:szCs w:val="28"/>
        </w:rPr>
        <w:t xml:space="preserve"> 762, а през 2017 г. са били 788</w:t>
      </w:r>
      <w:r w:rsidRPr="00EE4D0D">
        <w:rPr>
          <w:rFonts w:ascii="Times New Roman" w:hAnsi="Times New Roman"/>
          <w:sz w:val="28"/>
          <w:szCs w:val="28"/>
        </w:rPr>
        <w:t xml:space="preserve"> лица. </w:t>
      </w:r>
      <w:r>
        <w:rPr>
          <w:rFonts w:ascii="Times New Roman" w:hAnsi="Times New Roman"/>
          <w:sz w:val="28"/>
          <w:szCs w:val="28"/>
        </w:rPr>
        <w:t>Съпоставянето на данните за 2019</w:t>
      </w:r>
      <w:r w:rsidRPr="00EE4D0D">
        <w:rPr>
          <w:rFonts w:ascii="Times New Roman" w:hAnsi="Times New Roman"/>
          <w:sz w:val="28"/>
          <w:szCs w:val="28"/>
        </w:rPr>
        <w:t xml:space="preserve"> г. с тези от предходните две години сочи, че предадени</w:t>
      </w:r>
      <w:r>
        <w:rPr>
          <w:rFonts w:ascii="Times New Roman" w:hAnsi="Times New Roman"/>
          <w:sz w:val="28"/>
          <w:szCs w:val="28"/>
        </w:rPr>
        <w:t>те на съд лица са намалели с 2,9</w:t>
      </w:r>
      <w:r w:rsidRPr="00EE4D0D">
        <w:rPr>
          <w:rFonts w:ascii="Times New Roman" w:hAnsi="Times New Roman"/>
          <w:sz w:val="28"/>
          <w:szCs w:val="28"/>
        </w:rPr>
        <w:t xml:space="preserve">% </w:t>
      </w:r>
      <w:r>
        <w:rPr>
          <w:rFonts w:ascii="Times New Roman" w:hAnsi="Times New Roman"/>
          <w:sz w:val="28"/>
          <w:szCs w:val="28"/>
        </w:rPr>
        <w:t xml:space="preserve">в сравнение с тези през 2018г. </w:t>
      </w:r>
      <w:r w:rsidRPr="00EE4D0D">
        <w:rPr>
          <w:rFonts w:ascii="Times New Roman" w:hAnsi="Times New Roman"/>
          <w:sz w:val="28"/>
          <w:szCs w:val="28"/>
        </w:rPr>
        <w:t>и съответ</w:t>
      </w:r>
      <w:r>
        <w:rPr>
          <w:rFonts w:ascii="Times New Roman" w:hAnsi="Times New Roman"/>
          <w:sz w:val="28"/>
          <w:szCs w:val="28"/>
        </w:rPr>
        <w:t>но с 6,5</w:t>
      </w:r>
      <w:r w:rsidRPr="00EE4D0D">
        <w:rPr>
          <w:rFonts w:ascii="Times New Roman" w:hAnsi="Times New Roman"/>
          <w:sz w:val="28"/>
          <w:szCs w:val="28"/>
        </w:rPr>
        <w:t>%</w:t>
      </w:r>
      <w:r>
        <w:rPr>
          <w:rFonts w:ascii="Times New Roman" w:hAnsi="Times New Roman"/>
          <w:sz w:val="28"/>
          <w:szCs w:val="28"/>
        </w:rPr>
        <w:t>с тези през 2017г.</w:t>
      </w:r>
    </w:p>
    <w:p w:rsidR="008D014B" w:rsidRPr="00EE4D0D" w:rsidRDefault="008D014B" w:rsidP="008D014B">
      <w:pPr>
        <w:spacing w:after="0" w:line="240" w:lineRule="auto"/>
        <w:jc w:val="both"/>
        <w:rPr>
          <w:rFonts w:ascii="Times New Roman" w:hAnsi="Times New Roman"/>
          <w:sz w:val="28"/>
          <w:szCs w:val="28"/>
        </w:rPr>
      </w:pPr>
    </w:p>
    <w:p w:rsidR="008D014B" w:rsidRDefault="008D014B" w:rsidP="008D014B">
      <w:pPr>
        <w:spacing w:after="0" w:line="240" w:lineRule="auto"/>
        <w:ind w:firstLine="709"/>
        <w:jc w:val="both"/>
        <w:rPr>
          <w:rFonts w:ascii="Times New Roman" w:hAnsi="Times New Roman"/>
          <w:sz w:val="28"/>
          <w:szCs w:val="28"/>
        </w:rPr>
      </w:pPr>
      <w:r w:rsidRPr="00E647CC">
        <w:rPr>
          <w:rFonts w:ascii="Times New Roman" w:hAnsi="Times New Roman"/>
          <w:sz w:val="28"/>
          <w:szCs w:val="28"/>
        </w:rPr>
        <w:t>През 2019 г. по внесените прокурорски актове в съда са образувани 684 дела</w:t>
      </w:r>
      <w:r>
        <w:rPr>
          <w:rFonts w:ascii="Times New Roman" w:hAnsi="Times New Roman"/>
          <w:sz w:val="28"/>
          <w:szCs w:val="28"/>
        </w:rPr>
        <w:t>. П</w:t>
      </w:r>
      <w:r w:rsidRPr="00E647CC">
        <w:rPr>
          <w:rFonts w:ascii="Times New Roman" w:hAnsi="Times New Roman"/>
          <w:sz w:val="28"/>
          <w:szCs w:val="28"/>
        </w:rPr>
        <w:t>рез 2018 г.</w:t>
      </w:r>
      <w:r>
        <w:rPr>
          <w:rFonts w:ascii="Times New Roman" w:hAnsi="Times New Roman"/>
          <w:sz w:val="28"/>
          <w:szCs w:val="28"/>
        </w:rPr>
        <w:t xml:space="preserve">те </w:t>
      </w:r>
      <w:r w:rsidRPr="00E647CC">
        <w:rPr>
          <w:rFonts w:ascii="Times New Roman" w:hAnsi="Times New Roman"/>
          <w:sz w:val="28"/>
          <w:szCs w:val="28"/>
        </w:rPr>
        <w:t xml:space="preserve">са били 679, </w:t>
      </w:r>
      <w:r>
        <w:rPr>
          <w:rFonts w:ascii="Times New Roman" w:hAnsi="Times New Roman"/>
          <w:sz w:val="28"/>
          <w:szCs w:val="28"/>
        </w:rPr>
        <w:t xml:space="preserve">а </w:t>
      </w:r>
      <w:r w:rsidRPr="00E647CC">
        <w:rPr>
          <w:rFonts w:ascii="Times New Roman" w:hAnsi="Times New Roman"/>
          <w:sz w:val="28"/>
          <w:szCs w:val="28"/>
        </w:rPr>
        <w:t xml:space="preserve">през 2017 г. - 724, или </w:t>
      </w:r>
      <w:r>
        <w:rPr>
          <w:rFonts w:ascii="Times New Roman" w:hAnsi="Times New Roman"/>
          <w:sz w:val="28"/>
          <w:szCs w:val="28"/>
        </w:rPr>
        <w:t xml:space="preserve">е налице </w:t>
      </w:r>
      <w:r w:rsidRPr="00E647CC">
        <w:rPr>
          <w:rFonts w:ascii="Times New Roman" w:hAnsi="Times New Roman"/>
          <w:sz w:val="28"/>
          <w:szCs w:val="28"/>
        </w:rPr>
        <w:t xml:space="preserve">устойчивост спрямо 2018 г. и спад с 5,85% спрямо 2017 г. В броя на </w:t>
      </w:r>
      <w:r w:rsidRPr="00E647CC">
        <w:rPr>
          <w:rFonts w:ascii="Times New Roman" w:hAnsi="Times New Roman"/>
          <w:sz w:val="28"/>
          <w:szCs w:val="28"/>
        </w:rPr>
        <w:lastRenderedPageBreak/>
        <w:t xml:space="preserve">образуваните дела </w:t>
      </w:r>
      <w:r w:rsidRPr="00EE4D0D">
        <w:rPr>
          <w:rFonts w:ascii="Times New Roman" w:hAnsi="Times New Roman"/>
          <w:sz w:val="28"/>
          <w:szCs w:val="28"/>
        </w:rPr>
        <w:t>се включват и внесените в края на предходния отчетен период прокурорски актове, по които делата са образувани през 201</w:t>
      </w:r>
      <w:r>
        <w:rPr>
          <w:rFonts w:ascii="Times New Roman" w:hAnsi="Times New Roman"/>
          <w:sz w:val="28"/>
          <w:szCs w:val="28"/>
        </w:rPr>
        <w:t>9</w:t>
      </w:r>
      <w:r w:rsidRPr="00EE4D0D">
        <w:rPr>
          <w:rFonts w:ascii="Times New Roman" w:hAnsi="Times New Roman"/>
          <w:sz w:val="28"/>
          <w:szCs w:val="28"/>
        </w:rPr>
        <w:t xml:space="preserve"> г.</w:t>
      </w:r>
    </w:p>
    <w:p w:rsidR="008D014B" w:rsidRPr="00EE4D0D" w:rsidRDefault="008D014B" w:rsidP="008D014B">
      <w:pPr>
        <w:spacing w:after="0" w:line="240" w:lineRule="auto"/>
        <w:ind w:firstLine="709"/>
        <w:jc w:val="both"/>
        <w:rPr>
          <w:rFonts w:ascii="Times New Roman" w:hAnsi="Times New Roman"/>
          <w:sz w:val="28"/>
          <w:szCs w:val="28"/>
        </w:rPr>
      </w:pPr>
    </w:p>
    <w:p w:rsidR="008D014B" w:rsidRPr="00EE4D0D"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 xml:space="preserve">Прокурорите от съдебния район са </w:t>
      </w:r>
      <w:r>
        <w:rPr>
          <w:rFonts w:ascii="Times New Roman" w:hAnsi="Times New Roman"/>
          <w:sz w:val="28"/>
          <w:szCs w:val="28"/>
        </w:rPr>
        <w:t xml:space="preserve">участвали в разглеждането на 979 </w:t>
      </w:r>
      <w:r w:rsidRPr="00EE4D0D">
        <w:rPr>
          <w:rFonts w:ascii="Times New Roman" w:hAnsi="Times New Roman"/>
          <w:sz w:val="28"/>
          <w:szCs w:val="28"/>
        </w:rPr>
        <w:t xml:space="preserve">наказателни </w:t>
      </w:r>
      <w:r>
        <w:rPr>
          <w:rFonts w:ascii="Times New Roman" w:hAnsi="Times New Roman"/>
          <w:sz w:val="28"/>
          <w:szCs w:val="28"/>
        </w:rPr>
        <w:t>дела(2018 г. – 857; 2017 г. – 960), по които са проведени 1180 съдебни заседания, от които 27</w:t>
      </w:r>
      <w:r w:rsidRPr="00EE4D0D">
        <w:rPr>
          <w:rFonts w:ascii="Times New Roman" w:hAnsi="Times New Roman"/>
          <w:sz w:val="28"/>
          <w:szCs w:val="28"/>
        </w:rPr>
        <w:t>2 участия в разпоредителни заседания.</w:t>
      </w:r>
    </w:p>
    <w:p w:rsidR="008D014B" w:rsidRPr="00E0321C" w:rsidRDefault="008D014B" w:rsidP="008D014B">
      <w:pPr>
        <w:spacing w:after="0" w:line="240" w:lineRule="auto"/>
        <w:ind w:firstLine="709"/>
        <w:jc w:val="both"/>
        <w:rPr>
          <w:rFonts w:ascii="Times New Roman" w:hAnsi="Times New Roman"/>
          <w:sz w:val="28"/>
          <w:szCs w:val="28"/>
        </w:rPr>
      </w:pPr>
      <w:r w:rsidRPr="00E0321C">
        <w:rPr>
          <w:rFonts w:ascii="Times New Roman" w:hAnsi="Times New Roman"/>
          <w:sz w:val="28"/>
          <w:szCs w:val="28"/>
        </w:rPr>
        <w:t>Броят на делата по наказателно-съдебния надзор през 2019</w:t>
      </w:r>
      <w:r>
        <w:rPr>
          <w:rFonts w:ascii="Times New Roman" w:hAnsi="Times New Roman"/>
          <w:sz w:val="28"/>
          <w:szCs w:val="28"/>
        </w:rPr>
        <w:t xml:space="preserve">г. се </w:t>
      </w:r>
      <w:r w:rsidRPr="00E0321C">
        <w:rPr>
          <w:rFonts w:ascii="Times New Roman" w:hAnsi="Times New Roman"/>
          <w:sz w:val="28"/>
          <w:szCs w:val="28"/>
        </w:rPr>
        <w:t xml:space="preserve"> увеличил с 12,46% спрямо предходната година и с 1,94% спрямо 2017 г.</w:t>
      </w:r>
    </w:p>
    <w:p w:rsidR="008D014B" w:rsidRPr="006334DD" w:rsidRDefault="008D014B" w:rsidP="008D014B">
      <w:pPr>
        <w:spacing w:after="0" w:line="240" w:lineRule="auto"/>
        <w:ind w:firstLine="709"/>
        <w:jc w:val="both"/>
        <w:rPr>
          <w:rFonts w:ascii="Times New Roman" w:hAnsi="Times New Roman"/>
          <w:sz w:val="28"/>
          <w:szCs w:val="28"/>
        </w:rPr>
      </w:pPr>
      <w:r w:rsidRPr="006334DD">
        <w:rPr>
          <w:rFonts w:ascii="Times New Roman" w:hAnsi="Times New Roman"/>
          <w:sz w:val="28"/>
          <w:szCs w:val="28"/>
        </w:rPr>
        <w:t xml:space="preserve">Спрямо предходната година </w:t>
      </w:r>
      <w:r>
        <w:rPr>
          <w:rFonts w:ascii="Times New Roman" w:hAnsi="Times New Roman"/>
          <w:sz w:val="28"/>
          <w:szCs w:val="28"/>
        </w:rPr>
        <w:t>е намалял</w:t>
      </w:r>
      <w:r w:rsidRPr="006334DD">
        <w:rPr>
          <w:rFonts w:ascii="Times New Roman" w:hAnsi="Times New Roman"/>
          <w:sz w:val="28"/>
          <w:szCs w:val="28"/>
        </w:rPr>
        <w:t xml:space="preserve"> броят на проведените съдебни заседания</w:t>
      </w:r>
      <w:r>
        <w:rPr>
          <w:rFonts w:ascii="Times New Roman" w:hAnsi="Times New Roman"/>
          <w:sz w:val="28"/>
          <w:szCs w:val="28"/>
        </w:rPr>
        <w:t xml:space="preserve"> – с</w:t>
      </w:r>
      <w:r w:rsidRPr="006334DD">
        <w:rPr>
          <w:rFonts w:ascii="Times New Roman" w:hAnsi="Times New Roman"/>
          <w:sz w:val="28"/>
          <w:szCs w:val="28"/>
        </w:rPr>
        <w:t xml:space="preserve"> 14,07%.</w:t>
      </w:r>
    </w:p>
    <w:p w:rsidR="008D014B" w:rsidRDefault="008D014B" w:rsidP="008D014B">
      <w:pPr>
        <w:spacing w:after="0" w:line="240" w:lineRule="auto"/>
        <w:jc w:val="both"/>
        <w:rPr>
          <w:rFonts w:ascii="Times New Roman" w:hAnsi="Times New Roman"/>
          <w:sz w:val="28"/>
          <w:szCs w:val="28"/>
        </w:rPr>
      </w:pPr>
    </w:p>
    <w:p w:rsidR="008D014B" w:rsidRPr="00E46A1D" w:rsidRDefault="008D014B" w:rsidP="008D014B">
      <w:pPr>
        <w:spacing w:after="0" w:line="240" w:lineRule="auto"/>
        <w:ind w:firstLine="709"/>
        <w:jc w:val="both"/>
        <w:rPr>
          <w:rFonts w:ascii="Times New Roman" w:hAnsi="Times New Roman"/>
          <w:sz w:val="28"/>
          <w:szCs w:val="28"/>
        </w:rPr>
      </w:pPr>
      <w:r w:rsidRPr="00E46A1D">
        <w:rPr>
          <w:rFonts w:ascii="Times New Roman" w:hAnsi="Times New Roman"/>
          <w:sz w:val="28"/>
          <w:szCs w:val="28"/>
        </w:rPr>
        <w:t xml:space="preserve">През отчетната година решените от съда дела са 663, през 2018 г. са били 691, а през 2017 г. </w:t>
      </w:r>
      <w:r>
        <w:rPr>
          <w:rFonts w:ascii="Times New Roman" w:hAnsi="Times New Roman"/>
          <w:sz w:val="28"/>
          <w:szCs w:val="28"/>
        </w:rPr>
        <w:t>–</w:t>
      </w:r>
      <w:r w:rsidRPr="00E46A1D">
        <w:rPr>
          <w:rFonts w:ascii="Times New Roman" w:hAnsi="Times New Roman"/>
          <w:sz w:val="28"/>
          <w:szCs w:val="28"/>
        </w:rPr>
        <w:t xml:space="preserve"> 771, или </w:t>
      </w:r>
      <w:r>
        <w:rPr>
          <w:rFonts w:ascii="Times New Roman" w:hAnsi="Times New Roman"/>
          <w:sz w:val="28"/>
          <w:szCs w:val="28"/>
        </w:rPr>
        <w:t xml:space="preserve">е налице </w:t>
      </w:r>
      <w:r w:rsidRPr="00E46A1D">
        <w:rPr>
          <w:rFonts w:ascii="Times New Roman" w:hAnsi="Times New Roman"/>
          <w:sz w:val="28"/>
          <w:szCs w:val="28"/>
        </w:rPr>
        <w:t>с</w:t>
      </w:r>
      <w:r>
        <w:rPr>
          <w:rFonts w:ascii="Times New Roman" w:hAnsi="Times New Roman"/>
          <w:sz w:val="28"/>
          <w:szCs w:val="28"/>
        </w:rPr>
        <w:t xml:space="preserve">пад с 4,22% спрямо 2018 г. и с </w:t>
      </w:r>
      <w:r w:rsidRPr="00E46A1D">
        <w:rPr>
          <w:rFonts w:ascii="Times New Roman" w:hAnsi="Times New Roman"/>
          <w:sz w:val="28"/>
          <w:szCs w:val="28"/>
        </w:rPr>
        <w:t>16,29% спрямо 2017 г.</w:t>
      </w:r>
    </w:p>
    <w:p w:rsidR="008D014B"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t>През 2019</w:t>
      </w:r>
      <w:r w:rsidRPr="00586AA7">
        <w:rPr>
          <w:rFonts w:ascii="Times New Roman" w:hAnsi="Times New Roman"/>
          <w:sz w:val="28"/>
          <w:szCs w:val="28"/>
        </w:rPr>
        <w:t xml:space="preserve"> година съдилищата са постановили </w:t>
      </w:r>
      <w:r>
        <w:rPr>
          <w:rFonts w:ascii="Times New Roman" w:hAnsi="Times New Roman"/>
          <w:sz w:val="28"/>
          <w:szCs w:val="28"/>
        </w:rPr>
        <w:t xml:space="preserve">съдебни решения по </w:t>
      </w:r>
      <w:r w:rsidRPr="00586AA7">
        <w:rPr>
          <w:rFonts w:ascii="Times New Roman" w:hAnsi="Times New Roman"/>
          <w:sz w:val="28"/>
          <w:szCs w:val="28"/>
        </w:rPr>
        <w:t>377</w:t>
      </w:r>
      <w:r>
        <w:rPr>
          <w:rFonts w:ascii="Times New Roman" w:hAnsi="Times New Roman"/>
          <w:sz w:val="28"/>
          <w:szCs w:val="28"/>
        </w:rPr>
        <w:t>от</w:t>
      </w:r>
      <w:r w:rsidRPr="00586AA7">
        <w:rPr>
          <w:rFonts w:ascii="Times New Roman" w:hAnsi="Times New Roman"/>
          <w:sz w:val="28"/>
          <w:szCs w:val="28"/>
        </w:rPr>
        <w:t xml:space="preserve"> внесените обвинителни актове (2018г. – 384; 2017г. – 437</w:t>
      </w:r>
      <w:r>
        <w:rPr>
          <w:rFonts w:ascii="Times New Roman" w:hAnsi="Times New Roman"/>
          <w:sz w:val="28"/>
          <w:szCs w:val="28"/>
        </w:rPr>
        <w:t xml:space="preserve">), </w:t>
      </w:r>
      <w:proofErr w:type="spellStart"/>
      <w:r>
        <w:rPr>
          <w:rFonts w:ascii="Times New Roman" w:hAnsi="Times New Roman"/>
          <w:sz w:val="28"/>
          <w:szCs w:val="28"/>
        </w:rPr>
        <w:t>катое</w:t>
      </w:r>
      <w:proofErr w:type="spellEnd"/>
      <w:r>
        <w:rPr>
          <w:rFonts w:ascii="Times New Roman" w:hAnsi="Times New Roman"/>
          <w:sz w:val="28"/>
          <w:szCs w:val="28"/>
        </w:rPr>
        <w:t xml:space="preserve"> налице сравнителна </w:t>
      </w:r>
      <w:r w:rsidRPr="00586AA7">
        <w:rPr>
          <w:rFonts w:ascii="Times New Roman" w:hAnsi="Times New Roman"/>
          <w:sz w:val="28"/>
          <w:szCs w:val="28"/>
        </w:rPr>
        <w:t xml:space="preserve">устойчивост спрямо 2018 г. и </w:t>
      </w:r>
      <w:r>
        <w:rPr>
          <w:rFonts w:ascii="Times New Roman" w:hAnsi="Times New Roman"/>
          <w:sz w:val="28"/>
          <w:szCs w:val="28"/>
        </w:rPr>
        <w:t xml:space="preserve">спад </w:t>
      </w:r>
      <w:r w:rsidRPr="00586AA7">
        <w:rPr>
          <w:rFonts w:ascii="Times New Roman" w:hAnsi="Times New Roman"/>
          <w:sz w:val="28"/>
          <w:szCs w:val="28"/>
        </w:rPr>
        <w:t xml:space="preserve">с 15,92% спрямо 2017 г. </w:t>
      </w:r>
    </w:p>
    <w:p w:rsidR="008D014B" w:rsidRDefault="008D014B" w:rsidP="008D014B">
      <w:pPr>
        <w:spacing w:after="0" w:line="240" w:lineRule="auto"/>
        <w:ind w:firstLine="709"/>
        <w:jc w:val="both"/>
        <w:rPr>
          <w:rFonts w:ascii="Times New Roman" w:hAnsi="Times New Roman"/>
          <w:sz w:val="28"/>
          <w:szCs w:val="28"/>
        </w:rPr>
      </w:pPr>
      <w:r w:rsidRPr="00586AA7">
        <w:rPr>
          <w:rFonts w:ascii="Times New Roman" w:hAnsi="Times New Roman"/>
          <w:sz w:val="28"/>
          <w:szCs w:val="28"/>
        </w:rPr>
        <w:t xml:space="preserve">С постановяване на </w:t>
      </w:r>
      <w:r w:rsidRPr="00EE4D0D">
        <w:rPr>
          <w:rFonts w:ascii="Times New Roman" w:hAnsi="Times New Roman"/>
          <w:sz w:val="28"/>
          <w:szCs w:val="28"/>
        </w:rPr>
        <w:t xml:space="preserve">осъдителна </w:t>
      </w:r>
      <w:r>
        <w:rPr>
          <w:rFonts w:ascii="Times New Roman" w:hAnsi="Times New Roman"/>
          <w:sz w:val="28"/>
          <w:szCs w:val="28"/>
        </w:rPr>
        <w:t>присъда по тях са приключени 136 дела, което е 36</w:t>
      </w:r>
      <w:r w:rsidRPr="00EE4D0D">
        <w:rPr>
          <w:rFonts w:ascii="Times New Roman" w:hAnsi="Times New Roman"/>
          <w:sz w:val="28"/>
          <w:szCs w:val="28"/>
        </w:rPr>
        <w:t>% от решенията по обвинителните актове.</w:t>
      </w:r>
    </w:p>
    <w:p w:rsidR="008D014B"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Приключили със </w:t>
      </w:r>
      <w:r w:rsidRPr="00324792">
        <w:rPr>
          <w:rFonts w:ascii="Times New Roman" w:hAnsi="Times New Roman"/>
          <w:sz w:val="28"/>
          <w:szCs w:val="28"/>
        </w:rPr>
        <w:t>сключване на споразумение по реда на чл. 384 от НПК</w:t>
      </w:r>
      <w:r>
        <w:rPr>
          <w:rFonts w:ascii="Times New Roman" w:hAnsi="Times New Roman"/>
          <w:sz w:val="28"/>
          <w:szCs w:val="28"/>
        </w:rPr>
        <w:t xml:space="preserve"> са 198 дела, което е 52,5</w:t>
      </w:r>
      <w:r w:rsidRPr="00324792">
        <w:rPr>
          <w:rFonts w:ascii="Times New Roman" w:hAnsi="Times New Roman"/>
          <w:sz w:val="28"/>
          <w:szCs w:val="28"/>
        </w:rPr>
        <w:t>% от решенията по обвинителни актове.</w:t>
      </w:r>
    </w:p>
    <w:p w:rsidR="008D014B" w:rsidRPr="00EE4D0D"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С решение за освобождаване от наказателна отговорност с налагане на административно наказание по реда н</w:t>
      </w:r>
      <w:r>
        <w:rPr>
          <w:rFonts w:ascii="Times New Roman" w:hAnsi="Times New Roman"/>
          <w:sz w:val="28"/>
          <w:szCs w:val="28"/>
        </w:rPr>
        <w:t>а чл. 78а от НК са решени 13 дела или 3,45</w:t>
      </w:r>
      <w:r w:rsidRPr="00EE4D0D">
        <w:rPr>
          <w:rFonts w:ascii="Times New Roman" w:hAnsi="Times New Roman"/>
          <w:sz w:val="28"/>
          <w:szCs w:val="28"/>
        </w:rPr>
        <w:t>% от решенията.</w:t>
      </w:r>
    </w:p>
    <w:p w:rsidR="008D014B"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По реда на съкратеното съ</w:t>
      </w:r>
      <w:r>
        <w:rPr>
          <w:rFonts w:ascii="Times New Roman" w:hAnsi="Times New Roman"/>
          <w:sz w:val="28"/>
          <w:szCs w:val="28"/>
        </w:rPr>
        <w:t>дебно следствие са приключени 67 дела, или 17,7</w:t>
      </w:r>
      <w:r w:rsidRPr="00EE4D0D">
        <w:rPr>
          <w:rFonts w:ascii="Times New Roman" w:hAnsi="Times New Roman"/>
          <w:sz w:val="28"/>
          <w:szCs w:val="28"/>
        </w:rPr>
        <w:t xml:space="preserve">% от решенията по обвинителни актове. </w:t>
      </w:r>
    </w:p>
    <w:p w:rsidR="008D014B" w:rsidRDefault="008D014B" w:rsidP="008D014B">
      <w:pPr>
        <w:spacing w:after="0" w:line="240" w:lineRule="auto"/>
        <w:ind w:firstLine="709"/>
        <w:jc w:val="both"/>
        <w:rPr>
          <w:rFonts w:ascii="Times New Roman" w:hAnsi="Times New Roman"/>
          <w:sz w:val="28"/>
          <w:szCs w:val="28"/>
        </w:rPr>
      </w:pPr>
    </w:p>
    <w:p w:rsidR="008D014B" w:rsidRDefault="008D014B" w:rsidP="008D014B">
      <w:pPr>
        <w:spacing w:after="0" w:line="240" w:lineRule="auto"/>
        <w:ind w:firstLine="709"/>
        <w:jc w:val="both"/>
        <w:rPr>
          <w:rFonts w:ascii="Times New Roman" w:hAnsi="Times New Roman"/>
          <w:sz w:val="28"/>
          <w:szCs w:val="28"/>
        </w:rPr>
      </w:pPr>
    </w:p>
    <w:p w:rsidR="008D014B" w:rsidRDefault="008D014B" w:rsidP="008D014B">
      <w:pPr>
        <w:spacing w:after="0" w:line="240" w:lineRule="auto"/>
        <w:ind w:firstLine="709"/>
        <w:jc w:val="both"/>
        <w:rPr>
          <w:rFonts w:ascii="Times New Roman" w:hAnsi="Times New Roman"/>
          <w:color w:val="FF0000"/>
          <w:sz w:val="28"/>
          <w:szCs w:val="28"/>
        </w:rPr>
      </w:pPr>
      <w:r w:rsidRPr="00382DD5">
        <w:rPr>
          <w:rFonts w:ascii="Times New Roman" w:hAnsi="Times New Roman"/>
          <w:sz w:val="28"/>
          <w:szCs w:val="28"/>
        </w:rPr>
        <w:t>През отчетната година са върнати на прокурора 1</w:t>
      </w:r>
      <w:r w:rsidRPr="00A1734B">
        <w:rPr>
          <w:rFonts w:ascii="Times New Roman" w:hAnsi="Times New Roman"/>
          <w:sz w:val="28"/>
          <w:szCs w:val="28"/>
        </w:rPr>
        <w:t>5</w:t>
      </w:r>
      <w:r w:rsidRPr="00382DD5">
        <w:rPr>
          <w:rFonts w:ascii="Times New Roman" w:hAnsi="Times New Roman"/>
          <w:sz w:val="28"/>
          <w:szCs w:val="28"/>
        </w:rPr>
        <w:t xml:space="preserve"> дела</w:t>
      </w:r>
      <w:r>
        <w:rPr>
          <w:rFonts w:ascii="Times New Roman" w:hAnsi="Times New Roman"/>
          <w:sz w:val="28"/>
          <w:szCs w:val="28"/>
        </w:rPr>
        <w:t xml:space="preserve"> по внесени обвинителни актове</w:t>
      </w:r>
      <w:r w:rsidRPr="00382DD5">
        <w:rPr>
          <w:rFonts w:ascii="Times New Roman" w:hAnsi="Times New Roman"/>
          <w:sz w:val="28"/>
          <w:szCs w:val="28"/>
        </w:rPr>
        <w:t xml:space="preserve">, </w:t>
      </w:r>
      <w:r w:rsidRPr="006004CD">
        <w:rPr>
          <w:rFonts w:ascii="Times New Roman" w:hAnsi="Times New Roman"/>
          <w:sz w:val="28"/>
          <w:szCs w:val="28"/>
        </w:rPr>
        <w:t xml:space="preserve">съставляващи 3,98% от </w:t>
      </w:r>
      <w:r>
        <w:rPr>
          <w:rFonts w:ascii="Times New Roman" w:hAnsi="Times New Roman"/>
          <w:sz w:val="28"/>
          <w:szCs w:val="28"/>
        </w:rPr>
        <w:t>всички внесени обвинителни актове.</w:t>
      </w:r>
    </w:p>
    <w:p w:rsidR="008D014B" w:rsidRPr="00E8436A" w:rsidRDefault="008D014B" w:rsidP="008D014B">
      <w:pPr>
        <w:spacing w:after="0" w:line="240" w:lineRule="auto"/>
        <w:ind w:firstLine="709"/>
        <w:jc w:val="both"/>
        <w:rPr>
          <w:rFonts w:ascii="Times New Roman" w:hAnsi="Times New Roman"/>
          <w:sz w:val="28"/>
          <w:szCs w:val="28"/>
        </w:rPr>
      </w:pPr>
    </w:p>
    <w:p w:rsidR="008D014B" w:rsidRPr="00767BAD" w:rsidRDefault="008D014B" w:rsidP="008D014B">
      <w:pPr>
        <w:spacing w:after="0" w:line="240" w:lineRule="auto"/>
        <w:ind w:firstLine="709"/>
        <w:jc w:val="both"/>
        <w:rPr>
          <w:rFonts w:ascii="Times New Roman" w:hAnsi="Times New Roman"/>
          <w:sz w:val="28"/>
          <w:szCs w:val="28"/>
        </w:rPr>
      </w:pPr>
      <w:r w:rsidRPr="00767BAD">
        <w:rPr>
          <w:rFonts w:ascii="Times New Roman" w:hAnsi="Times New Roman"/>
          <w:sz w:val="28"/>
          <w:szCs w:val="28"/>
        </w:rPr>
        <w:t>По две дела на Районна прокуратура Разград (вх. № 982/2018г. и вх. № 442/2019г.) съдът е установил очевидни фактически грешки в обвинителния акт, по смисъла на чл. 248а от НПК. Грешките са били отстранени.</w:t>
      </w:r>
    </w:p>
    <w:p w:rsidR="008D014B" w:rsidRPr="001D0C43" w:rsidRDefault="008D014B" w:rsidP="008D014B">
      <w:pPr>
        <w:spacing w:after="0" w:line="240" w:lineRule="auto"/>
        <w:ind w:firstLine="709"/>
        <w:jc w:val="both"/>
        <w:rPr>
          <w:rFonts w:ascii="Times New Roman" w:hAnsi="Times New Roman"/>
          <w:sz w:val="28"/>
          <w:szCs w:val="28"/>
        </w:rPr>
      </w:pPr>
      <w:r w:rsidRPr="001D0C43">
        <w:rPr>
          <w:rFonts w:ascii="Times New Roman" w:hAnsi="Times New Roman"/>
          <w:sz w:val="28"/>
          <w:szCs w:val="28"/>
        </w:rPr>
        <w:t xml:space="preserve">През анализирания период има две прекратени дела в съдебна фаза, като и двете са по внесен обвинителен акт от Районна прокуратура Разград, съответно вх. № 1118/2018 г. – прекратено на </w:t>
      </w:r>
      <w:proofErr w:type="spellStart"/>
      <w:r w:rsidRPr="001D0C43">
        <w:rPr>
          <w:rFonts w:ascii="Times New Roman" w:hAnsi="Times New Roman"/>
          <w:sz w:val="28"/>
          <w:szCs w:val="28"/>
        </w:rPr>
        <w:t>осн</w:t>
      </w:r>
      <w:proofErr w:type="spellEnd"/>
      <w:r w:rsidRPr="001D0C43">
        <w:rPr>
          <w:rFonts w:ascii="Times New Roman" w:hAnsi="Times New Roman"/>
          <w:sz w:val="28"/>
          <w:szCs w:val="28"/>
        </w:rPr>
        <w:t xml:space="preserve">. чл. 24, ал. 1, т. 7 от НПК и вх. № 331/2019 г. – прекратено на </w:t>
      </w:r>
      <w:proofErr w:type="spellStart"/>
      <w:r w:rsidRPr="001D0C43">
        <w:rPr>
          <w:rFonts w:ascii="Times New Roman" w:hAnsi="Times New Roman"/>
          <w:sz w:val="28"/>
          <w:szCs w:val="28"/>
        </w:rPr>
        <w:t>осн</w:t>
      </w:r>
      <w:proofErr w:type="spellEnd"/>
      <w:r w:rsidRPr="001D0C43">
        <w:rPr>
          <w:rFonts w:ascii="Times New Roman" w:hAnsi="Times New Roman"/>
          <w:sz w:val="28"/>
          <w:szCs w:val="28"/>
        </w:rPr>
        <w:t>.  чл. 24, ал. 1, т. 8а от НПК.</w:t>
      </w:r>
    </w:p>
    <w:p w:rsidR="008D014B" w:rsidRPr="00A1734B" w:rsidRDefault="008D014B" w:rsidP="008D014B">
      <w:pPr>
        <w:spacing w:after="0" w:line="240" w:lineRule="auto"/>
        <w:ind w:firstLine="709"/>
        <w:jc w:val="both"/>
        <w:rPr>
          <w:rFonts w:ascii="Times New Roman" w:hAnsi="Times New Roman"/>
          <w:sz w:val="28"/>
          <w:szCs w:val="28"/>
        </w:rPr>
      </w:pPr>
    </w:p>
    <w:p w:rsidR="008D014B" w:rsidRPr="00A1734B" w:rsidRDefault="008D014B" w:rsidP="008D014B">
      <w:pPr>
        <w:spacing w:after="0" w:line="240" w:lineRule="auto"/>
        <w:ind w:firstLine="709"/>
        <w:jc w:val="both"/>
        <w:rPr>
          <w:rFonts w:ascii="Times New Roman" w:hAnsi="Times New Roman"/>
          <w:color w:val="FF0000"/>
          <w:sz w:val="28"/>
          <w:szCs w:val="28"/>
        </w:rPr>
      </w:pPr>
    </w:p>
    <w:p w:rsidR="008D014B" w:rsidRDefault="008D014B" w:rsidP="008D014B">
      <w:pPr>
        <w:spacing w:after="0" w:line="240" w:lineRule="auto"/>
        <w:ind w:firstLine="709"/>
        <w:jc w:val="both"/>
        <w:rPr>
          <w:rFonts w:ascii="Times New Roman" w:hAnsi="Times New Roman"/>
          <w:sz w:val="28"/>
          <w:szCs w:val="28"/>
        </w:rPr>
      </w:pPr>
      <w:r w:rsidRPr="00DF779B">
        <w:rPr>
          <w:rFonts w:ascii="Times New Roman" w:hAnsi="Times New Roman"/>
          <w:sz w:val="28"/>
          <w:szCs w:val="28"/>
        </w:rPr>
        <w:t>За 2019 година от</w:t>
      </w:r>
      <w:r>
        <w:rPr>
          <w:rFonts w:ascii="Times New Roman" w:hAnsi="Times New Roman"/>
          <w:sz w:val="28"/>
          <w:szCs w:val="28"/>
        </w:rPr>
        <w:t xml:space="preserve"> съда са разгледани и решени 149</w:t>
      </w:r>
      <w:r w:rsidRPr="00DF779B">
        <w:rPr>
          <w:rFonts w:ascii="Times New Roman" w:hAnsi="Times New Roman"/>
          <w:sz w:val="28"/>
          <w:szCs w:val="28"/>
        </w:rPr>
        <w:t xml:space="preserve"> споразумения, внесени по реда на чл. 381 от НПК</w:t>
      </w:r>
      <w:r>
        <w:rPr>
          <w:rFonts w:ascii="Times New Roman" w:hAnsi="Times New Roman"/>
          <w:sz w:val="28"/>
          <w:szCs w:val="28"/>
        </w:rPr>
        <w:t>,</w:t>
      </w:r>
      <w:r w:rsidRPr="00DF779B">
        <w:rPr>
          <w:rFonts w:ascii="Times New Roman" w:hAnsi="Times New Roman"/>
          <w:sz w:val="28"/>
          <w:szCs w:val="28"/>
        </w:rPr>
        <w:t xml:space="preserve"> след приключване на досъдебното производство (2018 г. – 157; 2017 г. – 150), или </w:t>
      </w:r>
      <w:proofErr w:type="spellStart"/>
      <w:r w:rsidRPr="00A175B7">
        <w:rPr>
          <w:rFonts w:ascii="Times New Roman" w:hAnsi="Times New Roman"/>
          <w:sz w:val="28"/>
          <w:szCs w:val="28"/>
        </w:rPr>
        <w:t>или</w:t>
      </w:r>
      <w:proofErr w:type="spellEnd"/>
      <w:r w:rsidRPr="00A175B7">
        <w:rPr>
          <w:rFonts w:ascii="Times New Roman" w:hAnsi="Times New Roman"/>
          <w:sz w:val="28"/>
          <w:szCs w:val="28"/>
        </w:rPr>
        <w:t xml:space="preserve"> почти няма промяна в </w:t>
      </w:r>
      <w:r w:rsidRPr="00A175B7">
        <w:rPr>
          <w:rFonts w:ascii="Times New Roman" w:hAnsi="Times New Roman"/>
          <w:sz w:val="28"/>
          <w:szCs w:val="28"/>
        </w:rPr>
        <w:lastRenderedPageBreak/>
        <w:t>данните при съпоставката с тези на 2018 г. и 2017 г.</w:t>
      </w:r>
      <w:r w:rsidRPr="007B05E8">
        <w:rPr>
          <w:rFonts w:ascii="Times New Roman" w:hAnsi="Times New Roman"/>
          <w:sz w:val="28"/>
          <w:szCs w:val="28"/>
        </w:rPr>
        <w:t>Четири от внесените споразумения не са били одобр</w:t>
      </w:r>
      <w:r>
        <w:rPr>
          <w:rFonts w:ascii="Times New Roman" w:hAnsi="Times New Roman"/>
          <w:sz w:val="28"/>
          <w:szCs w:val="28"/>
        </w:rPr>
        <w:t xml:space="preserve">ени от съда, от които едно на Районна </w:t>
      </w:r>
      <w:proofErr w:type="spellStart"/>
      <w:r>
        <w:rPr>
          <w:rFonts w:ascii="Times New Roman" w:hAnsi="Times New Roman"/>
          <w:sz w:val="28"/>
          <w:szCs w:val="28"/>
        </w:rPr>
        <w:t>прокуратура</w:t>
      </w:r>
      <w:r w:rsidRPr="007B05E8">
        <w:rPr>
          <w:rFonts w:ascii="Times New Roman" w:hAnsi="Times New Roman"/>
          <w:sz w:val="28"/>
          <w:szCs w:val="28"/>
        </w:rPr>
        <w:t>Разград</w:t>
      </w:r>
      <w:proofErr w:type="spellEnd"/>
      <w:r w:rsidRPr="007B05E8">
        <w:rPr>
          <w:rFonts w:ascii="Times New Roman" w:hAnsi="Times New Roman"/>
          <w:sz w:val="28"/>
          <w:szCs w:val="28"/>
        </w:rPr>
        <w:t xml:space="preserve"> </w:t>
      </w:r>
      <w:r>
        <w:rPr>
          <w:rFonts w:ascii="Times New Roman" w:hAnsi="Times New Roman"/>
          <w:sz w:val="28"/>
          <w:szCs w:val="28"/>
        </w:rPr>
        <w:t>(</w:t>
      </w:r>
      <w:r w:rsidRPr="007B05E8">
        <w:rPr>
          <w:rFonts w:ascii="Times New Roman" w:hAnsi="Times New Roman"/>
          <w:sz w:val="28"/>
          <w:szCs w:val="28"/>
        </w:rPr>
        <w:t xml:space="preserve">вх. № </w:t>
      </w:r>
      <w:r w:rsidRPr="00A1734B">
        <w:rPr>
          <w:rFonts w:ascii="Times New Roman" w:hAnsi="Times New Roman"/>
          <w:sz w:val="28"/>
          <w:szCs w:val="28"/>
        </w:rPr>
        <w:t>1578/2018</w:t>
      </w:r>
      <w:r w:rsidRPr="007B05E8">
        <w:rPr>
          <w:rFonts w:ascii="Times New Roman" w:hAnsi="Times New Roman"/>
          <w:sz w:val="28"/>
          <w:szCs w:val="28"/>
        </w:rPr>
        <w:t>г.</w:t>
      </w:r>
      <w:r>
        <w:rPr>
          <w:rFonts w:ascii="Times New Roman" w:hAnsi="Times New Roman"/>
          <w:sz w:val="28"/>
          <w:szCs w:val="28"/>
        </w:rPr>
        <w:t xml:space="preserve">) </w:t>
      </w:r>
      <w:r w:rsidRPr="007B05E8">
        <w:rPr>
          <w:rFonts w:ascii="Times New Roman" w:hAnsi="Times New Roman"/>
          <w:sz w:val="28"/>
          <w:szCs w:val="28"/>
        </w:rPr>
        <w:t xml:space="preserve"> и </w:t>
      </w:r>
      <w:r>
        <w:rPr>
          <w:rFonts w:ascii="Times New Roman" w:hAnsi="Times New Roman"/>
          <w:sz w:val="28"/>
          <w:szCs w:val="28"/>
        </w:rPr>
        <w:t xml:space="preserve"> три на Районна </w:t>
      </w:r>
      <w:proofErr w:type="spellStart"/>
      <w:r>
        <w:rPr>
          <w:rFonts w:ascii="Times New Roman" w:hAnsi="Times New Roman"/>
          <w:sz w:val="28"/>
          <w:szCs w:val="28"/>
        </w:rPr>
        <w:t>прокуратураИсперих</w:t>
      </w:r>
      <w:proofErr w:type="spellEnd"/>
      <w:r>
        <w:rPr>
          <w:rFonts w:ascii="Times New Roman" w:hAnsi="Times New Roman"/>
          <w:sz w:val="28"/>
          <w:szCs w:val="28"/>
        </w:rPr>
        <w:t xml:space="preserve"> (</w:t>
      </w:r>
      <w:r w:rsidRPr="007B05E8">
        <w:rPr>
          <w:rFonts w:ascii="Times New Roman" w:hAnsi="Times New Roman"/>
          <w:sz w:val="28"/>
          <w:szCs w:val="28"/>
        </w:rPr>
        <w:t xml:space="preserve"> вх. № 716/2018г.; вх. № 352/2015г.; вх. № 631/2019</w:t>
      </w:r>
      <w:r>
        <w:rPr>
          <w:rFonts w:ascii="Times New Roman" w:hAnsi="Times New Roman"/>
          <w:sz w:val="28"/>
          <w:szCs w:val="28"/>
        </w:rPr>
        <w:t>г.)</w:t>
      </w:r>
      <w:r w:rsidRPr="007B05E8">
        <w:rPr>
          <w:rFonts w:ascii="Times New Roman" w:hAnsi="Times New Roman"/>
          <w:sz w:val="28"/>
          <w:szCs w:val="28"/>
        </w:rPr>
        <w:t xml:space="preserve">. Одобрени от съда са </w:t>
      </w:r>
      <w:r>
        <w:rPr>
          <w:rFonts w:ascii="Times New Roman" w:hAnsi="Times New Roman"/>
          <w:sz w:val="28"/>
          <w:szCs w:val="28"/>
        </w:rPr>
        <w:t>145</w:t>
      </w:r>
      <w:r w:rsidRPr="007B05E8">
        <w:rPr>
          <w:rFonts w:ascii="Times New Roman" w:hAnsi="Times New Roman"/>
          <w:sz w:val="28"/>
          <w:szCs w:val="28"/>
        </w:rPr>
        <w:t xml:space="preserve"> споразумения, които са с </w:t>
      </w:r>
      <w:r>
        <w:rPr>
          <w:rFonts w:ascii="Times New Roman" w:hAnsi="Times New Roman"/>
          <w:sz w:val="28"/>
          <w:szCs w:val="28"/>
        </w:rPr>
        <w:t>5,37</w:t>
      </w:r>
      <w:r w:rsidRPr="007B05E8">
        <w:rPr>
          <w:rFonts w:ascii="Times New Roman" w:hAnsi="Times New Roman"/>
          <w:sz w:val="28"/>
          <w:szCs w:val="28"/>
        </w:rPr>
        <w:t>% по-</w:t>
      </w:r>
      <w:r w:rsidRPr="00666907">
        <w:rPr>
          <w:rFonts w:ascii="Times New Roman" w:hAnsi="Times New Roman"/>
          <w:sz w:val="28"/>
          <w:szCs w:val="28"/>
        </w:rPr>
        <w:t xml:space="preserve">малко от одобрените през 2018 г. </w:t>
      </w:r>
      <w:r>
        <w:rPr>
          <w:rFonts w:ascii="Times New Roman" w:hAnsi="Times New Roman"/>
          <w:sz w:val="28"/>
          <w:szCs w:val="28"/>
        </w:rPr>
        <w:t>споразумения (</w:t>
      </w:r>
      <w:r w:rsidRPr="00666907">
        <w:rPr>
          <w:rFonts w:ascii="Times New Roman" w:hAnsi="Times New Roman"/>
          <w:sz w:val="28"/>
          <w:szCs w:val="28"/>
        </w:rPr>
        <w:t>157</w:t>
      </w:r>
      <w:r>
        <w:rPr>
          <w:rFonts w:ascii="Times New Roman" w:hAnsi="Times New Roman"/>
          <w:sz w:val="28"/>
          <w:szCs w:val="28"/>
        </w:rPr>
        <w:t>)</w:t>
      </w:r>
      <w:r w:rsidRPr="00666907">
        <w:rPr>
          <w:rFonts w:ascii="Times New Roman" w:hAnsi="Times New Roman"/>
          <w:sz w:val="28"/>
          <w:szCs w:val="28"/>
        </w:rPr>
        <w:t>,  а спрямо 2017</w:t>
      </w:r>
      <w:r>
        <w:rPr>
          <w:rFonts w:ascii="Times New Roman" w:hAnsi="Times New Roman"/>
          <w:sz w:val="28"/>
          <w:szCs w:val="28"/>
        </w:rPr>
        <w:t xml:space="preserve"> г. се наблюдава устойчивост (</w:t>
      </w:r>
      <w:r w:rsidRPr="00666907">
        <w:rPr>
          <w:rFonts w:ascii="Times New Roman" w:hAnsi="Times New Roman"/>
          <w:sz w:val="28"/>
          <w:szCs w:val="28"/>
        </w:rPr>
        <w:t>146</w:t>
      </w:r>
      <w:r>
        <w:rPr>
          <w:rFonts w:ascii="Times New Roman" w:hAnsi="Times New Roman"/>
          <w:sz w:val="28"/>
          <w:szCs w:val="28"/>
        </w:rPr>
        <w:t>)</w:t>
      </w:r>
      <w:r w:rsidRPr="00666907">
        <w:rPr>
          <w:rFonts w:ascii="Times New Roman" w:hAnsi="Times New Roman"/>
          <w:sz w:val="28"/>
          <w:szCs w:val="28"/>
        </w:rPr>
        <w:t>.</w:t>
      </w:r>
    </w:p>
    <w:p w:rsidR="008D014B" w:rsidRDefault="008D014B" w:rsidP="008D014B">
      <w:pPr>
        <w:spacing w:after="0" w:line="240" w:lineRule="auto"/>
        <w:ind w:firstLine="709"/>
        <w:jc w:val="both"/>
        <w:rPr>
          <w:rFonts w:ascii="Times New Roman" w:hAnsi="Times New Roman"/>
          <w:sz w:val="28"/>
          <w:szCs w:val="28"/>
        </w:rPr>
      </w:pPr>
    </w:p>
    <w:p w:rsidR="008D014B" w:rsidRPr="00666907" w:rsidRDefault="008D014B" w:rsidP="008D014B">
      <w:pPr>
        <w:spacing w:after="0" w:line="240" w:lineRule="auto"/>
        <w:ind w:firstLine="709"/>
        <w:jc w:val="both"/>
        <w:rPr>
          <w:rFonts w:ascii="Times New Roman" w:hAnsi="Times New Roman"/>
          <w:sz w:val="28"/>
          <w:szCs w:val="28"/>
        </w:rPr>
      </w:pPr>
    </w:p>
    <w:p w:rsidR="008D014B" w:rsidRPr="00B83809" w:rsidRDefault="008D014B" w:rsidP="008D014B">
      <w:pPr>
        <w:spacing w:after="0" w:line="240" w:lineRule="auto"/>
        <w:ind w:firstLine="709"/>
        <w:jc w:val="both"/>
        <w:rPr>
          <w:rFonts w:ascii="Times New Roman" w:hAnsi="Times New Roman"/>
          <w:sz w:val="28"/>
          <w:szCs w:val="28"/>
        </w:rPr>
      </w:pPr>
      <w:r w:rsidRPr="00B83809">
        <w:rPr>
          <w:rFonts w:ascii="Times New Roman" w:hAnsi="Times New Roman"/>
          <w:sz w:val="28"/>
          <w:szCs w:val="28"/>
        </w:rPr>
        <w:t>През отчетния период по реда на чл. 375 от НПК (освобождаване от наказателна отговорност с налагане на административно наказание) са разгледани 148</w:t>
      </w:r>
      <w:r>
        <w:rPr>
          <w:rFonts w:ascii="Times New Roman" w:hAnsi="Times New Roman"/>
          <w:sz w:val="28"/>
          <w:szCs w:val="28"/>
        </w:rPr>
        <w:t xml:space="preserve"> дела, през 2018</w:t>
      </w:r>
      <w:r w:rsidRPr="00B83809">
        <w:rPr>
          <w:rFonts w:ascii="Times New Roman" w:hAnsi="Times New Roman"/>
          <w:sz w:val="28"/>
          <w:szCs w:val="28"/>
        </w:rPr>
        <w:t xml:space="preserve"> г. – 150</w:t>
      </w:r>
      <w:r>
        <w:rPr>
          <w:rFonts w:ascii="Times New Roman" w:hAnsi="Times New Roman"/>
          <w:sz w:val="28"/>
          <w:szCs w:val="28"/>
        </w:rPr>
        <w:t>, а през 2017</w:t>
      </w:r>
      <w:r w:rsidRPr="00B83809">
        <w:rPr>
          <w:rFonts w:ascii="Times New Roman" w:hAnsi="Times New Roman"/>
          <w:sz w:val="28"/>
          <w:szCs w:val="28"/>
        </w:rPr>
        <w:t xml:space="preserve"> г. – 183</w:t>
      </w:r>
      <w:r>
        <w:rPr>
          <w:rFonts w:ascii="Times New Roman" w:hAnsi="Times New Roman"/>
          <w:sz w:val="28"/>
          <w:szCs w:val="28"/>
        </w:rPr>
        <w:t xml:space="preserve">. Наблюдава се устойчивост спрямо 2018г. и спад с 23,65% спрямо 2017 г.От внесените </w:t>
      </w:r>
      <w:r w:rsidRPr="00B83809">
        <w:rPr>
          <w:rFonts w:ascii="Times New Roman" w:hAnsi="Times New Roman"/>
          <w:sz w:val="28"/>
          <w:szCs w:val="28"/>
        </w:rPr>
        <w:t>предложения за освобожда</w:t>
      </w:r>
      <w:r>
        <w:rPr>
          <w:rFonts w:ascii="Times New Roman" w:hAnsi="Times New Roman"/>
          <w:sz w:val="28"/>
          <w:szCs w:val="28"/>
        </w:rPr>
        <w:t xml:space="preserve">ване от наказателна </w:t>
      </w:r>
      <w:proofErr w:type="spellStart"/>
      <w:r>
        <w:rPr>
          <w:rFonts w:ascii="Times New Roman" w:hAnsi="Times New Roman"/>
          <w:sz w:val="28"/>
          <w:szCs w:val="28"/>
        </w:rPr>
        <w:t>отговорност</w:t>
      </w:r>
      <w:r w:rsidRPr="002C791C">
        <w:rPr>
          <w:rFonts w:ascii="Times New Roman" w:hAnsi="Times New Roman"/>
          <w:sz w:val="28"/>
          <w:szCs w:val="28"/>
        </w:rPr>
        <w:t>с</w:t>
      </w:r>
      <w:proofErr w:type="spellEnd"/>
      <w:r w:rsidRPr="002C791C">
        <w:rPr>
          <w:rFonts w:ascii="Times New Roman" w:hAnsi="Times New Roman"/>
          <w:sz w:val="28"/>
          <w:szCs w:val="28"/>
        </w:rPr>
        <w:t xml:space="preserve"> налагане на административно наказание</w:t>
      </w:r>
      <w:r>
        <w:rPr>
          <w:rFonts w:ascii="Times New Roman" w:hAnsi="Times New Roman"/>
          <w:sz w:val="28"/>
          <w:szCs w:val="28"/>
        </w:rPr>
        <w:t xml:space="preserve">,през 2019 г. са </w:t>
      </w:r>
      <w:r w:rsidRPr="00B83809">
        <w:rPr>
          <w:rFonts w:ascii="Times New Roman" w:hAnsi="Times New Roman"/>
          <w:sz w:val="28"/>
          <w:szCs w:val="28"/>
        </w:rPr>
        <w:t>уважени са 141 или 95,27%</w:t>
      </w:r>
      <w:r>
        <w:rPr>
          <w:rFonts w:ascii="Times New Roman" w:hAnsi="Times New Roman"/>
          <w:sz w:val="28"/>
          <w:szCs w:val="28"/>
        </w:rPr>
        <w:t xml:space="preserve"> от </w:t>
      </w:r>
      <w:r w:rsidRPr="00B83809">
        <w:rPr>
          <w:rFonts w:ascii="Times New Roman" w:hAnsi="Times New Roman"/>
          <w:sz w:val="28"/>
          <w:szCs w:val="28"/>
        </w:rPr>
        <w:t>, при 147 или 98% за 2018 г. и при 176 или 95,65% през 2017г.</w:t>
      </w:r>
    </w:p>
    <w:p w:rsidR="008D014B" w:rsidRPr="00EE4D0D"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EE4D0D">
        <w:rPr>
          <w:rFonts w:ascii="Times New Roman" w:hAnsi="Times New Roman"/>
          <w:sz w:val="28"/>
          <w:szCs w:val="28"/>
        </w:rPr>
        <w:t>о внесени от прокуратурата предложения за освобождаване от наказателна отговорност с налагане на административно наказание</w:t>
      </w:r>
      <w:r>
        <w:rPr>
          <w:rFonts w:ascii="Times New Roman" w:hAnsi="Times New Roman"/>
          <w:sz w:val="28"/>
          <w:szCs w:val="28"/>
        </w:rPr>
        <w:t xml:space="preserve"> има едно върнато дело на Районна </w:t>
      </w:r>
      <w:proofErr w:type="spellStart"/>
      <w:r>
        <w:rPr>
          <w:rFonts w:ascii="Times New Roman" w:hAnsi="Times New Roman"/>
          <w:sz w:val="28"/>
          <w:szCs w:val="28"/>
        </w:rPr>
        <w:t>прокуратураРазград</w:t>
      </w:r>
      <w:proofErr w:type="spellEnd"/>
      <w:r>
        <w:rPr>
          <w:rFonts w:ascii="Times New Roman" w:hAnsi="Times New Roman"/>
          <w:sz w:val="28"/>
          <w:szCs w:val="28"/>
        </w:rPr>
        <w:t xml:space="preserve"> ( вх. № 1604/2018г.)</w:t>
      </w:r>
      <w:r w:rsidRPr="00EE4D0D">
        <w:rPr>
          <w:rFonts w:ascii="Times New Roman" w:hAnsi="Times New Roman"/>
          <w:sz w:val="28"/>
          <w:szCs w:val="28"/>
        </w:rPr>
        <w:t xml:space="preserve">. </w:t>
      </w:r>
    </w:p>
    <w:p w:rsidR="008D014B" w:rsidRPr="00EE4D0D" w:rsidRDefault="008D014B" w:rsidP="008D014B">
      <w:pPr>
        <w:spacing w:after="0" w:line="240" w:lineRule="auto"/>
        <w:ind w:firstLine="709"/>
        <w:jc w:val="both"/>
        <w:rPr>
          <w:rFonts w:ascii="Times New Roman" w:hAnsi="Times New Roman"/>
          <w:sz w:val="28"/>
          <w:szCs w:val="28"/>
        </w:rPr>
      </w:pPr>
    </w:p>
    <w:p w:rsidR="008D014B" w:rsidRDefault="008D014B" w:rsidP="008D014B">
      <w:pPr>
        <w:spacing w:after="0" w:line="240" w:lineRule="auto"/>
        <w:jc w:val="both"/>
        <w:rPr>
          <w:rFonts w:ascii="Times New Roman" w:hAnsi="Times New Roman"/>
          <w:sz w:val="28"/>
          <w:szCs w:val="28"/>
        </w:rPr>
      </w:pPr>
    </w:p>
    <w:p w:rsidR="008D014B" w:rsidRPr="00D46CA4" w:rsidRDefault="008D014B" w:rsidP="008D014B">
      <w:pPr>
        <w:spacing w:after="0" w:line="240" w:lineRule="auto"/>
        <w:ind w:firstLine="709"/>
        <w:jc w:val="both"/>
        <w:rPr>
          <w:rFonts w:ascii="Times New Roman" w:hAnsi="Times New Roman"/>
          <w:sz w:val="28"/>
          <w:szCs w:val="28"/>
        </w:rPr>
      </w:pPr>
      <w:r w:rsidRPr="00D46CA4">
        <w:rPr>
          <w:rFonts w:ascii="Times New Roman" w:hAnsi="Times New Roman"/>
          <w:sz w:val="28"/>
          <w:szCs w:val="28"/>
        </w:rPr>
        <w:t>Общо осъдените и санкционирани лица през 2019 г. са 724, през 2018г. са били 656, а през 2017 г. - 799 лица, от които с влязъл в сила съдебен акт през 2019 г. са 950 лица, при 691 лица през 2018 г. и при 806 през 2017 г.</w:t>
      </w:r>
    </w:p>
    <w:p w:rsidR="008D014B" w:rsidRPr="00D46CA4" w:rsidRDefault="008D014B" w:rsidP="008D014B">
      <w:pPr>
        <w:spacing w:after="0" w:line="240" w:lineRule="auto"/>
        <w:jc w:val="both"/>
        <w:rPr>
          <w:rFonts w:ascii="Times New Roman" w:hAnsi="Times New Roman"/>
          <w:sz w:val="28"/>
          <w:szCs w:val="28"/>
        </w:rPr>
      </w:pPr>
    </w:p>
    <w:p w:rsidR="008D014B" w:rsidRPr="00D46CA4" w:rsidRDefault="008D014B" w:rsidP="008D014B">
      <w:pPr>
        <w:spacing w:after="0" w:line="240" w:lineRule="auto"/>
        <w:jc w:val="both"/>
        <w:rPr>
          <w:rFonts w:ascii="Times New Roman" w:hAnsi="Times New Roman"/>
          <w:sz w:val="28"/>
          <w:szCs w:val="28"/>
        </w:rPr>
      </w:pPr>
    </w:p>
    <w:p w:rsidR="008D014B" w:rsidRPr="00D46CA4" w:rsidRDefault="008D014B" w:rsidP="008D014B">
      <w:pPr>
        <w:spacing w:after="0" w:line="240" w:lineRule="auto"/>
        <w:jc w:val="both"/>
        <w:rPr>
          <w:rFonts w:ascii="Times New Roman" w:hAnsi="Times New Roman"/>
          <w:sz w:val="28"/>
          <w:szCs w:val="28"/>
        </w:rPr>
      </w:pPr>
      <w:r w:rsidRPr="00D46CA4">
        <w:rPr>
          <w:rFonts w:ascii="Times New Roman" w:hAnsi="Times New Roman"/>
          <w:noProof/>
          <w:color w:val="FF0000"/>
          <w:sz w:val="28"/>
          <w:szCs w:val="28"/>
          <w:shd w:val="clear" w:color="auto" w:fill="FF0000"/>
          <w:lang w:eastAsia="bg-BG"/>
        </w:rPr>
        <w:drawing>
          <wp:inline distT="0" distB="0" distL="0" distR="0" wp14:anchorId="64996DFE" wp14:editId="6D1D8CA0">
            <wp:extent cx="5810250" cy="3209925"/>
            <wp:effectExtent l="0" t="0" r="19050" b="9525"/>
            <wp:docPr id="59" name="Диагра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D014B" w:rsidRDefault="004C360D" w:rsidP="008D014B">
      <w:pPr>
        <w:spacing w:after="0" w:line="240" w:lineRule="auto"/>
        <w:jc w:val="both"/>
        <w:rPr>
          <w:rFonts w:ascii="Times New Roman" w:hAnsi="Times New Roman"/>
          <w:sz w:val="28"/>
          <w:szCs w:val="28"/>
        </w:rPr>
      </w:pPr>
      <w:r w:rsidRPr="00D46CA4">
        <w:rPr>
          <w:rFonts w:ascii="Times New Roman" w:hAnsi="Times New Roman"/>
          <w:sz w:val="28"/>
          <w:szCs w:val="28"/>
        </w:rPr>
        <w:t xml:space="preserve">          </w:t>
      </w:r>
      <w:r w:rsidR="008D014B" w:rsidRPr="00D46CA4">
        <w:rPr>
          <w:rFonts w:ascii="Times New Roman" w:hAnsi="Times New Roman"/>
          <w:sz w:val="28"/>
          <w:szCs w:val="28"/>
        </w:rPr>
        <w:t>Фиг. 3</w:t>
      </w:r>
      <w:r w:rsidR="00E0703A" w:rsidRPr="00D46CA4">
        <w:rPr>
          <w:rFonts w:ascii="Times New Roman" w:hAnsi="Times New Roman"/>
          <w:sz w:val="28"/>
          <w:szCs w:val="28"/>
        </w:rPr>
        <w:t>4</w:t>
      </w:r>
      <w:r w:rsidR="008D014B" w:rsidRPr="00D46CA4">
        <w:rPr>
          <w:rFonts w:ascii="Times New Roman" w:hAnsi="Times New Roman"/>
          <w:sz w:val="28"/>
          <w:szCs w:val="28"/>
        </w:rPr>
        <w:t>. Осъдени и санкционирани лица и осъдени лица с влязъл в сила съдебен акт през последните три години.</w:t>
      </w:r>
    </w:p>
    <w:p w:rsidR="00841A12" w:rsidRDefault="00841A12" w:rsidP="008D014B">
      <w:pPr>
        <w:spacing w:after="0" w:line="240" w:lineRule="auto"/>
        <w:ind w:firstLine="709"/>
        <w:jc w:val="both"/>
        <w:rPr>
          <w:rFonts w:ascii="Times New Roman" w:hAnsi="Times New Roman"/>
          <w:sz w:val="28"/>
          <w:szCs w:val="28"/>
        </w:rPr>
      </w:pPr>
    </w:p>
    <w:p w:rsidR="00841A12" w:rsidRDefault="00841A12" w:rsidP="008D014B">
      <w:pPr>
        <w:spacing w:after="0" w:line="240" w:lineRule="auto"/>
        <w:ind w:firstLine="709"/>
        <w:jc w:val="both"/>
        <w:rPr>
          <w:rFonts w:ascii="Times New Roman" w:hAnsi="Times New Roman"/>
          <w:sz w:val="28"/>
          <w:szCs w:val="28"/>
        </w:rPr>
      </w:pPr>
    </w:p>
    <w:p w:rsidR="00841A12" w:rsidRDefault="00841A12" w:rsidP="008D014B">
      <w:pPr>
        <w:spacing w:after="0" w:line="240" w:lineRule="auto"/>
        <w:ind w:firstLine="709"/>
        <w:jc w:val="both"/>
        <w:rPr>
          <w:rFonts w:ascii="Times New Roman" w:hAnsi="Times New Roman"/>
          <w:sz w:val="28"/>
          <w:szCs w:val="28"/>
        </w:rPr>
      </w:pPr>
    </w:p>
    <w:p w:rsidR="008D014B" w:rsidRPr="00EE4D0D"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Структурното разпределение на осъдените лица с влязъл в сила съдебен акт е представено в следващата диаграма:</w:t>
      </w:r>
    </w:p>
    <w:p w:rsidR="008D014B" w:rsidRDefault="008D014B" w:rsidP="008D014B">
      <w:pPr>
        <w:spacing w:after="0" w:line="240" w:lineRule="auto"/>
        <w:jc w:val="both"/>
        <w:rPr>
          <w:rFonts w:ascii="Times New Roman" w:hAnsi="Times New Roman"/>
          <w:sz w:val="28"/>
          <w:szCs w:val="28"/>
        </w:rPr>
      </w:pPr>
    </w:p>
    <w:p w:rsidR="008D014B" w:rsidRPr="00EE4D0D" w:rsidRDefault="008D014B" w:rsidP="008D014B">
      <w:pPr>
        <w:spacing w:after="0" w:line="240" w:lineRule="auto"/>
        <w:jc w:val="both"/>
        <w:rPr>
          <w:rFonts w:ascii="Times New Roman" w:hAnsi="Times New Roman"/>
          <w:sz w:val="28"/>
          <w:szCs w:val="28"/>
        </w:rPr>
      </w:pPr>
      <w:r w:rsidRPr="00EE4D0D">
        <w:rPr>
          <w:rFonts w:ascii="Times New Roman" w:hAnsi="Times New Roman"/>
          <w:noProof/>
          <w:sz w:val="28"/>
          <w:szCs w:val="28"/>
          <w:lang w:eastAsia="bg-BG"/>
        </w:rPr>
        <w:drawing>
          <wp:inline distT="0" distB="0" distL="0" distR="0" wp14:anchorId="4483517F" wp14:editId="7CDA4F46">
            <wp:extent cx="5886450" cy="5886450"/>
            <wp:effectExtent l="0" t="0" r="19050" b="19050"/>
            <wp:docPr id="60" name="Диагра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D014B" w:rsidRDefault="008D014B" w:rsidP="008D014B">
      <w:pPr>
        <w:spacing w:after="0" w:line="240" w:lineRule="auto"/>
        <w:ind w:firstLine="709"/>
        <w:jc w:val="both"/>
        <w:rPr>
          <w:rFonts w:ascii="Times New Roman" w:hAnsi="Times New Roman"/>
          <w:sz w:val="28"/>
          <w:szCs w:val="28"/>
        </w:rPr>
      </w:pPr>
    </w:p>
    <w:p w:rsidR="008D014B" w:rsidRDefault="008D014B" w:rsidP="008D014B">
      <w:pPr>
        <w:spacing w:after="0" w:line="240" w:lineRule="auto"/>
        <w:ind w:firstLine="709"/>
        <w:jc w:val="both"/>
        <w:rPr>
          <w:rFonts w:ascii="Times New Roman" w:hAnsi="Times New Roman"/>
          <w:sz w:val="28"/>
          <w:szCs w:val="28"/>
        </w:rPr>
      </w:pPr>
      <w:r w:rsidRPr="00841A12">
        <w:rPr>
          <w:rFonts w:ascii="Times New Roman" w:hAnsi="Times New Roman"/>
          <w:sz w:val="28"/>
          <w:szCs w:val="28"/>
        </w:rPr>
        <w:t>Фиг.3</w:t>
      </w:r>
      <w:r w:rsidR="00841A12" w:rsidRPr="00841A12">
        <w:rPr>
          <w:rFonts w:ascii="Times New Roman" w:hAnsi="Times New Roman"/>
          <w:sz w:val="28"/>
          <w:szCs w:val="28"/>
        </w:rPr>
        <w:t>5</w:t>
      </w:r>
      <w:r w:rsidRPr="00841A12">
        <w:rPr>
          <w:rFonts w:ascii="Times New Roman" w:hAnsi="Times New Roman"/>
          <w:sz w:val="28"/>
          <w:szCs w:val="28"/>
        </w:rPr>
        <w:t xml:space="preserve">. Осъдени </w:t>
      </w:r>
      <w:r w:rsidRPr="00EE4D0D">
        <w:rPr>
          <w:rFonts w:ascii="Times New Roman" w:hAnsi="Times New Roman"/>
          <w:sz w:val="28"/>
          <w:szCs w:val="28"/>
        </w:rPr>
        <w:t>лица с влязъл в сила съд</w:t>
      </w:r>
      <w:r>
        <w:rPr>
          <w:rFonts w:ascii="Times New Roman" w:hAnsi="Times New Roman"/>
          <w:sz w:val="28"/>
          <w:szCs w:val="28"/>
        </w:rPr>
        <w:t>ебен акт по престъпления от НК.</w:t>
      </w:r>
    </w:p>
    <w:p w:rsidR="008D014B" w:rsidRDefault="008D014B" w:rsidP="008D014B">
      <w:pPr>
        <w:spacing w:after="0" w:line="240" w:lineRule="auto"/>
        <w:ind w:firstLine="709"/>
        <w:jc w:val="both"/>
        <w:rPr>
          <w:rFonts w:ascii="Times New Roman" w:hAnsi="Times New Roman"/>
          <w:sz w:val="28"/>
          <w:szCs w:val="28"/>
        </w:rPr>
      </w:pPr>
    </w:p>
    <w:p w:rsidR="008D014B" w:rsidRDefault="008D014B" w:rsidP="008D014B">
      <w:pPr>
        <w:spacing w:after="0" w:line="240" w:lineRule="auto"/>
        <w:ind w:firstLine="709"/>
        <w:jc w:val="both"/>
        <w:rPr>
          <w:rFonts w:ascii="Times New Roman" w:hAnsi="Times New Roman"/>
          <w:sz w:val="28"/>
          <w:szCs w:val="28"/>
        </w:rPr>
      </w:pPr>
    </w:p>
    <w:p w:rsidR="008D014B" w:rsidRDefault="008D014B" w:rsidP="008D014B">
      <w:pPr>
        <w:spacing w:after="0" w:line="240" w:lineRule="auto"/>
        <w:ind w:firstLine="709"/>
        <w:jc w:val="both"/>
        <w:rPr>
          <w:rFonts w:ascii="Times New Roman" w:hAnsi="Times New Roman"/>
          <w:sz w:val="28"/>
          <w:szCs w:val="28"/>
        </w:rPr>
      </w:pPr>
    </w:p>
    <w:p w:rsidR="008D014B" w:rsidRDefault="008D014B" w:rsidP="008D014B">
      <w:pPr>
        <w:spacing w:after="0" w:line="240" w:lineRule="auto"/>
        <w:ind w:firstLine="709"/>
        <w:jc w:val="both"/>
        <w:rPr>
          <w:rFonts w:ascii="Times New Roman" w:hAnsi="Times New Roman"/>
          <w:sz w:val="28"/>
          <w:szCs w:val="28"/>
        </w:rPr>
      </w:pPr>
    </w:p>
    <w:p w:rsidR="008D014B" w:rsidRDefault="008D014B" w:rsidP="008D014B">
      <w:pPr>
        <w:spacing w:after="0" w:line="240" w:lineRule="auto"/>
        <w:ind w:firstLine="709"/>
        <w:jc w:val="both"/>
        <w:rPr>
          <w:rFonts w:ascii="Times New Roman" w:hAnsi="Times New Roman"/>
          <w:sz w:val="28"/>
          <w:szCs w:val="28"/>
        </w:rPr>
      </w:pPr>
    </w:p>
    <w:p w:rsidR="008D014B" w:rsidRDefault="008D014B" w:rsidP="008D014B">
      <w:pPr>
        <w:spacing w:after="0" w:line="240" w:lineRule="auto"/>
        <w:ind w:firstLine="709"/>
        <w:jc w:val="both"/>
        <w:rPr>
          <w:rFonts w:ascii="Times New Roman" w:hAnsi="Times New Roman"/>
          <w:sz w:val="28"/>
          <w:szCs w:val="28"/>
        </w:rPr>
      </w:pPr>
    </w:p>
    <w:p w:rsidR="008D014B" w:rsidRDefault="008D014B" w:rsidP="008D014B">
      <w:pPr>
        <w:spacing w:after="0" w:line="240" w:lineRule="auto"/>
        <w:ind w:firstLine="709"/>
        <w:jc w:val="both"/>
        <w:rPr>
          <w:rFonts w:ascii="Times New Roman" w:hAnsi="Times New Roman"/>
          <w:sz w:val="28"/>
          <w:szCs w:val="28"/>
        </w:rPr>
      </w:pPr>
    </w:p>
    <w:p w:rsidR="008D014B" w:rsidRDefault="008D014B" w:rsidP="008D014B">
      <w:pPr>
        <w:spacing w:after="0" w:line="240" w:lineRule="auto"/>
        <w:ind w:firstLine="709"/>
        <w:jc w:val="both"/>
        <w:rPr>
          <w:rFonts w:ascii="Times New Roman" w:hAnsi="Times New Roman"/>
          <w:sz w:val="28"/>
          <w:szCs w:val="28"/>
        </w:rPr>
      </w:pPr>
    </w:p>
    <w:p w:rsidR="008D014B" w:rsidRPr="00EE4D0D" w:rsidRDefault="008D014B" w:rsidP="008D014B">
      <w:pPr>
        <w:spacing w:after="0" w:line="240" w:lineRule="auto"/>
        <w:ind w:firstLine="709"/>
        <w:jc w:val="both"/>
        <w:rPr>
          <w:rFonts w:ascii="Times New Roman" w:hAnsi="Times New Roman"/>
          <w:sz w:val="28"/>
          <w:szCs w:val="28"/>
        </w:rPr>
      </w:pPr>
    </w:p>
    <w:p w:rsidR="008D014B" w:rsidRPr="00EE4D0D"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lastRenderedPageBreak/>
        <w:t>Наложените наказания на осъдените и санкционирани лица по влезли в сила съдебни актове през 2018 г. са представени в следната графика:</w:t>
      </w:r>
    </w:p>
    <w:p w:rsidR="008D014B" w:rsidRDefault="008D014B" w:rsidP="008D014B">
      <w:pPr>
        <w:spacing w:after="0" w:line="240" w:lineRule="auto"/>
        <w:jc w:val="both"/>
        <w:rPr>
          <w:rFonts w:ascii="Times New Roman" w:hAnsi="Times New Roman"/>
          <w:sz w:val="28"/>
          <w:szCs w:val="28"/>
        </w:rPr>
      </w:pPr>
    </w:p>
    <w:p w:rsidR="008D014B" w:rsidRDefault="008D014B" w:rsidP="008D014B">
      <w:pPr>
        <w:spacing w:after="0" w:line="240" w:lineRule="auto"/>
        <w:jc w:val="both"/>
        <w:rPr>
          <w:rFonts w:ascii="Times New Roman" w:hAnsi="Times New Roman"/>
          <w:sz w:val="28"/>
          <w:szCs w:val="28"/>
        </w:rPr>
      </w:pPr>
    </w:p>
    <w:p w:rsidR="008D014B" w:rsidRPr="00EE4D0D" w:rsidRDefault="008D014B" w:rsidP="008D014B">
      <w:pPr>
        <w:spacing w:after="0" w:line="240" w:lineRule="auto"/>
        <w:jc w:val="both"/>
        <w:rPr>
          <w:rFonts w:ascii="Times New Roman" w:hAnsi="Times New Roman"/>
          <w:sz w:val="28"/>
          <w:szCs w:val="28"/>
        </w:rPr>
      </w:pPr>
      <w:r w:rsidRPr="00EE4D0D">
        <w:rPr>
          <w:rFonts w:ascii="Times New Roman" w:hAnsi="Times New Roman"/>
          <w:noProof/>
          <w:sz w:val="28"/>
          <w:szCs w:val="28"/>
          <w:lang w:eastAsia="bg-BG"/>
        </w:rPr>
        <w:drawing>
          <wp:inline distT="0" distB="0" distL="0" distR="0" wp14:anchorId="16F4B360" wp14:editId="449235DA">
            <wp:extent cx="5838825" cy="3209925"/>
            <wp:effectExtent l="0" t="0" r="9525" b="9525"/>
            <wp:docPr id="61" name="Диагра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C360D" w:rsidRDefault="004C360D" w:rsidP="008D014B">
      <w:pPr>
        <w:spacing w:after="0" w:line="240" w:lineRule="auto"/>
        <w:ind w:firstLine="709"/>
        <w:jc w:val="both"/>
        <w:rPr>
          <w:rFonts w:ascii="Times New Roman" w:hAnsi="Times New Roman"/>
          <w:sz w:val="28"/>
          <w:szCs w:val="28"/>
        </w:rPr>
      </w:pPr>
    </w:p>
    <w:p w:rsidR="008D014B" w:rsidRPr="00EE4D0D"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t>Фиг.3</w:t>
      </w:r>
      <w:r w:rsidR="00841A12">
        <w:rPr>
          <w:rFonts w:ascii="Times New Roman" w:hAnsi="Times New Roman"/>
          <w:sz w:val="28"/>
          <w:szCs w:val="28"/>
        </w:rPr>
        <w:t>6</w:t>
      </w:r>
      <w:r w:rsidRPr="00EE4D0D">
        <w:rPr>
          <w:rFonts w:ascii="Times New Roman" w:hAnsi="Times New Roman"/>
          <w:sz w:val="28"/>
          <w:szCs w:val="28"/>
        </w:rPr>
        <w:t>. Видове наложени наказания на осъдените и санкционирани лица по влезли в сила съдебни актове през 2018г.</w:t>
      </w:r>
    </w:p>
    <w:p w:rsidR="008D014B" w:rsidRPr="00EE4D0D" w:rsidRDefault="008D014B" w:rsidP="008D014B">
      <w:pPr>
        <w:spacing w:after="0" w:line="240" w:lineRule="auto"/>
        <w:ind w:firstLine="709"/>
        <w:jc w:val="both"/>
        <w:rPr>
          <w:rFonts w:ascii="Times New Roman" w:hAnsi="Times New Roman"/>
          <w:sz w:val="28"/>
          <w:szCs w:val="28"/>
        </w:rPr>
      </w:pPr>
    </w:p>
    <w:p w:rsidR="008D014B" w:rsidRPr="00A60546" w:rsidRDefault="008D014B" w:rsidP="008D014B">
      <w:pPr>
        <w:spacing w:after="0" w:line="240" w:lineRule="auto"/>
        <w:ind w:firstLine="709"/>
        <w:jc w:val="both"/>
        <w:rPr>
          <w:rFonts w:ascii="Times New Roman" w:hAnsi="Times New Roman"/>
          <w:b/>
          <w:sz w:val="28"/>
          <w:szCs w:val="28"/>
        </w:rPr>
      </w:pPr>
      <w:r w:rsidRPr="00A60546">
        <w:rPr>
          <w:rFonts w:ascii="Times New Roman" w:hAnsi="Times New Roman"/>
          <w:b/>
          <w:sz w:val="28"/>
          <w:szCs w:val="28"/>
        </w:rPr>
        <w:t xml:space="preserve">Протести – </w:t>
      </w:r>
      <w:proofErr w:type="spellStart"/>
      <w:r w:rsidRPr="00A60546">
        <w:rPr>
          <w:rFonts w:ascii="Times New Roman" w:hAnsi="Times New Roman"/>
          <w:b/>
          <w:sz w:val="28"/>
          <w:szCs w:val="28"/>
        </w:rPr>
        <w:t>въззивни</w:t>
      </w:r>
      <w:proofErr w:type="spellEnd"/>
      <w:r w:rsidRPr="00A60546">
        <w:rPr>
          <w:rFonts w:ascii="Times New Roman" w:hAnsi="Times New Roman"/>
          <w:b/>
          <w:sz w:val="28"/>
          <w:szCs w:val="28"/>
        </w:rPr>
        <w:t xml:space="preserve"> и касационни.</w:t>
      </w:r>
    </w:p>
    <w:p w:rsidR="008D014B" w:rsidRPr="00EE4D0D" w:rsidRDefault="008D014B" w:rsidP="008D014B">
      <w:pPr>
        <w:spacing w:after="0" w:line="240" w:lineRule="auto"/>
        <w:ind w:firstLine="709"/>
        <w:jc w:val="both"/>
        <w:rPr>
          <w:rFonts w:ascii="Times New Roman" w:hAnsi="Times New Roman"/>
          <w:sz w:val="28"/>
          <w:szCs w:val="28"/>
        </w:rPr>
      </w:pPr>
      <w:r w:rsidRPr="002365DA">
        <w:rPr>
          <w:rFonts w:ascii="Times New Roman" w:hAnsi="Times New Roman"/>
          <w:sz w:val="28"/>
          <w:szCs w:val="28"/>
        </w:rPr>
        <w:t>Пр</w:t>
      </w:r>
      <w:r>
        <w:rPr>
          <w:rFonts w:ascii="Times New Roman" w:hAnsi="Times New Roman"/>
          <w:sz w:val="28"/>
          <w:szCs w:val="28"/>
        </w:rPr>
        <w:t>ез отчетния период са подадени 3</w:t>
      </w:r>
      <w:r w:rsidRPr="002365DA">
        <w:rPr>
          <w:rFonts w:ascii="Times New Roman" w:hAnsi="Times New Roman"/>
          <w:sz w:val="28"/>
          <w:szCs w:val="28"/>
        </w:rPr>
        <w:t xml:space="preserve">3 </w:t>
      </w:r>
      <w:proofErr w:type="spellStart"/>
      <w:r w:rsidRPr="002365DA">
        <w:rPr>
          <w:rFonts w:ascii="Times New Roman" w:hAnsi="Times New Roman"/>
          <w:sz w:val="28"/>
          <w:szCs w:val="28"/>
        </w:rPr>
        <w:t>въззивни</w:t>
      </w:r>
      <w:proofErr w:type="spellEnd"/>
      <w:r w:rsidRPr="002365DA">
        <w:rPr>
          <w:rFonts w:ascii="Times New Roman" w:hAnsi="Times New Roman"/>
          <w:sz w:val="28"/>
          <w:szCs w:val="28"/>
        </w:rPr>
        <w:t xml:space="preserve"> пр</w:t>
      </w:r>
      <w:r>
        <w:rPr>
          <w:rFonts w:ascii="Times New Roman" w:hAnsi="Times New Roman"/>
          <w:sz w:val="28"/>
          <w:szCs w:val="28"/>
        </w:rPr>
        <w:t>отеста, от съда са разгледани 27</w:t>
      </w:r>
      <w:r w:rsidRPr="002365DA">
        <w:rPr>
          <w:rFonts w:ascii="Times New Roman" w:hAnsi="Times New Roman"/>
          <w:sz w:val="28"/>
          <w:szCs w:val="28"/>
        </w:rPr>
        <w:t>, в това число по внесени в предходен перио</w:t>
      </w:r>
      <w:r>
        <w:rPr>
          <w:rFonts w:ascii="Times New Roman" w:hAnsi="Times New Roman"/>
          <w:sz w:val="28"/>
          <w:szCs w:val="28"/>
        </w:rPr>
        <w:t>д протести. Уважени от съда са 13</w:t>
      </w:r>
      <w:r w:rsidRPr="004A475E">
        <w:rPr>
          <w:rFonts w:ascii="Times New Roman" w:hAnsi="Times New Roman"/>
          <w:sz w:val="28"/>
          <w:szCs w:val="28"/>
        </w:rPr>
        <w:t xml:space="preserve">или 48,15% </w:t>
      </w:r>
      <w:r w:rsidRPr="002365DA">
        <w:rPr>
          <w:rFonts w:ascii="Times New Roman" w:hAnsi="Times New Roman"/>
          <w:sz w:val="28"/>
          <w:szCs w:val="28"/>
        </w:rPr>
        <w:t>от разгледаните.</w:t>
      </w:r>
      <w:r>
        <w:rPr>
          <w:rFonts w:ascii="Times New Roman" w:hAnsi="Times New Roman"/>
          <w:sz w:val="28"/>
          <w:szCs w:val="28"/>
        </w:rPr>
        <w:t xml:space="preserve"> Няма подадени касационни протести.</w:t>
      </w:r>
    </w:p>
    <w:p w:rsidR="008D014B" w:rsidRPr="00EE4D0D" w:rsidRDefault="008D014B" w:rsidP="008D014B">
      <w:pPr>
        <w:spacing w:after="0" w:line="240" w:lineRule="auto"/>
        <w:ind w:firstLine="709"/>
        <w:jc w:val="both"/>
        <w:rPr>
          <w:rFonts w:ascii="Times New Roman" w:hAnsi="Times New Roman"/>
          <w:sz w:val="28"/>
          <w:szCs w:val="28"/>
        </w:rPr>
      </w:pPr>
      <w:r w:rsidRPr="00097F38">
        <w:rPr>
          <w:rFonts w:ascii="Times New Roman" w:hAnsi="Times New Roman"/>
          <w:sz w:val="28"/>
          <w:szCs w:val="28"/>
        </w:rPr>
        <w:t xml:space="preserve">През 2018 г.  са подадени 23 </w:t>
      </w:r>
      <w:proofErr w:type="spellStart"/>
      <w:r w:rsidRPr="00097F38">
        <w:rPr>
          <w:rFonts w:ascii="Times New Roman" w:hAnsi="Times New Roman"/>
          <w:sz w:val="28"/>
          <w:szCs w:val="28"/>
        </w:rPr>
        <w:t>въззивни</w:t>
      </w:r>
      <w:proofErr w:type="spellEnd"/>
      <w:r w:rsidRPr="00097F38">
        <w:rPr>
          <w:rFonts w:ascii="Times New Roman" w:hAnsi="Times New Roman"/>
          <w:sz w:val="28"/>
          <w:szCs w:val="28"/>
        </w:rPr>
        <w:t xml:space="preserve"> протеста, от съда са разгледани 23, в това число по внесени в предходен период протести. Уважени от съда </w:t>
      </w:r>
      <w:r w:rsidRPr="00EE4D0D">
        <w:rPr>
          <w:rFonts w:ascii="Times New Roman" w:hAnsi="Times New Roman"/>
          <w:sz w:val="28"/>
          <w:szCs w:val="28"/>
        </w:rPr>
        <w:t xml:space="preserve">са 7 или 30,4% от разгледаните. Прокурор от Окръжна прокуратура Разград е подал един касационен протест срещу оправдателна присъда, който </w:t>
      </w:r>
      <w:r>
        <w:rPr>
          <w:rFonts w:ascii="Times New Roman" w:hAnsi="Times New Roman"/>
          <w:sz w:val="28"/>
          <w:szCs w:val="28"/>
        </w:rPr>
        <w:t>е бил разгледан и уважен.</w:t>
      </w:r>
    </w:p>
    <w:p w:rsidR="008D014B"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През 201</w:t>
      </w:r>
      <w:r w:rsidRPr="00A1734B">
        <w:rPr>
          <w:rFonts w:ascii="Times New Roman" w:hAnsi="Times New Roman"/>
          <w:sz w:val="28"/>
          <w:szCs w:val="28"/>
        </w:rPr>
        <w:t>7</w:t>
      </w:r>
      <w:r w:rsidRPr="00EE4D0D">
        <w:rPr>
          <w:rFonts w:ascii="Times New Roman" w:hAnsi="Times New Roman"/>
          <w:sz w:val="28"/>
          <w:szCs w:val="28"/>
        </w:rPr>
        <w:t xml:space="preserve"> г. са подадени </w:t>
      </w:r>
      <w:r w:rsidRPr="00A1734B">
        <w:rPr>
          <w:rFonts w:ascii="Times New Roman" w:hAnsi="Times New Roman"/>
          <w:sz w:val="28"/>
          <w:szCs w:val="28"/>
        </w:rPr>
        <w:t>20</w:t>
      </w:r>
      <w:r w:rsidRPr="00EE4D0D">
        <w:rPr>
          <w:rFonts w:ascii="Times New Roman" w:hAnsi="Times New Roman"/>
          <w:sz w:val="28"/>
          <w:szCs w:val="28"/>
        </w:rPr>
        <w:t xml:space="preserve">въззивни протеста, от които от съда са разгледани в това число по внесени в предходен период </w:t>
      </w:r>
      <w:r w:rsidRPr="00A1734B">
        <w:rPr>
          <w:rFonts w:ascii="Times New Roman" w:hAnsi="Times New Roman"/>
          <w:sz w:val="28"/>
          <w:szCs w:val="28"/>
        </w:rPr>
        <w:t>24</w:t>
      </w:r>
      <w:r w:rsidRPr="00EE4D0D">
        <w:rPr>
          <w:rFonts w:ascii="Times New Roman" w:hAnsi="Times New Roman"/>
          <w:sz w:val="28"/>
          <w:szCs w:val="28"/>
        </w:rPr>
        <w:t xml:space="preserve"> и само два протеста са уважени (8,33% от разгледаните). Подадени са два касационни протеста, които в края на отчетния период са </w:t>
      </w:r>
      <w:r>
        <w:rPr>
          <w:rFonts w:ascii="Times New Roman" w:hAnsi="Times New Roman"/>
          <w:sz w:val="28"/>
          <w:szCs w:val="28"/>
        </w:rPr>
        <w:t xml:space="preserve">били </w:t>
      </w:r>
      <w:r w:rsidRPr="00EE4D0D">
        <w:rPr>
          <w:rFonts w:ascii="Times New Roman" w:hAnsi="Times New Roman"/>
          <w:sz w:val="28"/>
          <w:szCs w:val="28"/>
        </w:rPr>
        <w:t>неразгледани.</w:t>
      </w:r>
    </w:p>
    <w:p w:rsidR="008D014B" w:rsidRPr="00EE4D0D" w:rsidRDefault="008D014B" w:rsidP="008D014B">
      <w:pPr>
        <w:spacing w:after="0" w:line="240" w:lineRule="auto"/>
        <w:jc w:val="both"/>
        <w:rPr>
          <w:rFonts w:ascii="Times New Roman" w:hAnsi="Times New Roman"/>
          <w:sz w:val="28"/>
          <w:szCs w:val="28"/>
        </w:rPr>
      </w:pPr>
    </w:p>
    <w:p w:rsidR="008D014B" w:rsidRPr="00EE4D0D"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Подадени</w:t>
      </w:r>
      <w:r>
        <w:rPr>
          <w:rFonts w:ascii="Times New Roman" w:hAnsi="Times New Roman"/>
          <w:sz w:val="28"/>
          <w:szCs w:val="28"/>
        </w:rPr>
        <w:t xml:space="preserve"> са 20(2018г. – 14; 2017г. – 12</w:t>
      </w:r>
      <w:r w:rsidRPr="00EE4D0D">
        <w:rPr>
          <w:rFonts w:ascii="Times New Roman" w:hAnsi="Times New Roman"/>
          <w:sz w:val="28"/>
          <w:szCs w:val="28"/>
        </w:rPr>
        <w:t>) протеста срещу изцяло и частично оправдателни присъди и решения. По прокуратури те се разпределят, както следва:</w:t>
      </w:r>
    </w:p>
    <w:p w:rsidR="008D014B" w:rsidRPr="00EF2C3A" w:rsidRDefault="008D014B" w:rsidP="008D014B">
      <w:pPr>
        <w:pStyle w:val="a9"/>
        <w:numPr>
          <w:ilvl w:val="0"/>
          <w:numId w:val="1"/>
        </w:numPr>
        <w:spacing w:after="0" w:line="240" w:lineRule="auto"/>
        <w:jc w:val="both"/>
        <w:rPr>
          <w:rFonts w:ascii="Times New Roman" w:eastAsia="Times New Roman" w:hAnsi="Times New Roman"/>
          <w:sz w:val="28"/>
          <w:szCs w:val="28"/>
        </w:rPr>
      </w:pPr>
      <w:r w:rsidRPr="00EF2C3A">
        <w:rPr>
          <w:rFonts w:ascii="Times New Roman" w:eastAsia="Times New Roman" w:hAnsi="Times New Roman"/>
          <w:sz w:val="28"/>
          <w:szCs w:val="28"/>
        </w:rPr>
        <w:t>Окръжна прокуратура</w:t>
      </w:r>
      <w:r w:rsidRPr="00A1734B">
        <w:rPr>
          <w:rFonts w:ascii="Times New Roman" w:eastAsia="Times New Roman" w:hAnsi="Times New Roman"/>
          <w:sz w:val="28"/>
          <w:szCs w:val="28"/>
        </w:rPr>
        <w:t xml:space="preserve"> </w:t>
      </w:r>
      <w:r w:rsidRPr="00EF2C3A">
        <w:rPr>
          <w:rFonts w:ascii="Times New Roman" w:eastAsia="Times New Roman" w:hAnsi="Times New Roman"/>
          <w:sz w:val="28"/>
          <w:szCs w:val="28"/>
        </w:rPr>
        <w:t>Разград – 1 (2018г. – 1; 2017г. – 1);</w:t>
      </w:r>
    </w:p>
    <w:p w:rsidR="008D014B" w:rsidRPr="00EF2C3A" w:rsidRDefault="008D014B" w:rsidP="008D014B">
      <w:pPr>
        <w:pStyle w:val="a9"/>
        <w:numPr>
          <w:ilvl w:val="0"/>
          <w:numId w:val="1"/>
        </w:numPr>
        <w:spacing w:after="0" w:line="240" w:lineRule="auto"/>
        <w:jc w:val="both"/>
        <w:rPr>
          <w:rFonts w:ascii="Times New Roman" w:eastAsia="Times New Roman" w:hAnsi="Times New Roman"/>
          <w:sz w:val="28"/>
          <w:szCs w:val="28"/>
        </w:rPr>
      </w:pPr>
      <w:r w:rsidRPr="00EF2C3A">
        <w:rPr>
          <w:rFonts w:ascii="Times New Roman" w:eastAsia="Times New Roman" w:hAnsi="Times New Roman"/>
          <w:sz w:val="28"/>
          <w:szCs w:val="28"/>
        </w:rPr>
        <w:t>Районна прокуратура</w:t>
      </w:r>
      <w:r w:rsidRPr="00A1734B">
        <w:rPr>
          <w:rFonts w:ascii="Times New Roman" w:eastAsia="Times New Roman" w:hAnsi="Times New Roman"/>
          <w:sz w:val="28"/>
          <w:szCs w:val="28"/>
        </w:rPr>
        <w:t xml:space="preserve"> </w:t>
      </w:r>
      <w:r w:rsidRPr="00EF2C3A">
        <w:rPr>
          <w:rFonts w:ascii="Times New Roman" w:eastAsia="Times New Roman" w:hAnsi="Times New Roman"/>
          <w:sz w:val="28"/>
          <w:szCs w:val="28"/>
        </w:rPr>
        <w:t>Разград – 15 (2018г. – 7; 2017г. – 5);</w:t>
      </w:r>
    </w:p>
    <w:p w:rsidR="008D014B" w:rsidRPr="00EF2C3A" w:rsidRDefault="008D014B" w:rsidP="008D014B">
      <w:pPr>
        <w:pStyle w:val="a9"/>
        <w:numPr>
          <w:ilvl w:val="0"/>
          <w:numId w:val="1"/>
        </w:numPr>
        <w:spacing w:after="0" w:line="240" w:lineRule="auto"/>
        <w:jc w:val="both"/>
        <w:rPr>
          <w:rFonts w:ascii="Times New Roman" w:eastAsia="Times New Roman" w:hAnsi="Times New Roman"/>
          <w:sz w:val="28"/>
          <w:szCs w:val="28"/>
        </w:rPr>
      </w:pPr>
      <w:r w:rsidRPr="00EF2C3A">
        <w:rPr>
          <w:rFonts w:ascii="Times New Roman" w:eastAsia="Times New Roman" w:hAnsi="Times New Roman"/>
          <w:sz w:val="28"/>
          <w:szCs w:val="28"/>
        </w:rPr>
        <w:t>Районна прокуратура</w:t>
      </w:r>
      <w:r>
        <w:rPr>
          <w:rFonts w:ascii="Times New Roman" w:eastAsia="Times New Roman" w:hAnsi="Times New Roman"/>
          <w:sz w:val="28"/>
          <w:szCs w:val="28"/>
          <w:lang w:val="en-US"/>
        </w:rPr>
        <w:t xml:space="preserve"> </w:t>
      </w:r>
      <w:r w:rsidRPr="00EF2C3A">
        <w:rPr>
          <w:rFonts w:ascii="Times New Roman" w:eastAsia="Times New Roman" w:hAnsi="Times New Roman"/>
          <w:sz w:val="28"/>
          <w:szCs w:val="28"/>
        </w:rPr>
        <w:t>Исперих – 3 (2018. – 5; 2017г. – 6);</w:t>
      </w:r>
    </w:p>
    <w:p w:rsidR="008D014B" w:rsidRPr="00EF2C3A" w:rsidRDefault="008D014B" w:rsidP="008D014B">
      <w:pPr>
        <w:pStyle w:val="a9"/>
        <w:numPr>
          <w:ilvl w:val="0"/>
          <w:numId w:val="1"/>
        </w:numPr>
        <w:spacing w:after="0" w:line="240" w:lineRule="auto"/>
        <w:jc w:val="both"/>
        <w:rPr>
          <w:rFonts w:ascii="Times New Roman" w:eastAsia="Times New Roman" w:hAnsi="Times New Roman"/>
          <w:sz w:val="28"/>
          <w:szCs w:val="28"/>
        </w:rPr>
      </w:pPr>
      <w:r w:rsidRPr="00EF2C3A">
        <w:rPr>
          <w:rFonts w:ascii="Times New Roman" w:eastAsia="Times New Roman" w:hAnsi="Times New Roman"/>
          <w:sz w:val="28"/>
          <w:szCs w:val="28"/>
        </w:rPr>
        <w:t>Районна прокуратура</w:t>
      </w:r>
      <w:r>
        <w:rPr>
          <w:rFonts w:ascii="Times New Roman" w:eastAsia="Times New Roman" w:hAnsi="Times New Roman"/>
          <w:sz w:val="28"/>
          <w:szCs w:val="28"/>
          <w:lang w:val="en-US"/>
        </w:rPr>
        <w:t xml:space="preserve"> </w:t>
      </w:r>
      <w:r w:rsidRPr="00EF2C3A">
        <w:rPr>
          <w:rFonts w:ascii="Times New Roman" w:eastAsia="Times New Roman" w:hAnsi="Times New Roman"/>
          <w:sz w:val="28"/>
          <w:szCs w:val="28"/>
        </w:rPr>
        <w:t>Кубрат – 1 (2018г. – 1; 2017г. – 0).</w:t>
      </w:r>
    </w:p>
    <w:p w:rsidR="008D014B"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От внесените протести</w:t>
      </w:r>
      <w:r w:rsidRPr="00EE4D0D">
        <w:rPr>
          <w:rFonts w:ascii="Times New Roman" w:hAnsi="Times New Roman"/>
          <w:sz w:val="28"/>
          <w:szCs w:val="28"/>
        </w:rPr>
        <w:t xml:space="preserve"> срещу изцяло и частично оправдателни присъди и решения</w:t>
      </w:r>
      <w:r>
        <w:rPr>
          <w:rFonts w:ascii="Times New Roman" w:hAnsi="Times New Roman"/>
          <w:sz w:val="28"/>
          <w:szCs w:val="28"/>
        </w:rPr>
        <w:t xml:space="preserve">,15 </w:t>
      </w:r>
      <w:r w:rsidRPr="00EE4D0D">
        <w:rPr>
          <w:rFonts w:ascii="Times New Roman" w:hAnsi="Times New Roman"/>
          <w:sz w:val="28"/>
          <w:szCs w:val="28"/>
        </w:rPr>
        <w:t>са разгледани, в това число по в</w:t>
      </w:r>
      <w:r>
        <w:rPr>
          <w:rFonts w:ascii="Times New Roman" w:hAnsi="Times New Roman"/>
          <w:sz w:val="28"/>
          <w:szCs w:val="28"/>
        </w:rPr>
        <w:t>несени в предходен период, а 5</w:t>
      </w:r>
      <w:r w:rsidRPr="00EE4D0D">
        <w:rPr>
          <w:rFonts w:ascii="Times New Roman" w:hAnsi="Times New Roman"/>
          <w:sz w:val="28"/>
          <w:szCs w:val="28"/>
        </w:rPr>
        <w:t xml:space="preserve"> са уважени.</w:t>
      </w:r>
    </w:p>
    <w:p w:rsidR="008D014B" w:rsidRPr="00847264" w:rsidRDefault="008D014B" w:rsidP="008D014B">
      <w:pPr>
        <w:spacing w:after="0" w:line="240" w:lineRule="auto"/>
        <w:ind w:firstLine="709"/>
        <w:jc w:val="both"/>
        <w:rPr>
          <w:rFonts w:ascii="Times New Roman" w:hAnsi="Times New Roman"/>
          <w:sz w:val="28"/>
          <w:szCs w:val="28"/>
        </w:rPr>
      </w:pPr>
    </w:p>
    <w:p w:rsidR="008D014B" w:rsidRPr="00920110" w:rsidRDefault="008D014B" w:rsidP="008D014B">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w:t>
      </w:r>
      <w:r w:rsidRPr="00920110">
        <w:rPr>
          <w:rFonts w:ascii="Times New Roman" w:eastAsia="Times New Roman" w:hAnsi="Times New Roman"/>
          <w:b/>
          <w:sz w:val="28"/>
          <w:szCs w:val="28"/>
        </w:rPr>
        <w:t>Постановени оправдателни присъди и върнати от съда дела.</w:t>
      </w:r>
    </w:p>
    <w:p w:rsidR="008D014B"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EE4D0D">
        <w:rPr>
          <w:rFonts w:ascii="Times New Roman" w:hAnsi="Times New Roman"/>
          <w:sz w:val="28"/>
          <w:szCs w:val="28"/>
        </w:rPr>
        <w:t>Върнати от съда дела на прокуратурата. Относителен дял на върнатите от внесените в съда прокурорски актове.</w:t>
      </w:r>
    </w:p>
    <w:p w:rsidR="008D014B" w:rsidRDefault="008D014B" w:rsidP="008D014B">
      <w:pPr>
        <w:spacing w:after="0" w:line="240" w:lineRule="auto"/>
        <w:jc w:val="both"/>
        <w:rPr>
          <w:rFonts w:ascii="Times New Roman" w:hAnsi="Times New Roman"/>
          <w:sz w:val="28"/>
          <w:szCs w:val="28"/>
        </w:rPr>
      </w:pPr>
    </w:p>
    <w:p w:rsidR="008D014B" w:rsidRPr="00EE4D0D"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t>От внесените 673 прокурорски акта през 2019</w:t>
      </w:r>
      <w:r w:rsidRPr="00DC6F43">
        <w:rPr>
          <w:rFonts w:ascii="Times New Roman" w:hAnsi="Times New Roman"/>
          <w:sz w:val="28"/>
          <w:szCs w:val="28"/>
        </w:rPr>
        <w:t xml:space="preserve"> година о</w:t>
      </w:r>
      <w:r>
        <w:rPr>
          <w:rFonts w:ascii="Times New Roman" w:hAnsi="Times New Roman"/>
          <w:sz w:val="28"/>
          <w:szCs w:val="28"/>
        </w:rPr>
        <w:t xml:space="preserve">т съда са върнати на </w:t>
      </w:r>
      <w:r w:rsidRPr="000B6200">
        <w:rPr>
          <w:rFonts w:ascii="Times New Roman" w:hAnsi="Times New Roman"/>
          <w:sz w:val="28"/>
          <w:szCs w:val="28"/>
        </w:rPr>
        <w:t xml:space="preserve">прокурора </w:t>
      </w:r>
      <w:r w:rsidRPr="00A1734B">
        <w:rPr>
          <w:rFonts w:ascii="Times New Roman" w:hAnsi="Times New Roman"/>
          <w:sz w:val="28"/>
          <w:szCs w:val="28"/>
        </w:rPr>
        <w:t>1</w:t>
      </w:r>
      <w:r>
        <w:rPr>
          <w:rFonts w:ascii="Times New Roman" w:hAnsi="Times New Roman"/>
          <w:sz w:val="28"/>
          <w:szCs w:val="28"/>
        </w:rPr>
        <w:t>8</w:t>
      </w:r>
      <w:r w:rsidRPr="00BE67AA">
        <w:rPr>
          <w:rFonts w:ascii="Times New Roman" w:hAnsi="Times New Roman"/>
          <w:sz w:val="28"/>
          <w:szCs w:val="28"/>
        </w:rPr>
        <w:t>дела,</w:t>
      </w:r>
      <w:r>
        <w:rPr>
          <w:rFonts w:ascii="Times New Roman" w:hAnsi="Times New Roman"/>
          <w:sz w:val="28"/>
          <w:szCs w:val="28"/>
        </w:rPr>
        <w:t xml:space="preserve"> което </w:t>
      </w:r>
      <w:r w:rsidRPr="004F6015">
        <w:rPr>
          <w:rFonts w:ascii="Times New Roman" w:hAnsi="Times New Roman"/>
          <w:sz w:val="28"/>
          <w:szCs w:val="28"/>
        </w:rPr>
        <w:t xml:space="preserve">съставлява 2,67% </w:t>
      </w:r>
      <w:r w:rsidRPr="00DC6F43">
        <w:rPr>
          <w:rFonts w:ascii="Times New Roman" w:hAnsi="Times New Roman"/>
          <w:sz w:val="28"/>
          <w:szCs w:val="28"/>
        </w:rPr>
        <w:t>от общия брой на внесените в съда актове през годината.</w:t>
      </w:r>
    </w:p>
    <w:p w:rsidR="008D014B" w:rsidRPr="00A1734B"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 xml:space="preserve">От внесените </w:t>
      </w:r>
      <w:r w:rsidRPr="00A1734B">
        <w:rPr>
          <w:rFonts w:ascii="Times New Roman" w:hAnsi="Times New Roman"/>
          <w:sz w:val="28"/>
          <w:szCs w:val="28"/>
        </w:rPr>
        <w:t>673</w:t>
      </w:r>
      <w:r w:rsidRPr="00EE4D0D">
        <w:rPr>
          <w:rFonts w:ascii="Times New Roman" w:hAnsi="Times New Roman"/>
          <w:sz w:val="28"/>
          <w:szCs w:val="28"/>
        </w:rPr>
        <w:t xml:space="preserve"> прокурорски акта през 201</w:t>
      </w:r>
      <w:r w:rsidRPr="00A1734B">
        <w:rPr>
          <w:rFonts w:ascii="Times New Roman" w:hAnsi="Times New Roman"/>
          <w:sz w:val="28"/>
          <w:szCs w:val="28"/>
        </w:rPr>
        <w:t>8</w:t>
      </w:r>
      <w:r w:rsidRPr="00EE4D0D">
        <w:rPr>
          <w:rFonts w:ascii="Times New Roman" w:hAnsi="Times New Roman"/>
          <w:sz w:val="28"/>
          <w:szCs w:val="28"/>
        </w:rPr>
        <w:t xml:space="preserve"> година от съда са върнати на прокурора 8 дела, което съставлява </w:t>
      </w:r>
      <w:r w:rsidRPr="00A1734B">
        <w:rPr>
          <w:rFonts w:ascii="Times New Roman" w:hAnsi="Times New Roman"/>
          <w:sz w:val="28"/>
          <w:szCs w:val="28"/>
        </w:rPr>
        <w:t>1</w:t>
      </w:r>
      <w:r w:rsidRPr="00EE4D0D">
        <w:rPr>
          <w:rFonts w:ascii="Times New Roman" w:hAnsi="Times New Roman"/>
          <w:sz w:val="28"/>
          <w:szCs w:val="28"/>
        </w:rPr>
        <w:t>,2% от общия брой на внесените в съда актове през годината.</w:t>
      </w:r>
    </w:p>
    <w:p w:rsidR="008D014B" w:rsidRPr="00EE4D0D"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t>През 2017 година от съда са върнати 18 дела, което съставлява 2,52</w:t>
      </w:r>
      <w:r w:rsidRPr="00EE4D0D">
        <w:rPr>
          <w:rFonts w:ascii="Times New Roman" w:hAnsi="Times New Roman"/>
          <w:sz w:val="28"/>
          <w:szCs w:val="28"/>
        </w:rPr>
        <w:t>% от общия брой</w:t>
      </w:r>
      <w:r>
        <w:rPr>
          <w:rFonts w:ascii="Times New Roman" w:hAnsi="Times New Roman"/>
          <w:sz w:val="28"/>
          <w:szCs w:val="28"/>
        </w:rPr>
        <w:t xml:space="preserve"> на внесените в съда актове (714</w:t>
      </w:r>
      <w:r w:rsidRPr="00EE4D0D">
        <w:rPr>
          <w:rFonts w:ascii="Times New Roman" w:hAnsi="Times New Roman"/>
          <w:sz w:val="28"/>
          <w:szCs w:val="28"/>
        </w:rPr>
        <w:t>) през годината.</w:t>
      </w:r>
    </w:p>
    <w:p w:rsidR="008D014B" w:rsidRPr="00292DEA" w:rsidRDefault="008D014B" w:rsidP="008D014B">
      <w:pPr>
        <w:spacing w:after="0" w:line="240" w:lineRule="auto"/>
        <w:ind w:firstLine="709"/>
        <w:jc w:val="both"/>
        <w:rPr>
          <w:rFonts w:ascii="Times New Roman" w:hAnsi="Times New Roman"/>
          <w:sz w:val="28"/>
          <w:szCs w:val="28"/>
        </w:rPr>
      </w:pPr>
      <w:r w:rsidRPr="00292DEA">
        <w:rPr>
          <w:rFonts w:ascii="Times New Roman" w:hAnsi="Times New Roman"/>
          <w:sz w:val="28"/>
          <w:szCs w:val="28"/>
        </w:rPr>
        <w:t xml:space="preserve">През отчетния период върнатите от съда на прокурора дела са се </w:t>
      </w:r>
      <w:r w:rsidRPr="0064061D">
        <w:rPr>
          <w:rFonts w:ascii="Times New Roman" w:hAnsi="Times New Roman"/>
          <w:sz w:val="28"/>
          <w:szCs w:val="28"/>
        </w:rPr>
        <w:t xml:space="preserve">увеличили с 44,4% </w:t>
      </w:r>
      <w:r w:rsidRPr="00292DEA">
        <w:rPr>
          <w:rFonts w:ascii="Times New Roman" w:hAnsi="Times New Roman"/>
          <w:sz w:val="28"/>
          <w:szCs w:val="28"/>
        </w:rPr>
        <w:t xml:space="preserve">спрямо 2018 г. и </w:t>
      </w:r>
      <w:r>
        <w:rPr>
          <w:rFonts w:ascii="Times New Roman" w:hAnsi="Times New Roman"/>
          <w:sz w:val="28"/>
          <w:szCs w:val="28"/>
        </w:rPr>
        <w:t>са без промяна спрямо 2017</w:t>
      </w:r>
      <w:r w:rsidRPr="00292DEA">
        <w:rPr>
          <w:rFonts w:ascii="Times New Roman" w:hAnsi="Times New Roman"/>
          <w:sz w:val="28"/>
          <w:szCs w:val="28"/>
        </w:rPr>
        <w:t xml:space="preserve"> г.</w:t>
      </w:r>
    </w:p>
    <w:p w:rsidR="008D014B"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По прокуратури и по години данните за внесените актове и върнатите от съда дела са изведени в графиката.</w:t>
      </w:r>
    </w:p>
    <w:p w:rsidR="008D014B" w:rsidRPr="00EE4D0D" w:rsidRDefault="008D014B" w:rsidP="008D014B">
      <w:pPr>
        <w:spacing w:after="0" w:line="240" w:lineRule="auto"/>
        <w:ind w:firstLine="709"/>
        <w:jc w:val="both"/>
        <w:rPr>
          <w:rFonts w:ascii="Times New Roman" w:hAnsi="Times New Roman"/>
          <w:sz w:val="28"/>
          <w:szCs w:val="28"/>
        </w:rPr>
      </w:pPr>
    </w:p>
    <w:p w:rsidR="008D014B" w:rsidRPr="00EE4D0D" w:rsidRDefault="008D014B" w:rsidP="008D014B">
      <w:pPr>
        <w:spacing w:after="0" w:line="240" w:lineRule="auto"/>
        <w:jc w:val="both"/>
        <w:rPr>
          <w:rFonts w:ascii="Times New Roman" w:hAnsi="Times New Roman"/>
          <w:sz w:val="28"/>
          <w:szCs w:val="28"/>
        </w:rPr>
      </w:pPr>
      <w:r w:rsidRPr="00EE4D0D">
        <w:rPr>
          <w:rFonts w:ascii="Times New Roman" w:hAnsi="Times New Roman"/>
          <w:noProof/>
          <w:sz w:val="28"/>
          <w:szCs w:val="28"/>
          <w:lang w:eastAsia="bg-BG"/>
        </w:rPr>
        <w:drawing>
          <wp:inline distT="0" distB="0" distL="0" distR="0" wp14:anchorId="4BC47AD6" wp14:editId="4BA93D35">
            <wp:extent cx="5819775" cy="4305300"/>
            <wp:effectExtent l="0" t="0" r="9525" b="19050"/>
            <wp:docPr id="62" name="Диагра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D014B" w:rsidRPr="00657C93" w:rsidRDefault="008D014B" w:rsidP="008D014B">
      <w:pPr>
        <w:spacing w:after="0" w:line="240" w:lineRule="auto"/>
        <w:jc w:val="both"/>
        <w:rPr>
          <w:rFonts w:ascii="Times New Roman" w:hAnsi="Times New Roman"/>
          <w:color w:val="FF0000"/>
          <w:sz w:val="28"/>
          <w:szCs w:val="28"/>
        </w:rPr>
      </w:pPr>
    </w:p>
    <w:p w:rsidR="008D014B" w:rsidRDefault="008D014B" w:rsidP="008D014B">
      <w:pPr>
        <w:spacing w:after="0" w:line="240" w:lineRule="auto"/>
        <w:ind w:firstLine="709"/>
        <w:jc w:val="both"/>
        <w:rPr>
          <w:rFonts w:ascii="Times New Roman" w:hAnsi="Times New Roman"/>
          <w:sz w:val="28"/>
          <w:szCs w:val="28"/>
        </w:rPr>
      </w:pPr>
      <w:r w:rsidRPr="00841A12">
        <w:rPr>
          <w:rFonts w:ascii="Times New Roman" w:hAnsi="Times New Roman"/>
          <w:sz w:val="28"/>
          <w:szCs w:val="28"/>
        </w:rPr>
        <w:t>Фиг.3</w:t>
      </w:r>
      <w:r w:rsidR="00841A12" w:rsidRPr="00841A12">
        <w:rPr>
          <w:rFonts w:ascii="Times New Roman" w:hAnsi="Times New Roman"/>
          <w:sz w:val="28"/>
          <w:szCs w:val="28"/>
        </w:rPr>
        <w:t>7</w:t>
      </w:r>
      <w:r w:rsidRPr="00841A12">
        <w:rPr>
          <w:rFonts w:ascii="Times New Roman" w:hAnsi="Times New Roman"/>
          <w:sz w:val="28"/>
          <w:szCs w:val="28"/>
        </w:rPr>
        <w:t xml:space="preserve">. </w:t>
      </w:r>
      <w:r w:rsidRPr="00EE4D0D">
        <w:rPr>
          <w:rFonts w:ascii="Times New Roman" w:hAnsi="Times New Roman"/>
          <w:sz w:val="28"/>
          <w:szCs w:val="28"/>
        </w:rPr>
        <w:t>Внесени в съда прокурорски актове и върнати от съда дела през последните три години.</w:t>
      </w:r>
    </w:p>
    <w:p w:rsidR="008D014B"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lastRenderedPageBreak/>
        <w:t>Относителен дял на върнатите дела спрямо внесените в съда прокурорски акт</w:t>
      </w:r>
      <w:r>
        <w:rPr>
          <w:rFonts w:ascii="Times New Roman" w:hAnsi="Times New Roman"/>
          <w:sz w:val="28"/>
          <w:szCs w:val="28"/>
        </w:rPr>
        <w:t>ове по прокуратури и по години.</w:t>
      </w:r>
    </w:p>
    <w:p w:rsidR="008D014B" w:rsidRDefault="008D014B" w:rsidP="008D014B">
      <w:pPr>
        <w:spacing w:after="0" w:line="240" w:lineRule="auto"/>
        <w:ind w:firstLine="709"/>
        <w:jc w:val="both"/>
        <w:rPr>
          <w:rFonts w:ascii="Times New Roman" w:hAnsi="Times New Roman"/>
          <w:sz w:val="28"/>
          <w:szCs w:val="28"/>
        </w:rPr>
      </w:pPr>
    </w:p>
    <w:p w:rsidR="008D014B" w:rsidRPr="00EE4D0D" w:rsidRDefault="008D014B" w:rsidP="008D014B">
      <w:pPr>
        <w:spacing w:after="0" w:line="240" w:lineRule="auto"/>
        <w:ind w:firstLine="709"/>
        <w:jc w:val="both"/>
        <w:rPr>
          <w:rFonts w:ascii="Times New Roman" w:hAnsi="Times New Roman"/>
          <w:sz w:val="28"/>
          <w:szCs w:val="28"/>
        </w:rPr>
      </w:pPr>
    </w:p>
    <w:tbl>
      <w:tblPr>
        <w:tblStyle w:val="11"/>
        <w:tblW w:w="0" w:type="auto"/>
        <w:tblLook w:val="04A0" w:firstRow="1" w:lastRow="0" w:firstColumn="1" w:lastColumn="0" w:noHBand="0" w:noVBand="1"/>
      </w:tblPr>
      <w:tblGrid>
        <w:gridCol w:w="1660"/>
        <w:gridCol w:w="1007"/>
        <w:gridCol w:w="1914"/>
        <w:gridCol w:w="2152"/>
        <w:gridCol w:w="2675"/>
      </w:tblGrid>
      <w:tr w:rsidR="008D014B" w:rsidRPr="006318F6" w:rsidTr="00766ADB">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014B" w:rsidRPr="006318F6" w:rsidRDefault="008D014B" w:rsidP="00766ADB">
            <w:pPr>
              <w:rPr>
                <w:rFonts w:ascii="Times New Roman" w:hAnsi="Times New Roman"/>
                <w:b/>
                <w:sz w:val="24"/>
                <w:szCs w:val="24"/>
              </w:rPr>
            </w:pPr>
            <w:r w:rsidRPr="006318F6">
              <w:rPr>
                <w:rFonts w:ascii="Times New Roman" w:hAnsi="Times New Roman"/>
                <w:b/>
                <w:sz w:val="24"/>
                <w:szCs w:val="24"/>
              </w:rPr>
              <w:t>Прокуратура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014B" w:rsidRPr="006318F6" w:rsidRDefault="008D014B" w:rsidP="00766ADB">
            <w:pPr>
              <w:rPr>
                <w:rFonts w:ascii="Times New Roman" w:hAnsi="Times New Roman"/>
                <w:b/>
                <w:sz w:val="24"/>
                <w:szCs w:val="24"/>
              </w:rPr>
            </w:pPr>
            <w:r w:rsidRPr="006318F6">
              <w:rPr>
                <w:rFonts w:ascii="Times New Roman" w:hAnsi="Times New Roman"/>
                <w:b/>
                <w:sz w:val="24"/>
                <w:szCs w:val="24"/>
              </w:rPr>
              <w:t>Година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014B" w:rsidRPr="006318F6" w:rsidRDefault="008D014B" w:rsidP="00766ADB">
            <w:pPr>
              <w:rPr>
                <w:rFonts w:ascii="Times New Roman" w:hAnsi="Times New Roman"/>
                <w:b/>
                <w:sz w:val="24"/>
                <w:szCs w:val="24"/>
              </w:rPr>
            </w:pPr>
            <w:r w:rsidRPr="006318F6">
              <w:rPr>
                <w:rFonts w:ascii="Times New Roman" w:hAnsi="Times New Roman"/>
                <w:b/>
                <w:sz w:val="24"/>
                <w:szCs w:val="24"/>
              </w:rPr>
              <w:t>Внесени в съда прокурорски актове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014B" w:rsidRPr="006318F6" w:rsidRDefault="008D014B" w:rsidP="00766ADB">
            <w:pPr>
              <w:rPr>
                <w:rFonts w:ascii="Times New Roman" w:hAnsi="Times New Roman"/>
                <w:b/>
                <w:sz w:val="24"/>
                <w:szCs w:val="24"/>
              </w:rPr>
            </w:pPr>
            <w:r w:rsidRPr="006318F6">
              <w:rPr>
                <w:rFonts w:ascii="Times New Roman" w:hAnsi="Times New Roman"/>
                <w:b/>
                <w:sz w:val="24"/>
                <w:szCs w:val="24"/>
              </w:rPr>
              <w:t>Върнати от съда дела на прокуратурата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014B" w:rsidRPr="006318F6" w:rsidRDefault="008D014B" w:rsidP="00766ADB">
            <w:pPr>
              <w:rPr>
                <w:rFonts w:ascii="Times New Roman" w:hAnsi="Times New Roman"/>
                <w:b/>
                <w:sz w:val="24"/>
                <w:szCs w:val="24"/>
              </w:rPr>
            </w:pPr>
            <w:r w:rsidRPr="006318F6">
              <w:rPr>
                <w:rFonts w:ascii="Times New Roman" w:hAnsi="Times New Roman"/>
                <w:b/>
                <w:sz w:val="24"/>
                <w:szCs w:val="24"/>
              </w:rPr>
              <w:t>Относителен дял на върнатите дела спрямо внесените в съда прокурорски актове по прокуратури</w:t>
            </w:r>
          </w:p>
        </w:tc>
      </w:tr>
      <w:tr w:rsidR="008D014B" w:rsidRPr="006318F6" w:rsidTr="00266C7C">
        <w:trPr>
          <w:cantSplit/>
          <w:trHeight w:hRule="exact" w:val="907"/>
        </w:trPr>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sidRPr="006318F6">
              <w:rPr>
                <w:rFonts w:ascii="Times New Roman" w:hAnsi="Times New Roman"/>
                <w:sz w:val="24"/>
                <w:szCs w:val="24"/>
              </w:rPr>
              <w:t>ОП Разград</w:t>
            </w:r>
          </w:p>
          <w:p w:rsidR="008D014B" w:rsidRPr="006318F6"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Pr>
                <w:rFonts w:ascii="Times New Roman" w:hAnsi="Times New Roman"/>
                <w:sz w:val="24"/>
                <w:szCs w:val="24"/>
              </w:rPr>
              <w:t>2019</w:t>
            </w:r>
            <w:r w:rsidRPr="006318F6">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jc w:val="center"/>
              <w:rPr>
                <w:rFonts w:ascii="Times New Roman" w:hAnsi="Times New Roman"/>
                <w:sz w:val="24"/>
                <w:szCs w:val="24"/>
              </w:rPr>
            </w:pPr>
            <w:r>
              <w:rPr>
                <w:rFonts w:ascii="Times New Roman" w:hAnsi="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8E4422" w:rsidRDefault="008D014B" w:rsidP="00766ADB">
            <w:pPr>
              <w:ind w:firstLine="709"/>
              <w:rPr>
                <w:rFonts w:ascii="Times New Roman" w:hAnsi="Times New Roman"/>
                <w:color w:val="FF0000"/>
                <w:sz w:val="24"/>
                <w:szCs w:val="24"/>
              </w:rPr>
            </w:pPr>
            <w:r w:rsidRPr="00BA28B8">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7,5%</w:t>
            </w:r>
          </w:p>
        </w:tc>
      </w:tr>
      <w:tr w:rsidR="008D014B" w:rsidRPr="006318F6" w:rsidTr="00266C7C">
        <w:trPr>
          <w:cantSplit/>
          <w:trHeight w:hRule="exact" w:val="907"/>
        </w:trPr>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sidRPr="006318F6">
              <w:rPr>
                <w:rFonts w:ascii="Times New Roman" w:hAnsi="Times New Roman"/>
                <w:sz w:val="24"/>
                <w:szCs w:val="24"/>
              </w:rPr>
              <w:t>РП Разград</w:t>
            </w:r>
          </w:p>
          <w:p w:rsidR="008D014B" w:rsidRPr="006318F6"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Pr>
                <w:rFonts w:ascii="Times New Roman" w:hAnsi="Times New Roman"/>
                <w:sz w:val="24"/>
                <w:szCs w:val="24"/>
              </w:rPr>
              <w:t>2019</w:t>
            </w:r>
            <w:r w:rsidRPr="006318F6">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296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2,7%</w:t>
            </w:r>
          </w:p>
        </w:tc>
      </w:tr>
      <w:tr w:rsidR="008D014B" w:rsidRPr="006318F6" w:rsidTr="00266C7C">
        <w:trPr>
          <w:cantSplit/>
          <w:trHeight w:hRule="exact" w:val="907"/>
        </w:trPr>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sidRPr="006318F6">
              <w:rPr>
                <w:rFonts w:ascii="Times New Roman" w:hAnsi="Times New Roman"/>
                <w:sz w:val="24"/>
                <w:szCs w:val="24"/>
              </w:rPr>
              <w:t>РП Исперих</w:t>
            </w:r>
          </w:p>
          <w:p w:rsidR="008D014B" w:rsidRPr="006318F6"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Pr>
                <w:rFonts w:ascii="Times New Roman" w:hAnsi="Times New Roman"/>
                <w:sz w:val="24"/>
                <w:szCs w:val="24"/>
              </w:rPr>
              <w:t>2019</w:t>
            </w:r>
            <w:r w:rsidRPr="006318F6">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191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3,14%</w:t>
            </w:r>
          </w:p>
        </w:tc>
      </w:tr>
      <w:tr w:rsidR="008D014B" w:rsidRPr="006318F6" w:rsidTr="00266C7C">
        <w:trPr>
          <w:cantSplit/>
          <w:trHeight w:hRule="exact" w:val="907"/>
        </w:trPr>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sidRPr="006318F6">
              <w:rPr>
                <w:rFonts w:ascii="Times New Roman" w:hAnsi="Times New Roman"/>
                <w:sz w:val="24"/>
                <w:szCs w:val="24"/>
              </w:rPr>
              <w:t>РП Кубрат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Pr>
                <w:rFonts w:ascii="Times New Roman" w:hAnsi="Times New Roman"/>
                <w:sz w:val="24"/>
                <w:szCs w:val="24"/>
              </w:rPr>
              <w:t>2019</w:t>
            </w:r>
            <w:r w:rsidRPr="006318F6">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146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0,68%</w:t>
            </w:r>
          </w:p>
        </w:tc>
      </w:tr>
      <w:tr w:rsidR="008D014B" w:rsidRPr="006318F6" w:rsidTr="00266C7C">
        <w:trPr>
          <w:cantSplit/>
          <w:trHeight w:hRule="exact" w:val="907"/>
        </w:trPr>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sidRPr="006318F6">
              <w:rPr>
                <w:rFonts w:ascii="Times New Roman" w:hAnsi="Times New Roman"/>
                <w:sz w:val="24"/>
                <w:szCs w:val="24"/>
              </w:rPr>
              <w:t>ОП Разград</w:t>
            </w:r>
          </w:p>
          <w:p w:rsidR="008D014B" w:rsidRPr="006318F6"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Pr>
                <w:rFonts w:ascii="Times New Roman" w:hAnsi="Times New Roman"/>
                <w:sz w:val="24"/>
                <w:szCs w:val="24"/>
              </w:rPr>
              <w:t>2018</w:t>
            </w:r>
            <w:r w:rsidRPr="006318F6">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1,96</w:t>
            </w:r>
            <w:r w:rsidRPr="006318F6">
              <w:rPr>
                <w:rFonts w:ascii="Times New Roman" w:hAnsi="Times New Roman"/>
                <w:sz w:val="24"/>
                <w:szCs w:val="24"/>
              </w:rPr>
              <w:t>%</w:t>
            </w:r>
          </w:p>
        </w:tc>
      </w:tr>
      <w:tr w:rsidR="008D014B" w:rsidRPr="006318F6" w:rsidTr="00266C7C">
        <w:trPr>
          <w:cantSplit/>
          <w:trHeight w:hRule="exact" w:val="907"/>
        </w:trPr>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sidRPr="006318F6">
              <w:rPr>
                <w:rFonts w:ascii="Times New Roman" w:hAnsi="Times New Roman"/>
                <w:sz w:val="24"/>
                <w:szCs w:val="24"/>
              </w:rPr>
              <w:t>РП Разград</w:t>
            </w:r>
          </w:p>
          <w:p w:rsidR="008D014B" w:rsidRPr="006318F6"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Pr>
                <w:rFonts w:ascii="Times New Roman" w:hAnsi="Times New Roman"/>
                <w:sz w:val="24"/>
                <w:szCs w:val="24"/>
              </w:rPr>
              <w:t>2018</w:t>
            </w:r>
            <w:r w:rsidRPr="006318F6">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263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1,52</w:t>
            </w:r>
            <w:r w:rsidRPr="006318F6">
              <w:rPr>
                <w:rFonts w:ascii="Times New Roman" w:hAnsi="Times New Roman"/>
                <w:sz w:val="24"/>
                <w:szCs w:val="24"/>
              </w:rPr>
              <w:t>%</w:t>
            </w:r>
          </w:p>
        </w:tc>
      </w:tr>
      <w:tr w:rsidR="008D014B" w:rsidRPr="006318F6" w:rsidTr="00266C7C">
        <w:trPr>
          <w:cantSplit/>
          <w:trHeight w:hRule="exact" w:val="907"/>
        </w:trPr>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sidRPr="006318F6">
              <w:rPr>
                <w:rFonts w:ascii="Times New Roman" w:hAnsi="Times New Roman"/>
                <w:sz w:val="24"/>
                <w:szCs w:val="24"/>
              </w:rPr>
              <w:t>РП Исперих</w:t>
            </w:r>
          </w:p>
          <w:p w:rsidR="008D014B" w:rsidRPr="006318F6"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Pr>
                <w:rFonts w:ascii="Times New Roman" w:hAnsi="Times New Roman"/>
                <w:sz w:val="24"/>
                <w:szCs w:val="24"/>
              </w:rPr>
              <w:t>2018</w:t>
            </w:r>
            <w:r w:rsidRPr="006318F6">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184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1,63</w:t>
            </w:r>
            <w:r w:rsidRPr="006318F6">
              <w:rPr>
                <w:rFonts w:ascii="Times New Roman" w:hAnsi="Times New Roman"/>
                <w:sz w:val="24"/>
                <w:szCs w:val="24"/>
              </w:rPr>
              <w:t>%</w:t>
            </w:r>
          </w:p>
        </w:tc>
      </w:tr>
      <w:tr w:rsidR="008D014B" w:rsidRPr="006318F6" w:rsidTr="00266C7C">
        <w:trPr>
          <w:cantSplit/>
          <w:trHeight w:hRule="exact" w:val="907"/>
        </w:trPr>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sidRPr="006318F6">
              <w:rPr>
                <w:rFonts w:ascii="Times New Roman" w:hAnsi="Times New Roman"/>
                <w:sz w:val="24"/>
                <w:szCs w:val="24"/>
              </w:rPr>
              <w:t>РП Кубрат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Pr>
                <w:rFonts w:ascii="Times New Roman" w:hAnsi="Times New Roman"/>
                <w:sz w:val="24"/>
                <w:szCs w:val="24"/>
              </w:rPr>
              <w:t>2018</w:t>
            </w:r>
            <w:r w:rsidRPr="006318F6">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175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sidRPr="006318F6">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sidRPr="006318F6">
              <w:rPr>
                <w:rFonts w:ascii="Times New Roman" w:hAnsi="Times New Roman"/>
                <w:sz w:val="24"/>
                <w:szCs w:val="24"/>
              </w:rPr>
              <w:t>-</w:t>
            </w:r>
          </w:p>
        </w:tc>
      </w:tr>
      <w:tr w:rsidR="008D014B" w:rsidRPr="006318F6" w:rsidTr="00266C7C">
        <w:trPr>
          <w:cantSplit/>
          <w:trHeight w:hRule="exact" w:val="907"/>
        </w:trPr>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sidRPr="006318F6">
              <w:rPr>
                <w:rFonts w:ascii="Times New Roman" w:hAnsi="Times New Roman"/>
                <w:sz w:val="24"/>
                <w:szCs w:val="24"/>
              </w:rPr>
              <w:t>ОП Разград</w:t>
            </w:r>
          </w:p>
          <w:p w:rsidR="008D014B" w:rsidRPr="006318F6"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014B" w:rsidRPr="006318F6" w:rsidRDefault="008D014B" w:rsidP="00766ADB">
            <w:pPr>
              <w:rPr>
                <w:rFonts w:ascii="Times New Roman" w:hAnsi="Times New Roman"/>
                <w:sz w:val="24"/>
                <w:szCs w:val="24"/>
              </w:rPr>
            </w:pPr>
            <w:r>
              <w:rPr>
                <w:rFonts w:ascii="Times New Roman" w:hAnsi="Times New Roman"/>
                <w:sz w:val="24"/>
                <w:szCs w:val="24"/>
              </w:rPr>
              <w:t>2017</w:t>
            </w:r>
            <w:r w:rsidRPr="006318F6">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8,88</w:t>
            </w:r>
            <w:r w:rsidRPr="006318F6">
              <w:rPr>
                <w:rFonts w:ascii="Times New Roman" w:hAnsi="Times New Roman"/>
                <w:sz w:val="24"/>
                <w:szCs w:val="24"/>
              </w:rPr>
              <w:t>%</w:t>
            </w:r>
          </w:p>
        </w:tc>
      </w:tr>
      <w:tr w:rsidR="008D014B" w:rsidRPr="006318F6" w:rsidTr="00266C7C">
        <w:trPr>
          <w:cantSplit/>
          <w:trHeight w:hRule="exact" w:val="907"/>
        </w:trPr>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sidRPr="006318F6">
              <w:rPr>
                <w:rFonts w:ascii="Times New Roman" w:hAnsi="Times New Roman"/>
                <w:sz w:val="24"/>
                <w:szCs w:val="24"/>
              </w:rPr>
              <w:t>РП Разград</w:t>
            </w:r>
          </w:p>
          <w:p w:rsidR="008D014B" w:rsidRPr="006318F6"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014B" w:rsidRPr="006318F6" w:rsidRDefault="008D014B" w:rsidP="00766ADB">
            <w:pPr>
              <w:rPr>
                <w:rFonts w:ascii="Times New Roman" w:hAnsi="Times New Roman"/>
                <w:sz w:val="24"/>
                <w:szCs w:val="24"/>
              </w:rPr>
            </w:pPr>
            <w:r>
              <w:rPr>
                <w:rFonts w:ascii="Times New Roman" w:hAnsi="Times New Roman"/>
                <w:sz w:val="24"/>
                <w:szCs w:val="24"/>
              </w:rPr>
              <w:t>2017</w:t>
            </w:r>
            <w:r w:rsidRPr="006318F6">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295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3,05</w:t>
            </w:r>
            <w:r w:rsidRPr="006318F6">
              <w:rPr>
                <w:rFonts w:ascii="Times New Roman" w:hAnsi="Times New Roman"/>
                <w:sz w:val="24"/>
                <w:szCs w:val="24"/>
              </w:rPr>
              <w:t>%</w:t>
            </w:r>
          </w:p>
        </w:tc>
      </w:tr>
      <w:tr w:rsidR="008D014B" w:rsidRPr="006318F6" w:rsidTr="00266C7C">
        <w:trPr>
          <w:cantSplit/>
          <w:trHeight w:hRule="exact" w:val="907"/>
        </w:trPr>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sidRPr="006318F6">
              <w:rPr>
                <w:rFonts w:ascii="Times New Roman" w:hAnsi="Times New Roman"/>
                <w:sz w:val="24"/>
                <w:szCs w:val="24"/>
              </w:rPr>
              <w:t>РП Исперих</w:t>
            </w:r>
          </w:p>
          <w:p w:rsidR="008D014B" w:rsidRPr="006318F6"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014B" w:rsidRPr="006318F6" w:rsidRDefault="008D014B" w:rsidP="00766ADB">
            <w:pPr>
              <w:rPr>
                <w:rFonts w:ascii="Times New Roman" w:hAnsi="Times New Roman"/>
                <w:sz w:val="24"/>
                <w:szCs w:val="24"/>
              </w:rPr>
            </w:pPr>
            <w:r>
              <w:rPr>
                <w:rFonts w:ascii="Times New Roman" w:hAnsi="Times New Roman"/>
                <w:sz w:val="24"/>
                <w:szCs w:val="24"/>
              </w:rPr>
              <w:t>2017</w:t>
            </w:r>
            <w:r w:rsidRPr="006318F6">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220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2,27</w:t>
            </w:r>
            <w:r w:rsidRPr="006318F6">
              <w:rPr>
                <w:rFonts w:ascii="Times New Roman" w:hAnsi="Times New Roman"/>
                <w:sz w:val="24"/>
                <w:szCs w:val="24"/>
              </w:rPr>
              <w:t>%</w:t>
            </w:r>
          </w:p>
        </w:tc>
      </w:tr>
      <w:tr w:rsidR="008D014B" w:rsidRPr="006318F6" w:rsidTr="00266C7C">
        <w:trPr>
          <w:cantSplit/>
          <w:trHeight w:hRule="exact" w:val="90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014B" w:rsidRPr="006318F6" w:rsidRDefault="008D014B" w:rsidP="00766ADB">
            <w:pPr>
              <w:rPr>
                <w:rFonts w:ascii="Times New Roman" w:hAnsi="Times New Roman"/>
                <w:sz w:val="24"/>
                <w:szCs w:val="24"/>
              </w:rPr>
            </w:pPr>
            <w:r w:rsidRPr="006318F6">
              <w:rPr>
                <w:rFonts w:ascii="Times New Roman" w:hAnsi="Times New Roman"/>
                <w:sz w:val="24"/>
                <w:szCs w:val="24"/>
              </w:rPr>
              <w:t>РП Кубрат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rPr>
                <w:rFonts w:ascii="Times New Roman" w:hAnsi="Times New Roman"/>
                <w:sz w:val="24"/>
                <w:szCs w:val="24"/>
              </w:rPr>
            </w:pPr>
            <w:r>
              <w:rPr>
                <w:rFonts w:ascii="Times New Roman" w:hAnsi="Times New Roman"/>
                <w:sz w:val="24"/>
                <w:szCs w:val="24"/>
              </w:rPr>
              <w:t>2017</w:t>
            </w:r>
            <w:r w:rsidRPr="006318F6">
              <w:rPr>
                <w:rFonts w:ascii="Times New Roman" w:hAnsi="Times New Roman"/>
                <w:sz w:val="24"/>
                <w:szCs w:val="24"/>
              </w:rPr>
              <w:t>г.</w:t>
            </w:r>
          </w:p>
          <w:p w:rsidR="008D014B" w:rsidRPr="006318F6"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Pr>
                <w:rFonts w:ascii="Times New Roman" w:hAnsi="Times New Roman"/>
                <w:sz w:val="24"/>
                <w:szCs w:val="24"/>
              </w:rPr>
              <w:t>154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sidRPr="006318F6">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6318F6" w:rsidRDefault="008D014B" w:rsidP="00766ADB">
            <w:pPr>
              <w:ind w:firstLine="709"/>
              <w:rPr>
                <w:rFonts w:ascii="Times New Roman" w:hAnsi="Times New Roman"/>
                <w:sz w:val="24"/>
                <w:szCs w:val="24"/>
              </w:rPr>
            </w:pPr>
            <w:r w:rsidRPr="006318F6">
              <w:rPr>
                <w:rFonts w:ascii="Times New Roman" w:hAnsi="Times New Roman"/>
                <w:sz w:val="24"/>
                <w:szCs w:val="24"/>
              </w:rPr>
              <w:t>-</w:t>
            </w:r>
          </w:p>
        </w:tc>
      </w:tr>
    </w:tbl>
    <w:p w:rsidR="008D014B" w:rsidRDefault="008D014B" w:rsidP="008D014B">
      <w:pPr>
        <w:spacing w:after="0" w:line="240" w:lineRule="auto"/>
        <w:jc w:val="both"/>
        <w:rPr>
          <w:rFonts w:ascii="Times New Roman" w:hAnsi="Times New Roman"/>
          <w:sz w:val="24"/>
          <w:szCs w:val="24"/>
        </w:rPr>
      </w:pPr>
    </w:p>
    <w:p w:rsidR="008D014B" w:rsidRPr="00EE4D0D" w:rsidRDefault="008D014B" w:rsidP="008D014B">
      <w:pPr>
        <w:spacing w:after="0" w:line="240" w:lineRule="auto"/>
        <w:ind w:hanging="142"/>
        <w:jc w:val="both"/>
        <w:rPr>
          <w:rFonts w:ascii="Times New Roman" w:hAnsi="Times New Roman"/>
          <w:sz w:val="28"/>
          <w:szCs w:val="28"/>
        </w:rPr>
      </w:pPr>
      <w:r w:rsidRPr="00EE4D0D">
        <w:rPr>
          <w:rFonts w:ascii="Times New Roman" w:hAnsi="Times New Roman"/>
          <w:noProof/>
          <w:sz w:val="28"/>
          <w:szCs w:val="28"/>
          <w:lang w:eastAsia="bg-BG"/>
        </w:rPr>
        <w:lastRenderedPageBreak/>
        <w:drawing>
          <wp:inline distT="0" distB="0" distL="0" distR="0" wp14:anchorId="4DD14742" wp14:editId="70A77AA7">
            <wp:extent cx="5962650" cy="2619375"/>
            <wp:effectExtent l="0" t="0" r="19050" b="9525"/>
            <wp:docPr id="63" name="Диагра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D014B" w:rsidRPr="00EE4D0D"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t>Фиг. 3</w:t>
      </w:r>
      <w:r w:rsidR="00841A12">
        <w:rPr>
          <w:rFonts w:ascii="Times New Roman" w:hAnsi="Times New Roman"/>
          <w:sz w:val="28"/>
          <w:szCs w:val="28"/>
        </w:rPr>
        <w:t>8</w:t>
      </w:r>
      <w:r w:rsidRPr="00EE4D0D">
        <w:rPr>
          <w:rFonts w:ascii="Times New Roman" w:hAnsi="Times New Roman"/>
          <w:sz w:val="28"/>
          <w:szCs w:val="28"/>
        </w:rPr>
        <w:t>. Относителен дял на върнатите дела спрямо внесените в съда прокурорски актове по прокуратури през последните години.</w:t>
      </w:r>
    </w:p>
    <w:p w:rsidR="008D014B" w:rsidRPr="00EE4D0D" w:rsidRDefault="008D014B" w:rsidP="008D014B">
      <w:pPr>
        <w:spacing w:after="0" w:line="240" w:lineRule="auto"/>
        <w:jc w:val="both"/>
        <w:rPr>
          <w:rFonts w:ascii="Times New Roman" w:hAnsi="Times New Roman"/>
          <w:sz w:val="28"/>
          <w:szCs w:val="28"/>
          <w:highlight w:val="yellow"/>
        </w:rPr>
      </w:pPr>
    </w:p>
    <w:p w:rsidR="008D014B" w:rsidRPr="00FC4B3E"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През отчетния пери</w:t>
      </w:r>
      <w:r>
        <w:rPr>
          <w:rFonts w:ascii="Times New Roman" w:hAnsi="Times New Roman"/>
          <w:sz w:val="28"/>
          <w:szCs w:val="28"/>
        </w:rPr>
        <w:t>од на прокуратурите от Разградски съдебен район са върнати общо 18 дела</w:t>
      </w:r>
      <w:r w:rsidRPr="00EE4D0D">
        <w:rPr>
          <w:rFonts w:ascii="Times New Roman" w:hAnsi="Times New Roman"/>
          <w:sz w:val="28"/>
          <w:szCs w:val="28"/>
        </w:rPr>
        <w:t xml:space="preserve">, </w:t>
      </w:r>
      <w:r w:rsidRPr="009A178E">
        <w:rPr>
          <w:rFonts w:ascii="Times New Roman" w:hAnsi="Times New Roman"/>
          <w:sz w:val="28"/>
          <w:szCs w:val="28"/>
        </w:rPr>
        <w:t>от които 1</w:t>
      </w:r>
      <w:r>
        <w:rPr>
          <w:rFonts w:ascii="Times New Roman" w:hAnsi="Times New Roman"/>
          <w:sz w:val="28"/>
          <w:szCs w:val="28"/>
        </w:rPr>
        <w:t>3</w:t>
      </w:r>
      <w:r w:rsidRPr="009A178E">
        <w:rPr>
          <w:rFonts w:ascii="Times New Roman" w:hAnsi="Times New Roman"/>
          <w:sz w:val="28"/>
          <w:szCs w:val="28"/>
        </w:rPr>
        <w:t xml:space="preserve"> са били внесени в съда с обвинителен акт, 4 </w:t>
      </w:r>
      <w:r>
        <w:rPr>
          <w:rFonts w:ascii="Times New Roman" w:hAnsi="Times New Roman"/>
          <w:sz w:val="28"/>
          <w:szCs w:val="28"/>
        </w:rPr>
        <w:t>с внесени споразумения - неодобрени</w:t>
      </w:r>
      <w:r w:rsidRPr="009A178E">
        <w:rPr>
          <w:rFonts w:ascii="Times New Roman" w:hAnsi="Times New Roman"/>
          <w:sz w:val="28"/>
          <w:szCs w:val="28"/>
        </w:rPr>
        <w:t xml:space="preserve">, </w:t>
      </w:r>
      <w:r>
        <w:rPr>
          <w:rFonts w:ascii="Times New Roman" w:hAnsi="Times New Roman"/>
          <w:sz w:val="28"/>
          <w:szCs w:val="28"/>
        </w:rPr>
        <w:t xml:space="preserve">а едно – </w:t>
      </w:r>
      <w:r w:rsidRPr="009A178E">
        <w:rPr>
          <w:rFonts w:ascii="Times New Roman" w:hAnsi="Times New Roman"/>
          <w:sz w:val="28"/>
          <w:szCs w:val="28"/>
        </w:rPr>
        <w:t xml:space="preserve">с предложение за освобождаване от наказателна отговорност и налагане на административно наказание. </w:t>
      </w:r>
    </w:p>
    <w:p w:rsidR="008D014B" w:rsidRDefault="008D014B" w:rsidP="008D014B">
      <w:pPr>
        <w:spacing w:after="0" w:line="240" w:lineRule="auto"/>
        <w:ind w:firstLine="709"/>
        <w:jc w:val="both"/>
        <w:rPr>
          <w:rFonts w:ascii="Times New Roman" w:hAnsi="Times New Roman"/>
          <w:color w:val="FF0000"/>
          <w:sz w:val="28"/>
          <w:szCs w:val="28"/>
        </w:rPr>
      </w:pPr>
    </w:p>
    <w:p w:rsidR="008D014B" w:rsidRDefault="008D014B" w:rsidP="008D014B">
      <w:pPr>
        <w:spacing w:after="0" w:line="240" w:lineRule="auto"/>
        <w:ind w:firstLine="709"/>
        <w:jc w:val="both"/>
        <w:rPr>
          <w:rFonts w:ascii="Times New Roman" w:hAnsi="Times New Roman"/>
          <w:color w:val="FF0000"/>
          <w:sz w:val="28"/>
          <w:szCs w:val="28"/>
        </w:rPr>
      </w:pPr>
    </w:p>
    <w:p w:rsidR="008D014B" w:rsidRPr="004073D2" w:rsidRDefault="008D014B" w:rsidP="008D014B">
      <w:pPr>
        <w:spacing w:after="0" w:line="240" w:lineRule="auto"/>
        <w:ind w:firstLine="709"/>
        <w:jc w:val="both"/>
        <w:rPr>
          <w:rFonts w:ascii="Times New Roman" w:hAnsi="Times New Roman"/>
          <w:b/>
          <w:sz w:val="28"/>
          <w:szCs w:val="28"/>
        </w:rPr>
      </w:pPr>
      <w:r w:rsidRPr="004073D2">
        <w:rPr>
          <w:rFonts w:ascii="Times New Roman" w:hAnsi="Times New Roman"/>
          <w:b/>
          <w:sz w:val="28"/>
          <w:szCs w:val="28"/>
        </w:rPr>
        <w:t>Протести срещу разпореждания за връщане на делата.</w:t>
      </w:r>
    </w:p>
    <w:p w:rsidR="008D014B"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През отчетния перио</w:t>
      </w:r>
      <w:r>
        <w:rPr>
          <w:rFonts w:ascii="Times New Roman" w:hAnsi="Times New Roman"/>
          <w:sz w:val="28"/>
          <w:szCs w:val="28"/>
        </w:rPr>
        <w:t>д в съдебния район са подадени 11</w:t>
      </w:r>
      <w:r w:rsidRPr="00EE4D0D">
        <w:rPr>
          <w:rFonts w:ascii="Times New Roman" w:hAnsi="Times New Roman"/>
          <w:sz w:val="28"/>
          <w:szCs w:val="28"/>
        </w:rPr>
        <w:t xml:space="preserve"> протеста срещу върнати на прокуратурата от съда дела, </w:t>
      </w:r>
      <w:r>
        <w:rPr>
          <w:rFonts w:ascii="Times New Roman" w:hAnsi="Times New Roman"/>
          <w:sz w:val="28"/>
          <w:szCs w:val="28"/>
        </w:rPr>
        <w:t>9</w:t>
      </w:r>
      <w:r w:rsidRPr="00EE4D0D">
        <w:rPr>
          <w:rFonts w:ascii="Times New Roman" w:hAnsi="Times New Roman"/>
          <w:sz w:val="28"/>
          <w:szCs w:val="28"/>
        </w:rPr>
        <w:t xml:space="preserve"> са разгледани от съда, </w:t>
      </w:r>
      <w:r>
        <w:rPr>
          <w:rFonts w:ascii="Times New Roman" w:hAnsi="Times New Roman"/>
          <w:sz w:val="28"/>
          <w:szCs w:val="28"/>
        </w:rPr>
        <w:t xml:space="preserve">2 </w:t>
      </w:r>
      <w:r w:rsidRPr="00EE4D0D">
        <w:rPr>
          <w:rFonts w:ascii="Times New Roman" w:hAnsi="Times New Roman"/>
          <w:sz w:val="28"/>
          <w:szCs w:val="28"/>
        </w:rPr>
        <w:t>протеста са уважени.</w:t>
      </w:r>
    </w:p>
    <w:p w:rsidR="008D014B" w:rsidRDefault="008D014B" w:rsidP="008D014B">
      <w:pPr>
        <w:spacing w:after="0" w:line="240" w:lineRule="auto"/>
        <w:ind w:firstLine="709"/>
        <w:jc w:val="both"/>
        <w:rPr>
          <w:rFonts w:ascii="Times New Roman" w:hAnsi="Times New Roman"/>
          <w:sz w:val="28"/>
          <w:szCs w:val="28"/>
        </w:rPr>
      </w:pPr>
    </w:p>
    <w:p w:rsidR="008D014B" w:rsidRPr="00EE4D0D" w:rsidRDefault="008D014B" w:rsidP="008D014B">
      <w:pPr>
        <w:spacing w:after="0" w:line="240" w:lineRule="auto"/>
        <w:ind w:firstLine="709"/>
        <w:jc w:val="both"/>
        <w:rPr>
          <w:rFonts w:ascii="Times New Roman" w:hAnsi="Times New Roman"/>
          <w:sz w:val="28"/>
          <w:szCs w:val="28"/>
        </w:rPr>
      </w:pPr>
    </w:p>
    <w:p w:rsidR="008D014B" w:rsidRPr="00DE16E7" w:rsidRDefault="008D014B" w:rsidP="008D014B">
      <w:pPr>
        <w:spacing w:after="0" w:line="240" w:lineRule="auto"/>
        <w:ind w:firstLine="709"/>
        <w:jc w:val="both"/>
        <w:rPr>
          <w:rFonts w:ascii="Times New Roman" w:hAnsi="Times New Roman"/>
          <w:b/>
          <w:sz w:val="28"/>
          <w:szCs w:val="28"/>
        </w:rPr>
      </w:pPr>
      <w:r w:rsidRPr="00DE16E7">
        <w:rPr>
          <w:rFonts w:ascii="Times New Roman" w:hAnsi="Times New Roman"/>
          <w:b/>
          <w:sz w:val="28"/>
          <w:szCs w:val="28"/>
        </w:rPr>
        <w:t>Анализ на причините за връщане на делата</w:t>
      </w:r>
    </w:p>
    <w:p w:rsidR="008D014B" w:rsidRPr="00A1734B"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t>В региона на Окръжна прокуратура</w:t>
      </w:r>
      <w:r w:rsidRPr="00DE16E7">
        <w:rPr>
          <w:rFonts w:ascii="Times New Roman" w:hAnsi="Times New Roman"/>
          <w:sz w:val="28"/>
          <w:szCs w:val="28"/>
        </w:rPr>
        <w:t xml:space="preserve"> Разград за 2019г. от съда са били върнати </w:t>
      </w:r>
      <w:r>
        <w:rPr>
          <w:rFonts w:ascii="Times New Roman" w:hAnsi="Times New Roman"/>
          <w:color w:val="000000" w:themeColor="text1"/>
          <w:sz w:val="28"/>
          <w:szCs w:val="28"/>
        </w:rPr>
        <w:t>18</w:t>
      </w:r>
      <w:r w:rsidRPr="00EA19EB">
        <w:rPr>
          <w:rFonts w:ascii="Times New Roman" w:hAnsi="Times New Roman"/>
          <w:color w:val="000000" w:themeColor="text1"/>
          <w:sz w:val="28"/>
          <w:szCs w:val="28"/>
        </w:rPr>
        <w:t xml:space="preserve"> дела</w:t>
      </w:r>
      <w:r w:rsidRPr="00DE16E7">
        <w:rPr>
          <w:rFonts w:ascii="Times New Roman" w:hAnsi="Times New Roman"/>
          <w:sz w:val="28"/>
          <w:szCs w:val="28"/>
        </w:rPr>
        <w:t xml:space="preserve"> (2018 г.–8; 2017 г. – 18). </w:t>
      </w:r>
    </w:p>
    <w:p w:rsidR="008D014B" w:rsidRDefault="008D014B" w:rsidP="008D014B">
      <w:pPr>
        <w:spacing w:after="0" w:line="240" w:lineRule="auto"/>
        <w:ind w:firstLine="709"/>
        <w:jc w:val="both"/>
        <w:rPr>
          <w:rFonts w:ascii="Times New Roman" w:hAnsi="Times New Roman"/>
          <w:sz w:val="28"/>
          <w:szCs w:val="28"/>
        </w:rPr>
      </w:pPr>
      <w:r w:rsidRPr="00DE16E7">
        <w:rPr>
          <w:rFonts w:ascii="Times New Roman" w:hAnsi="Times New Roman"/>
          <w:sz w:val="28"/>
          <w:szCs w:val="28"/>
        </w:rPr>
        <w:t>Налице е увеличение на броя на върнатите дела спрямо предходн</w:t>
      </w:r>
      <w:r>
        <w:rPr>
          <w:rFonts w:ascii="Times New Roman" w:hAnsi="Times New Roman"/>
          <w:sz w:val="28"/>
          <w:szCs w:val="28"/>
        </w:rPr>
        <w:t xml:space="preserve">ата  година с 44,4% и еднакъв спрямо 2017 год. </w:t>
      </w:r>
    </w:p>
    <w:p w:rsidR="008D014B"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Най-много върнати дела има в Районна прокуратура Разград– 8 или 42,11% от всички дела през анализирания период,и в Районна прокуратура Исперих – 6, или 33,3% от всички върнати дела през 2019 г.Следва Окръжна прокуратура Разград </w:t>
      </w:r>
      <w:r w:rsidRPr="00EA19EB">
        <w:rPr>
          <w:rFonts w:ascii="Times New Roman" w:hAnsi="Times New Roman"/>
          <w:color w:val="000000" w:themeColor="text1"/>
          <w:sz w:val="28"/>
          <w:szCs w:val="28"/>
        </w:rPr>
        <w:t>с 3</w:t>
      </w:r>
      <w:r>
        <w:rPr>
          <w:rFonts w:ascii="Times New Roman" w:hAnsi="Times New Roman"/>
          <w:sz w:val="28"/>
          <w:szCs w:val="28"/>
        </w:rPr>
        <w:t xml:space="preserve"> върнати дела или 15,8% от общия брой. Районна прокуратура Кубрат има 1 върнати дела или5,26 %.</w:t>
      </w:r>
    </w:p>
    <w:p w:rsidR="008D014B" w:rsidRDefault="008D014B" w:rsidP="008D014B">
      <w:pPr>
        <w:spacing w:after="0" w:line="240" w:lineRule="auto"/>
        <w:jc w:val="both"/>
        <w:rPr>
          <w:rFonts w:ascii="Times New Roman" w:hAnsi="Times New Roman"/>
          <w:sz w:val="28"/>
          <w:szCs w:val="28"/>
        </w:rPr>
      </w:pPr>
    </w:p>
    <w:p w:rsidR="008D014B" w:rsidRPr="00DE16E7" w:rsidRDefault="008D014B" w:rsidP="008D014B">
      <w:pPr>
        <w:spacing w:after="0" w:line="240" w:lineRule="auto"/>
        <w:jc w:val="both"/>
        <w:rPr>
          <w:rFonts w:ascii="Times New Roman" w:hAnsi="Times New Roman"/>
          <w:sz w:val="28"/>
          <w:szCs w:val="28"/>
        </w:rPr>
      </w:pPr>
    </w:p>
    <w:p w:rsidR="008D014B" w:rsidRPr="00174125" w:rsidRDefault="008D014B" w:rsidP="008D014B">
      <w:pPr>
        <w:spacing w:after="0" w:line="240" w:lineRule="auto"/>
        <w:ind w:firstLine="709"/>
        <w:jc w:val="both"/>
        <w:rPr>
          <w:rFonts w:ascii="Times New Roman" w:hAnsi="Times New Roman"/>
          <w:sz w:val="28"/>
          <w:szCs w:val="28"/>
        </w:rPr>
      </w:pPr>
      <w:r w:rsidRPr="00174125">
        <w:rPr>
          <w:rFonts w:ascii="Times New Roman" w:hAnsi="Times New Roman"/>
          <w:sz w:val="28"/>
          <w:szCs w:val="28"/>
        </w:rPr>
        <w:t>По прокурорски актове върнатите дела се разпределят така:</w:t>
      </w:r>
    </w:p>
    <w:p w:rsidR="008D014B" w:rsidRPr="00EE4D0D"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 обвинителни актов</w:t>
      </w:r>
      <w:r>
        <w:rPr>
          <w:rFonts w:ascii="Times New Roman" w:hAnsi="Times New Roman"/>
          <w:sz w:val="28"/>
          <w:szCs w:val="28"/>
        </w:rPr>
        <w:t xml:space="preserve">е:13 или </w:t>
      </w:r>
      <w:r w:rsidRPr="009A2EB4">
        <w:rPr>
          <w:rFonts w:ascii="Times New Roman" w:hAnsi="Times New Roman"/>
          <w:sz w:val="28"/>
          <w:szCs w:val="28"/>
        </w:rPr>
        <w:t xml:space="preserve">72,2% </w:t>
      </w:r>
      <w:r w:rsidRPr="00EE4D0D">
        <w:rPr>
          <w:rFonts w:ascii="Times New Roman" w:hAnsi="Times New Roman"/>
          <w:sz w:val="28"/>
          <w:szCs w:val="28"/>
        </w:rPr>
        <w:t>о</w:t>
      </w:r>
      <w:r>
        <w:rPr>
          <w:rFonts w:ascii="Times New Roman" w:hAnsi="Times New Roman"/>
          <w:sz w:val="28"/>
          <w:szCs w:val="28"/>
        </w:rPr>
        <w:t>т всички върнати дела. През 2018 г. са били върнати 7 дела, а през 2017</w:t>
      </w:r>
      <w:r w:rsidRPr="00EE4D0D">
        <w:rPr>
          <w:rFonts w:ascii="Times New Roman" w:hAnsi="Times New Roman"/>
          <w:sz w:val="28"/>
          <w:szCs w:val="28"/>
        </w:rPr>
        <w:t xml:space="preserve"> г. е имало </w:t>
      </w:r>
      <w:r>
        <w:rPr>
          <w:rFonts w:ascii="Times New Roman" w:hAnsi="Times New Roman"/>
          <w:sz w:val="28"/>
          <w:szCs w:val="28"/>
        </w:rPr>
        <w:t>11</w:t>
      </w:r>
      <w:r w:rsidRPr="00EE4D0D">
        <w:rPr>
          <w:rFonts w:ascii="Times New Roman" w:hAnsi="Times New Roman"/>
          <w:sz w:val="28"/>
          <w:szCs w:val="28"/>
        </w:rPr>
        <w:t xml:space="preserve"> върнати дела по внесени обвинителни актове.</w:t>
      </w:r>
    </w:p>
    <w:p w:rsidR="008D014B" w:rsidRPr="00EE4D0D"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lastRenderedPageBreak/>
        <w:t>- предложения за</w:t>
      </w:r>
      <w:r>
        <w:rPr>
          <w:rFonts w:ascii="Times New Roman" w:hAnsi="Times New Roman"/>
          <w:sz w:val="28"/>
          <w:szCs w:val="28"/>
        </w:rPr>
        <w:t xml:space="preserve"> прилагане на чл. 78а от НК: едно</w:t>
      </w:r>
      <w:r w:rsidRPr="00EE4D0D">
        <w:rPr>
          <w:rFonts w:ascii="Times New Roman" w:hAnsi="Times New Roman"/>
          <w:sz w:val="28"/>
          <w:szCs w:val="28"/>
        </w:rPr>
        <w:t xml:space="preserve"> или </w:t>
      </w:r>
      <w:r>
        <w:rPr>
          <w:rFonts w:ascii="Times New Roman" w:hAnsi="Times New Roman"/>
          <w:sz w:val="28"/>
          <w:szCs w:val="28"/>
        </w:rPr>
        <w:t>5,26</w:t>
      </w:r>
      <w:r w:rsidRPr="00EE4D0D">
        <w:rPr>
          <w:rFonts w:ascii="Times New Roman" w:hAnsi="Times New Roman"/>
          <w:sz w:val="28"/>
          <w:szCs w:val="28"/>
        </w:rPr>
        <w:t>% от всичк</w:t>
      </w:r>
      <w:r>
        <w:rPr>
          <w:rFonts w:ascii="Times New Roman" w:hAnsi="Times New Roman"/>
          <w:sz w:val="28"/>
          <w:szCs w:val="28"/>
        </w:rPr>
        <w:t>и върнати дела. През 2018 г. е върнато едно дело, а през 2017</w:t>
      </w:r>
      <w:r w:rsidRPr="00EE4D0D">
        <w:rPr>
          <w:rFonts w:ascii="Times New Roman" w:hAnsi="Times New Roman"/>
          <w:sz w:val="28"/>
          <w:szCs w:val="28"/>
        </w:rPr>
        <w:t xml:space="preserve"> г. са били  върнати </w:t>
      </w:r>
      <w:r>
        <w:rPr>
          <w:rFonts w:ascii="Times New Roman" w:hAnsi="Times New Roman"/>
          <w:sz w:val="28"/>
          <w:szCs w:val="28"/>
        </w:rPr>
        <w:t>3</w:t>
      </w:r>
      <w:r w:rsidRPr="00EE4D0D">
        <w:rPr>
          <w:rFonts w:ascii="Times New Roman" w:hAnsi="Times New Roman"/>
          <w:sz w:val="28"/>
          <w:szCs w:val="28"/>
        </w:rPr>
        <w:t xml:space="preserve"> дела от тази категория. </w:t>
      </w:r>
    </w:p>
    <w:p w:rsidR="008D014B"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споразумения:през 2019 г. са върнати 4 дела или 21,05% от всички върнати дела.През 2018 г. </w:t>
      </w:r>
      <w:r w:rsidRPr="00EE4D0D">
        <w:rPr>
          <w:rFonts w:ascii="Times New Roman" w:hAnsi="Times New Roman"/>
          <w:sz w:val="28"/>
          <w:szCs w:val="28"/>
        </w:rPr>
        <w:t xml:space="preserve">няма неодобрени </w:t>
      </w:r>
      <w:r>
        <w:rPr>
          <w:rFonts w:ascii="Times New Roman" w:hAnsi="Times New Roman"/>
          <w:sz w:val="28"/>
          <w:szCs w:val="28"/>
        </w:rPr>
        <w:t xml:space="preserve">и върнати на </w:t>
      </w:r>
      <w:proofErr w:type="spellStart"/>
      <w:r>
        <w:rPr>
          <w:rFonts w:ascii="Times New Roman" w:hAnsi="Times New Roman"/>
          <w:sz w:val="28"/>
          <w:szCs w:val="28"/>
        </w:rPr>
        <w:t>прокурора</w:t>
      </w:r>
      <w:r w:rsidRPr="00EE4D0D">
        <w:rPr>
          <w:rFonts w:ascii="Times New Roman" w:hAnsi="Times New Roman"/>
          <w:sz w:val="28"/>
          <w:szCs w:val="28"/>
        </w:rPr>
        <w:t>споразумения</w:t>
      </w:r>
      <w:proofErr w:type="spellEnd"/>
      <w:r>
        <w:rPr>
          <w:rFonts w:ascii="Times New Roman" w:hAnsi="Times New Roman"/>
          <w:sz w:val="28"/>
          <w:szCs w:val="28"/>
        </w:rPr>
        <w:t>.</w:t>
      </w:r>
      <w:r w:rsidRPr="00EE4D0D">
        <w:rPr>
          <w:rFonts w:ascii="Times New Roman" w:hAnsi="Times New Roman"/>
          <w:sz w:val="28"/>
          <w:szCs w:val="28"/>
        </w:rPr>
        <w:t xml:space="preserve"> През 2017 г. са били върнати </w:t>
      </w:r>
      <w:r>
        <w:rPr>
          <w:rFonts w:ascii="Times New Roman" w:hAnsi="Times New Roman"/>
          <w:sz w:val="28"/>
          <w:szCs w:val="28"/>
        </w:rPr>
        <w:t>4</w:t>
      </w:r>
      <w:r w:rsidRPr="00EE4D0D">
        <w:rPr>
          <w:rFonts w:ascii="Times New Roman" w:hAnsi="Times New Roman"/>
          <w:sz w:val="28"/>
          <w:szCs w:val="28"/>
        </w:rPr>
        <w:t xml:space="preserve"> дела от тази </w:t>
      </w:r>
      <w:r>
        <w:rPr>
          <w:rFonts w:ascii="Times New Roman" w:hAnsi="Times New Roman"/>
          <w:sz w:val="28"/>
          <w:szCs w:val="28"/>
        </w:rPr>
        <w:t>категория.</w:t>
      </w:r>
    </w:p>
    <w:p w:rsidR="008D014B" w:rsidRDefault="008D014B" w:rsidP="008D014B">
      <w:pPr>
        <w:spacing w:after="0" w:line="240" w:lineRule="auto"/>
        <w:ind w:firstLine="709"/>
        <w:jc w:val="both"/>
        <w:rPr>
          <w:rFonts w:ascii="Times New Roman" w:hAnsi="Times New Roman"/>
          <w:sz w:val="28"/>
          <w:szCs w:val="28"/>
        </w:rPr>
      </w:pPr>
    </w:p>
    <w:p w:rsidR="008D014B" w:rsidRDefault="008D014B" w:rsidP="008D014B">
      <w:pPr>
        <w:spacing w:after="0" w:line="240" w:lineRule="auto"/>
        <w:jc w:val="both"/>
        <w:rPr>
          <w:rFonts w:ascii="Times New Roman" w:hAnsi="Times New Roman"/>
          <w:sz w:val="28"/>
          <w:szCs w:val="28"/>
        </w:rPr>
      </w:pPr>
    </w:p>
    <w:p w:rsidR="008D014B" w:rsidRPr="00A1734B"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Причини, довели до постановяване на влезли в сила съдебни актове за връщане на дела на прокурора.</w:t>
      </w:r>
    </w:p>
    <w:p w:rsidR="008D014B" w:rsidRPr="00B3120A" w:rsidRDefault="008D014B" w:rsidP="008D014B">
      <w:pPr>
        <w:spacing w:after="0" w:line="240" w:lineRule="auto"/>
        <w:ind w:firstLine="709"/>
        <w:jc w:val="both"/>
        <w:rPr>
          <w:rFonts w:ascii="Times New Roman" w:hAnsi="Times New Roman"/>
          <w:b/>
          <w:sz w:val="28"/>
          <w:szCs w:val="28"/>
          <w:u w:val="single"/>
        </w:rPr>
      </w:pPr>
    </w:p>
    <w:p w:rsidR="008D014B" w:rsidRPr="00EE4D0D" w:rsidRDefault="008D014B" w:rsidP="008D014B">
      <w:pPr>
        <w:spacing w:after="0" w:line="240" w:lineRule="auto"/>
        <w:ind w:firstLine="709"/>
        <w:jc w:val="both"/>
        <w:rPr>
          <w:rFonts w:ascii="Times New Roman" w:hAnsi="Times New Roman"/>
          <w:b/>
          <w:sz w:val="28"/>
          <w:szCs w:val="28"/>
          <w:u w:val="single"/>
        </w:rPr>
      </w:pPr>
      <w:r w:rsidRPr="00B3120A">
        <w:rPr>
          <w:rFonts w:ascii="Times New Roman" w:hAnsi="Times New Roman"/>
          <w:b/>
          <w:sz w:val="28"/>
          <w:szCs w:val="28"/>
          <w:u w:val="single"/>
        </w:rPr>
        <w:t>КРИТЕРИИ:</w:t>
      </w:r>
    </w:p>
    <w:p w:rsidR="008D014B" w:rsidRPr="00E323FB"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E323FB">
        <w:rPr>
          <w:rFonts w:ascii="Times New Roman" w:hAnsi="Times New Roman"/>
          <w:sz w:val="28"/>
          <w:szCs w:val="28"/>
        </w:rPr>
        <w:t xml:space="preserve">Връщането на делото се дължи на допуснато на досъдебното производство </w:t>
      </w:r>
      <w:proofErr w:type="spellStart"/>
      <w:r w:rsidRPr="00E323FB">
        <w:rPr>
          <w:rFonts w:ascii="Times New Roman" w:hAnsi="Times New Roman"/>
          <w:sz w:val="28"/>
          <w:szCs w:val="28"/>
        </w:rPr>
        <w:t>отстранимо</w:t>
      </w:r>
      <w:proofErr w:type="spellEnd"/>
      <w:r w:rsidRPr="00E323FB">
        <w:rPr>
          <w:rFonts w:ascii="Times New Roman" w:hAnsi="Times New Roman"/>
          <w:sz w:val="28"/>
          <w:szCs w:val="28"/>
        </w:rPr>
        <w:t xml:space="preserve"> съществено нарушение на процесуални правила в хода на разследването, довело до ограничаване на процесуалните права на обвиняем, пострадал ил</w:t>
      </w:r>
      <w:r>
        <w:rPr>
          <w:rFonts w:ascii="Times New Roman" w:hAnsi="Times New Roman"/>
          <w:sz w:val="28"/>
          <w:szCs w:val="28"/>
        </w:rPr>
        <w:t>и неговите наследници – 11 дела.</w:t>
      </w:r>
    </w:p>
    <w:p w:rsidR="008D014B"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 xml:space="preserve">Процентно върнатите дела на това </w:t>
      </w:r>
      <w:r w:rsidRPr="00300F29">
        <w:rPr>
          <w:rFonts w:ascii="Times New Roman" w:hAnsi="Times New Roman"/>
          <w:sz w:val="28"/>
          <w:szCs w:val="28"/>
        </w:rPr>
        <w:t>основание е 57,9</w:t>
      </w:r>
      <w:r w:rsidRPr="000B6200">
        <w:rPr>
          <w:rFonts w:ascii="Times New Roman" w:hAnsi="Times New Roman"/>
          <w:sz w:val="28"/>
          <w:szCs w:val="28"/>
        </w:rPr>
        <w:t xml:space="preserve">% от </w:t>
      </w:r>
      <w:r>
        <w:rPr>
          <w:rFonts w:ascii="Times New Roman" w:hAnsi="Times New Roman"/>
          <w:sz w:val="28"/>
          <w:szCs w:val="28"/>
        </w:rPr>
        <w:t>всички дела.</w:t>
      </w:r>
    </w:p>
    <w:p w:rsidR="008D014B"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През 2019 г., работата на прокурорите от Разградски съдебен район се е влошила, т. к. </w:t>
      </w:r>
      <w:proofErr w:type="spellStart"/>
      <w:r>
        <w:rPr>
          <w:rFonts w:ascii="Times New Roman" w:hAnsi="Times New Roman"/>
          <w:sz w:val="28"/>
          <w:szCs w:val="28"/>
        </w:rPr>
        <w:t>потози</w:t>
      </w:r>
      <w:proofErr w:type="spellEnd"/>
      <w:r>
        <w:rPr>
          <w:rFonts w:ascii="Times New Roman" w:hAnsi="Times New Roman"/>
          <w:sz w:val="28"/>
          <w:szCs w:val="28"/>
        </w:rPr>
        <w:t xml:space="preserve"> показател през 2018 г. има върнати само 4 дела.</w:t>
      </w:r>
    </w:p>
    <w:p w:rsidR="008D014B" w:rsidRPr="00EE4D0D" w:rsidRDefault="008D014B" w:rsidP="008D014B">
      <w:pPr>
        <w:spacing w:after="0" w:line="240" w:lineRule="auto"/>
        <w:ind w:firstLine="709"/>
        <w:jc w:val="both"/>
        <w:rPr>
          <w:rFonts w:ascii="Times New Roman" w:hAnsi="Times New Roman"/>
          <w:sz w:val="28"/>
          <w:szCs w:val="28"/>
        </w:rPr>
      </w:pPr>
    </w:p>
    <w:p w:rsidR="008D014B" w:rsidRPr="000B6200" w:rsidRDefault="008D014B" w:rsidP="008D014B">
      <w:pPr>
        <w:spacing w:after="0" w:line="240" w:lineRule="auto"/>
        <w:ind w:right="-22" w:firstLine="709"/>
        <w:jc w:val="both"/>
        <w:rPr>
          <w:rFonts w:ascii="Times New Roman" w:hAnsi="Times New Roman"/>
          <w:sz w:val="28"/>
          <w:szCs w:val="28"/>
        </w:rPr>
      </w:pPr>
      <w:r>
        <w:rPr>
          <w:rFonts w:ascii="Times New Roman" w:hAnsi="Times New Roman"/>
          <w:sz w:val="28"/>
          <w:szCs w:val="28"/>
        </w:rPr>
        <w:t xml:space="preserve">2. </w:t>
      </w:r>
      <w:r w:rsidRPr="00E323FB">
        <w:rPr>
          <w:rFonts w:ascii="Times New Roman" w:hAnsi="Times New Roman"/>
          <w:sz w:val="28"/>
          <w:szCs w:val="28"/>
        </w:rPr>
        <w:t xml:space="preserve">Връщането на делото се дължи на констатирани от съда пропуски при изготвянето на обвинителния акт, които са в голяма степен очевидни и са могли да бъдат избегнати при прецизна </w:t>
      </w:r>
      <w:r>
        <w:rPr>
          <w:rFonts w:ascii="Times New Roman" w:hAnsi="Times New Roman"/>
          <w:sz w:val="28"/>
          <w:szCs w:val="28"/>
        </w:rPr>
        <w:t>работа на прокурора – 2 дела.</w:t>
      </w:r>
    </w:p>
    <w:p w:rsidR="008D014B" w:rsidRDefault="008D014B" w:rsidP="008D014B">
      <w:pPr>
        <w:spacing w:after="0" w:line="240" w:lineRule="auto"/>
        <w:ind w:firstLine="709"/>
        <w:jc w:val="both"/>
        <w:rPr>
          <w:rFonts w:ascii="Times New Roman" w:hAnsi="Times New Roman"/>
          <w:sz w:val="28"/>
          <w:szCs w:val="28"/>
        </w:rPr>
      </w:pPr>
      <w:r w:rsidRPr="000B6200">
        <w:rPr>
          <w:rFonts w:ascii="Times New Roman" w:hAnsi="Times New Roman"/>
          <w:sz w:val="28"/>
          <w:szCs w:val="28"/>
        </w:rPr>
        <w:t xml:space="preserve">Процентно върнатите дела на това основание е </w:t>
      </w:r>
      <w:r w:rsidRPr="00300F29">
        <w:rPr>
          <w:rFonts w:ascii="Times New Roman" w:hAnsi="Times New Roman"/>
          <w:sz w:val="28"/>
          <w:szCs w:val="28"/>
        </w:rPr>
        <w:t xml:space="preserve">11,1% </w:t>
      </w:r>
      <w:r w:rsidRPr="000B6200">
        <w:rPr>
          <w:rFonts w:ascii="Times New Roman" w:hAnsi="Times New Roman"/>
          <w:sz w:val="28"/>
          <w:szCs w:val="28"/>
        </w:rPr>
        <w:t xml:space="preserve">от </w:t>
      </w:r>
      <w:r>
        <w:rPr>
          <w:rFonts w:ascii="Times New Roman" w:hAnsi="Times New Roman"/>
          <w:sz w:val="28"/>
          <w:szCs w:val="28"/>
        </w:rPr>
        <w:t>всички дела.</w:t>
      </w:r>
    </w:p>
    <w:p w:rsidR="008D014B" w:rsidRPr="00EE4D0D" w:rsidRDefault="008D014B" w:rsidP="008D014B">
      <w:pPr>
        <w:spacing w:after="0" w:line="240" w:lineRule="auto"/>
        <w:ind w:firstLine="709"/>
        <w:jc w:val="both"/>
        <w:rPr>
          <w:rFonts w:ascii="Times New Roman" w:hAnsi="Times New Roman"/>
          <w:sz w:val="28"/>
          <w:szCs w:val="28"/>
        </w:rPr>
      </w:pPr>
    </w:p>
    <w:p w:rsidR="008D014B" w:rsidRPr="002E4228"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E323FB">
        <w:rPr>
          <w:rFonts w:ascii="Times New Roman" w:hAnsi="Times New Roman"/>
          <w:sz w:val="28"/>
          <w:szCs w:val="28"/>
        </w:rPr>
        <w:t xml:space="preserve">Връщането на делото се дължи на неотстраняване на </w:t>
      </w:r>
      <w:proofErr w:type="spellStart"/>
      <w:r w:rsidRPr="00E323FB">
        <w:rPr>
          <w:rFonts w:ascii="Times New Roman" w:hAnsi="Times New Roman"/>
          <w:sz w:val="28"/>
          <w:szCs w:val="28"/>
        </w:rPr>
        <w:t>допуснити</w:t>
      </w:r>
      <w:proofErr w:type="spellEnd"/>
      <w:r w:rsidRPr="00E323FB">
        <w:rPr>
          <w:rFonts w:ascii="Times New Roman" w:hAnsi="Times New Roman"/>
          <w:sz w:val="28"/>
          <w:szCs w:val="28"/>
        </w:rPr>
        <w:t xml:space="preserve"> очевидни фактически грешки или неспазване на седмодневния срок (чл. 248а, ал. 2 НПК) – </w:t>
      </w:r>
      <w:r>
        <w:rPr>
          <w:rFonts w:ascii="Times New Roman" w:hAnsi="Times New Roman"/>
          <w:sz w:val="28"/>
          <w:szCs w:val="28"/>
        </w:rPr>
        <w:t xml:space="preserve"> няма, (през 2018г. има едно върнато дело).</w:t>
      </w:r>
    </w:p>
    <w:p w:rsidR="008D014B" w:rsidRPr="00E323FB" w:rsidRDefault="008D014B" w:rsidP="008D014B">
      <w:pPr>
        <w:spacing w:after="0" w:line="240" w:lineRule="auto"/>
        <w:ind w:firstLine="709"/>
        <w:jc w:val="both"/>
        <w:rPr>
          <w:rFonts w:ascii="Times New Roman" w:hAnsi="Times New Roman"/>
          <w:sz w:val="28"/>
          <w:szCs w:val="28"/>
        </w:rPr>
      </w:pPr>
    </w:p>
    <w:p w:rsidR="008D014B" w:rsidRPr="00E323FB" w:rsidRDefault="008D014B" w:rsidP="008D014B">
      <w:pPr>
        <w:spacing w:after="0" w:line="240" w:lineRule="auto"/>
        <w:ind w:right="-22" w:firstLine="709"/>
        <w:jc w:val="both"/>
        <w:rPr>
          <w:rFonts w:ascii="Times New Roman" w:hAnsi="Times New Roman"/>
          <w:sz w:val="28"/>
          <w:szCs w:val="28"/>
        </w:rPr>
      </w:pPr>
      <w:r>
        <w:rPr>
          <w:rFonts w:ascii="Times New Roman" w:hAnsi="Times New Roman"/>
          <w:sz w:val="28"/>
          <w:szCs w:val="28"/>
        </w:rPr>
        <w:t xml:space="preserve">4. </w:t>
      </w:r>
      <w:r w:rsidRPr="00E323FB">
        <w:rPr>
          <w:rFonts w:ascii="Times New Roman" w:hAnsi="Times New Roman"/>
          <w:sz w:val="28"/>
          <w:szCs w:val="28"/>
        </w:rPr>
        <w:t>Връщането на делото се дължи на неодобрено от съда споразумение, внесено по реда на чл. 382 НПК –4 дела.</w:t>
      </w:r>
    </w:p>
    <w:p w:rsidR="008D014B" w:rsidRDefault="008D014B" w:rsidP="008D014B">
      <w:pPr>
        <w:spacing w:after="0" w:line="240" w:lineRule="auto"/>
        <w:ind w:left="709" w:right="-22"/>
        <w:jc w:val="both"/>
        <w:rPr>
          <w:rFonts w:ascii="Times New Roman" w:hAnsi="Times New Roman"/>
          <w:sz w:val="28"/>
          <w:szCs w:val="28"/>
        </w:rPr>
      </w:pPr>
      <w:r w:rsidRPr="00E608DA">
        <w:rPr>
          <w:rFonts w:ascii="Times New Roman" w:hAnsi="Times New Roman"/>
          <w:sz w:val="28"/>
          <w:szCs w:val="28"/>
        </w:rPr>
        <w:t xml:space="preserve">Процентно върнатите дела на това </w:t>
      </w:r>
      <w:r w:rsidRPr="00E87480">
        <w:rPr>
          <w:rFonts w:ascii="Times New Roman" w:hAnsi="Times New Roman"/>
          <w:sz w:val="28"/>
          <w:szCs w:val="28"/>
        </w:rPr>
        <w:t xml:space="preserve">основание е </w:t>
      </w:r>
      <w:r>
        <w:rPr>
          <w:rFonts w:ascii="Times New Roman" w:hAnsi="Times New Roman"/>
          <w:sz w:val="28"/>
          <w:szCs w:val="28"/>
        </w:rPr>
        <w:t>21</w:t>
      </w:r>
      <w:r w:rsidRPr="00E87480">
        <w:rPr>
          <w:rFonts w:ascii="Times New Roman" w:hAnsi="Times New Roman"/>
          <w:sz w:val="28"/>
          <w:szCs w:val="28"/>
        </w:rPr>
        <w:t xml:space="preserve">,05% от </w:t>
      </w:r>
      <w:r w:rsidRPr="00E608DA">
        <w:rPr>
          <w:rFonts w:ascii="Times New Roman" w:hAnsi="Times New Roman"/>
          <w:sz w:val="28"/>
          <w:szCs w:val="28"/>
        </w:rPr>
        <w:t>всички дела.</w:t>
      </w:r>
    </w:p>
    <w:p w:rsidR="008D014B" w:rsidRDefault="008D014B" w:rsidP="008D014B">
      <w:pPr>
        <w:spacing w:after="0" w:line="240" w:lineRule="auto"/>
        <w:ind w:right="-22" w:firstLine="709"/>
        <w:jc w:val="both"/>
        <w:rPr>
          <w:rFonts w:ascii="Times New Roman" w:hAnsi="Times New Roman"/>
          <w:sz w:val="28"/>
          <w:szCs w:val="28"/>
        </w:rPr>
      </w:pPr>
      <w:r>
        <w:rPr>
          <w:rFonts w:ascii="Times New Roman" w:hAnsi="Times New Roman"/>
          <w:sz w:val="28"/>
          <w:szCs w:val="28"/>
        </w:rPr>
        <w:t>По този критерий работата на прокурорите от Разградски съдебен район се е влошила, т.к. по тази причина през 2018г. няма върнати дела.</w:t>
      </w:r>
    </w:p>
    <w:p w:rsidR="008D014B" w:rsidRPr="00E608DA" w:rsidRDefault="008D014B" w:rsidP="008D014B">
      <w:pPr>
        <w:spacing w:after="0" w:line="240" w:lineRule="auto"/>
        <w:ind w:left="709" w:right="-22"/>
        <w:jc w:val="both"/>
        <w:rPr>
          <w:rFonts w:ascii="Times New Roman" w:hAnsi="Times New Roman"/>
          <w:sz w:val="28"/>
          <w:szCs w:val="28"/>
        </w:rPr>
      </w:pPr>
    </w:p>
    <w:p w:rsidR="008D014B" w:rsidRPr="00E323FB" w:rsidRDefault="008D014B" w:rsidP="008D014B">
      <w:pPr>
        <w:spacing w:after="0" w:line="240" w:lineRule="auto"/>
        <w:ind w:right="-22" w:firstLine="709"/>
        <w:jc w:val="both"/>
        <w:rPr>
          <w:rFonts w:ascii="Times New Roman" w:hAnsi="Times New Roman"/>
          <w:sz w:val="28"/>
          <w:szCs w:val="28"/>
        </w:rPr>
      </w:pPr>
      <w:r>
        <w:rPr>
          <w:rFonts w:ascii="Times New Roman" w:hAnsi="Times New Roman"/>
          <w:sz w:val="28"/>
          <w:szCs w:val="28"/>
        </w:rPr>
        <w:t xml:space="preserve">5. </w:t>
      </w:r>
      <w:r w:rsidRPr="00E323FB">
        <w:rPr>
          <w:rFonts w:ascii="Times New Roman" w:hAnsi="Times New Roman"/>
          <w:sz w:val="28"/>
          <w:szCs w:val="28"/>
        </w:rPr>
        <w:t>Връщане на делото се дължи на липса на основанията по ч</w:t>
      </w:r>
      <w:r>
        <w:rPr>
          <w:rFonts w:ascii="Times New Roman" w:hAnsi="Times New Roman"/>
          <w:sz w:val="28"/>
          <w:szCs w:val="28"/>
        </w:rPr>
        <w:t>л. 78а НК (чл.377, ал.1 НПК) – едно</w:t>
      </w:r>
      <w:r w:rsidRPr="00E323FB">
        <w:rPr>
          <w:rFonts w:ascii="Times New Roman" w:hAnsi="Times New Roman"/>
          <w:sz w:val="28"/>
          <w:szCs w:val="28"/>
        </w:rPr>
        <w:t xml:space="preserve"> дело:</w:t>
      </w:r>
    </w:p>
    <w:p w:rsidR="008D014B"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 xml:space="preserve">Процентно върнатите дела на това </w:t>
      </w:r>
      <w:r w:rsidRPr="00E87480">
        <w:rPr>
          <w:rFonts w:ascii="Times New Roman" w:hAnsi="Times New Roman"/>
          <w:sz w:val="28"/>
          <w:szCs w:val="28"/>
        </w:rPr>
        <w:t xml:space="preserve">основание е </w:t>
      </w:r>
      <w:r>
        <w:rPr>
          <w:rFonts w:ascii="Times New Roman" w:hAnsi="Times New Roman"/>
          <w:sz w:val="28"/>
          <w:szCs w:val="28"/>
        </w:rPr>
        <w:t>5,26</w:t>
      </w:r>
      <w:r w:rsidRPr="00E87480">
        <w:rPr>
          <w:rFonts w:ascii="Times New Roman" w:hAnsi="Times New Roman"/>
          <w:sz w:val="28"/>
          <w:szCs w:val="28"/>
        </w:rPr>
        <w:t xml:space="preserve">% от всички </w:t>
      </w:r>
      <w:r>
        <w:rPr>
          <w:rFonts w:ascii="Times New Roman" w:hAnsi="Times New Roman"/>
          <w:sz w:val="28"/>
          <w:szCs w:val="28"/>
        </w:rPr>
        <w:t>дела.</w:t>
      </w:r>
    </w:p>
    <w:p w:rsidR="008D014B" w:rsidRPr="00EE4D0D" w:rsidRDefault="008D014B" w:rsidP="008D014B">
      <w:pPr>
        <w:spacing w:after="0" w:line="240" w:lineRule="auto"/>
        <w:ind w:firstLine="709"/>
        <w:jc w:val="both"/>
        <w:rPr>
          <w:rFonts w:ascii="Times New Roman" w:hAnsi="Times New Roman"/>
          <w:sz w:val="28"/>
          <w:szCs w:val="28"/>
        </w:rPr>
      </w:pPr>
    </w:p>
    <w:p w:rsidR="008D014B" w:rsidRPr="00A3383F" w:rsidRDefault="008D014B" w:rsidP="008D014B">
      <w:pPr>
        <w:spacing w:after="0" w:line="240" w:lineRule="auto"/>
        <w:ind w:right="-22" w:firstLine="709"/>
        <w:jc w:val="both"/>
        <w:rPr>
          <w:rFonts w:ascii="Times New Roman" w:hAnsi="Times New Roman"/>
          <w:sz w:val="28"/>
          <w:szCs w:val="28"/>
          <w:lang w:eastAsia="bg-BG" w:bidi="bg-BG"/>
        </w:rPr>
      </w:pPr>
      <w:proofErr w:type="spellStart"/>
      <w:r w:rsidRPr="00EE4D0D">
        <w:rPr>
          <w:rFonts w:ascii="Times New Roman" w:hAnsi="Times New Roman"/>
          <w:sz w:val="28"/>
          <w:szCs w:val="28"/>
          <w:lang w:val="ru-RU"/>
        </w:rPr>
        <w:t>Предвидизложенитепо</w:t>
      </w:r>
      <w:proofErr w:type="spellEnd"/>
      <w:r w:rsidRPr="00EE4D0D">
        <w:rPr>
          <w:rFonts w:ascii="Times New Roman" w:hAnsi="Times New Roman"/>
          <w:sz w:val="28"/>
          <w:szCs w:val="28"/>
          <w:lang w:val="ru-RU"/>
        </w:rPr>
        <w:t xml:space="preserve">-горе дани се </w:t>
      </w:r>
      <w:proofErr w:type="spellStart"/>
      <w:r w:rsidRPr="00EE4D0D">
        <w:rPr>
          <w:rFonts w:ascii="Times New Roman" w:hAnsi="Times New Roman"/>
          <w:sz w:val="28"/>
          <w:szCs w:val="28"/>
          <w:lang w:val="ru-RU"/>
        </w:rPr>
        <w:t>налага</w:t>
      </w:r>
      <w:proofErr w:type="spellEnd"/>
      <w:r w:rsidRPr="00EE4D0D">
        <w:rPr>
          <w:rFonts w:ascii="Times New Roman" w:hAnsi="Times New Roman"/>
          <w:sz w:val="28"/>
          <w:szCs w:val="28"/>
          <w:lang w:val="ru-RU"/>
        </w:rPr>
        <w:t xml:space="preserve"> извод, че причините за </w:t>
      </w:r>
      <w:proofErr w:type="spellStart"/>
      <w:r w:rsidRPr="00EE4D0D">
        <w:rPr>
          <w:rFonts w:ascii="Times New Roman" w:hAnsi="Times New Roman"/>
          <w:sz w:val="28"/>
          <w:szCs w:val="28"/>
          <w:lang w:val="ru-RU"/>
        </w:rPr>
        <w:t>връщане</w:t>
      </w:r>
      <w:proofErr w:type="spellEnd"/>
      <w:r w:rsidRPr="00EE4D0D">
        <w:rPr>
          <w:rFonts w:ascii="Times New Roman" w:hAnsi="Times New Roman"/>
          <w:sz w:val="28"/>
          <w:szCs w:val="28"/>
          <w:lang w:val="ru-RU"/>
        </w:rPr>
        <w:t xml:space="preserve"> на дела на прокурора от </w:t>
      </w:r>
      <w:proofErr w:type="spellStart"/>
      <w:r w:rsidRPr="00EE4D0D">
        <w:rPr>
          <w:rFonts w:ascii="Times New Roman" w:hAnsi="Times New Roman"/>
          <w:sz w:val="28"/>
          <w:szCs w:val="28"/>
          <w:lang w:val="ru-RU"/>
        </w:rPr>
        <w:t>съда</w:t>
      </w:r>
      <w:proofErr w:type="spellEnd"/>
      <w:r w:rsidR="00B376E8">
        <w:rPr>
          <w:rFonts w:ascii="Times New Roman" w:hAnsi="Times New Roman"/>
          <w:sz w:val="28"/>
          <w:szCs w:val="28"/>
          <w:lang w:val="ru-RU"/>
        </w:rPr>
        <w:t xml:space="preserve"> </w:t>
      </w:r>
      <w:proofErr w:type="spellStart"/>
      <w:r w:rsidRPr="00EE4D0D">
        <w:rPr>
          <w:rFonts w:ascii="Times New Roman" w:hAnsi="Times New Roman"/>
          <w:sz w:val="28"/>
          <w:szCs w:val="28"/>
          <w:lang w:val="ru-RU"/>
        </w:rPr>
        <w:t>са</w:t>
      </w:r>
      <w:proofErr w:type="spellEnd"/>
      <w:r w:rsidR="00B376E8">
        <w:rPr>
          <w:rFonts w:ascii="Times New Roman" w:hAnsi="Times New Roman"/>
          <w:sz w:val="28"/>
          <w:szCs w:val="28"/>
          <w:lang w:val="ru-RU"/>
        </w:rPr>
        <w:t xml:space="preserve"> </w:t>
      </w:r>
      <w:proofErr w:type="spellStart"/>
      <w:r w:rsidRPr="00EE4D0D">
        <w:rPr>
          <w:rFonts w:ascii="Times New Roman" w:hAnsi="Times New Roman"/>
          <w:sz w:val="28"/>
          <w:szCs w:val="28"/>
          <w:lang w:val="ru-RU"/>
        </w:rPr>
        <w:t>разнородни</w:t>
      </w:r>
      <w:proofErr w:type="spellEnd"/>
      <w:r w:rsidRPr="00EE4D0D">
        <w:rPr>
          <w:rFonts w:ascii="Times New Roman" w:hAnsi="Times New Roman"/>
          <w:sz w:val="28"/>
          <w:szCs w:val="28"/>
          <w:lang w:val="ru-RU"/>
        </w:rPr>
        <w:t xml:space="preserve">, </w:t>
      </w:r>
      <w:proofErr w:type="spellStart"/>
      <w:r w:rsidRPr="00EE4D0D">
        <w:rPr>
          <w:rFonts w:ascii="Times New Roman" w:hAnsi="Times New Roman"/>
          <w:sz w:val="28"/>
          <w:szCs w:val="28"/>
          <w:lang w:val="ru-RU"/>
        </w:rPr>
        <w:t>обхванати</w:t>
      </w:r>
      <w:proofErr w:type="spellEnd"/>
      <w:r w:rsidRPr="00EE4D0D">
        <w:rPr>
          <w:rFonts w:ascii="Times New Roman" w:hAnsi="Times New Roman"/>
          <w:sz w:val="28"/>
          <w:szCs w:val="28"/>
          <w:lang w:val="ru-RU"/>
        </w:rPr>
        <w:t xml:space="preserve"> </w:t>
      </w:r>
      <w:proofErr w:type="gramStart"/>
      <w:r w:rsidRPr="00EE4D0D">
        <w:rPr>
          <w:rFonts w:ascii="Times New Roman" w:hAnsi="Times New Roman"/>
          <w:sz w:val="28"/>
          <w:szCs w:val="28"/>
          <w:lang w:val="ru-RU"/>
        </w:rPr>
        <w:t>от</w:t>
      </w:r>
      <w:proofErr w:type="gramEnd"/>
      <w:r w:rsidRPr="00EE4D0D">
        <w:rPr>
          <w:rFonts w:ascii="Times New Roman" w:hAnsi="Times New Roman"/>
          <w:sz w:val="28"/>
          <w:szCs w:val="28"/>
          <w:lang w:val="ru-RU"/>
        </w:rPr>
        <w:t xml:space="preserve"> почти </w:t>
      </w:r>
      <w:proofErr w:type="spellStart"/>
      <w:r w:rsidRPr="00EE4D0D">
        <w:rPr>
          <w:rFonts w:ascii="Times New Roman" w:hAnsi="Times New Roman"/>
          <w:sz w:val="28"/>
          <w:szCs w:val="28"/>
          <w:lang w:val="ru-RU"/>
        </w:rPr>
        <w:t>всички</w:t>
      </w:r>
      <w:proofErr w:type="spellEnd"/>
      <w:r w:rsidR="00B376E8">
        <w:rPr>
          <w:rFonts w:ascii="Times New Roman" w:hAnsi="Times New Roman"/>
          <w:sz w:val="28"/>
          <w:szCs w:val="28"/>
          <w:lang w:val="ru-RU"/>
        </w:rPr>
        <w:t xml:space="preserve"> </w:t>
      </w:r>
      <w:proofErr w:type="spellStart"/>
      <w:r w:rsidRPr="00EE4D0D">
        <w:rPr>
          <w:rFonts w:ascii="Times New Roman" w:hAnsi="Times New Roman"/>
          <w:sz w:val="28"/>
          <w:szCs w:val="28"/>
          <w:lang w:val="ru-RU"/>
        </w:rPr>
        <w:t>такива</w:t>
      </w:r>
      <w:proofErr w:type="spellEnd"/>
      <w:r w:rsidRPr="00EE4D0D">
        <w:rPr>
          <w:rFonts w:ascii="Times New Roman" w:hAnsi="Times New Roman"/>
          <w:sz w:val="28"/>
          <w:szCs w:val="28"/>
          <w:lang w:val="ru-RU"/>
        </w:rPr>
        <w:t xml:space="preserve">, </w:t>
      </w:r>
      <w:r w:rsidRPr="00EE4D0D">
        <w:rPr>
          <w:rFonts w:ascii="Times New Roman" w:hAnsi="Times New Roman"/>
          <w:color w:val="000000"/>
          <w:sz w:val="28"/>
          <w:szCs w:val="28"/>
          <w:lang w:eastAsia="bg-BG" w:bidi="bg-BG"/>
        </w:rPr>
        <w:t xml:space="preserve">посочени </w:t>
      </w:r>
      <w:proofErr w:type="gramStart"/>
      <w:r w:rsidRPr="00EE4D0D">
        <w:rPr>
          <w:rFonts w:ascii="Times New Roman" w:hAnsi="Times New Roman"/>
          <w:color w:val="000000"/>
          <w:sz w:val="28"/>
          <w:szCs w:val="28"/>
          <w:lang w:eastAsia="bg-BG" w:bidi="bg-BG"/>
        </w:rPr>
        <w:t>в</w:t>
      </w:r>
      <w:proofErr w:type="gramEnd"/>
      <w:r w:rsidRPr="00EE4D0D">
        <w:rPr>
          <w:rFonts w:ascii="Times New Roman" w:hAnsi="Times New Roman"/>
          <w:color w:val="000000"/>
          <w:sz w:val="28"/>
          <w:szCs w:val="28"/>
          <w:lang w:eastAsia="bg-BG" w:bidi="bg-BG"/>
        </w:rPr>
        <w:t xml:space="preserve"> Раздел VII, т. </w:t>
      </w:r>
      <w:r w:rsidRPr="00A1734B">
        <w:rPr>
          <w:rFonts w:ascii="Times New Roman" w:hAnsi="Times New Roman"/>
          <w:color w:val="000000"/>
          <w:sz w:val="28"/>
          <w:szCs w:val="28"/>
          <w:lang w:bidi="en-US"/>
        </w:rPr>
        <w:t>20.</w:t>
      </w:r>
      <w:r w:rsidRPr="00EE4D0D">
        <w:rPr>
          <w:rFonts w:ascii="Times New Roman" w:hAnsi="Times New Roman"/>
          <w:color w:val="000000"/>
          <w:sz w:val="28"/>
          <w:szCs w:val="28"/>
          <w:lang w:bidi="en-US"/>
        </w:rPr>
        <w:t xml:space="preserve"> 2</w:t>
      </w:r>
      <w:r w:rsidRPr="00EE4D0D">
        <w:rPr>
          <w:rFonts w:ascii="Times New Roman" w:hAnsi="Times New Roman"/>
          <w:color w:val="000000"/>
          <w:sz w:val="28"/>
          <w:szCs w:val="28"/>
          <w:lang w:eastAsia="bg-BG" w:bidi="bg-BG"/>
        </w:rPr>
        <w:t xml:space="preserve">от Указанията за подобряване работата на Прокуратурата на Република България по наказателно-съдебния надзор. Като преобладаваща причина се дефинира допускането на </w:t>
      </w:r>
      <w:r w:rsidRPr="00EE4D0D">
        <w:rPr>
          <w:rFonts w:ascii="Times New Roman" w:hAnsi="Times New Roman"/>
          <w:sz w:val="28"/>
          <w:szCs w:val="28"/>
        </w:rPr>
        <w:t xml:space="preserve">досъдебното производство </w:t>
      </w:r>
      <w:proofErr w:type="spellStart"/>
      <w:r w:rsidRPr="00EE4D0D">
        <w:rPr>
          <w:rFonts w:ascii="Times New Roman" w:hAnsi="Times New Roman"/>
          <w:sz w:val="28"/>
          <w:szCs w:val="28"/>
        </w:rPr>
        <w:t>отстранимо</w:t>
      </w:r>
      <w:proofErr w:type="spellEnd"/>
      <w:r w:rsidRPr="00EE4D0D">
        <w:rPr>
          <w:rFonts w:ascii="Times New Roman" w:hAnsi="Times New Roman"/>
          <w:sz w:val="28"/>
          <w:szCs w:val="28"/>
        </w:rPr>
        <w:t xml:space="preserve"> съществено нарушение на </w:t>
      </w:r>
      <w:r w:rsidRPr="00EE4D0D">
        <w:rPr>
          <w:rFonts w:ascii="Times New Roman" w:hAnsi="Times New Roman"/>
          <w:sz w:val="28"/>
          <w:szCs w:val="28"/>
        </w:rPr>
        <w:lastRenderedPageBreak/>
        <w:t xml:space="preserve">процесуални правила, довело до ограничаване на процесуалните права на </w:t>
      </w:r>
      <w:r w:rsidRPr="00A3383F">
        <w:rPr>
          <w:rFonts w:ascii="Times New Roman" w:hAnsi="Times New Roman"/>
          <w:sz w:val="28"/>
          <w:szCs w:val="28"/>
        </w:rPr>
        <w:t>обвиняем, пострадал или неговите наследници.</w:t>
      </w:r>
    </w:p>
    <w:p w:rsidR="008D014B" w:rsidRPr="00E43A63" w:rsidRDefault="008D014B" w:rsidP="008D014B">
      <w:pPr>
        <w:spacing w:after="0" w:line="240" w:lineRule="auto"/>
        <w:ind w:right="-22" w:firstLine="709"/>
        <w:jc w:val="both"/>
        <w:rPr>
          <w:rFonts w:ascii="Times New Roman" w:hAnsi="Times New Roman"/>
          <w:sz w:val="28"/>
          <w:szCs w:val="28"/>
          <w:lang w:eastAsia="bg-BG" w:bidi="bg-BG"/>
        </w:rPr>
      </w:pPr>
      <w:r w:rsidRPr="00E43A63">
        <w:rPr>
          <w:rFonts w:ascii="Times New Roman" w:hAnsi="Times New Roman"/>
          <w:sz w:val="28"/>
          <w:szCs w:val="28"/>
          <w:lang w:eastAsia="bg-BG" w:bidi="bg-BG"/>
        </w:rPr>
        <w:t>От изложеното по-горе е видно,че е налице влошаване качеството на работата на прокурорите от Разградски съдебен район, в сравнение с предходния отчетен период.</w:t>
      </w:r>
    </w:p>
    <w:p w:rsidR="008D014B" w:rsidRPr="00E43A63" w:rsidRDefault="008D014B" w:rsidP="008D014B">
      <w:pPr>
        <w:spacing w:after="0" w:line="240" w:lineRule="auto"/>
        <w:ind w:right="-22" w:firstLine="709"/>
        <w:jc w:val="both"/>
        <w:rPr>
          <w:rFonts w:ascii="Times New Roman" w:hAnsi="Times New Roman"/>
          <w:sz w:val="28"/>
          <w:szCs w:val="28"/>
          <w:lang w:eastAsia="bg-BG" w:bidi="bg-BG"/>
        </w:rPr>
      </w:pPr>
      <w:r w:rsidRPr="00E43A63">
        <w:rPr>
          <w:rFonts w:ascii="Times New Roman" w:hAnsi="Times New Roman"/>
          <w:sz w:val="28"/>
          <w:szCs w:val="28"/>
          <w:lang w:eastAsia="bg-BG" w:bidi="bg-BG"/>
        </w:rPr>
        <w:t xml:space="preserve">Броят на върнатите от съда дела </w:t>
      </w:r>
      <w:r>
        <w:rPr>
          <w:rFonts w:ascii="Times New Roman" w:hAnsi="Times New Roman"/>
          <w:sz w:val="28"/>
          <w:szCs w:val="28"/>
          <w:lang w:eastAsia="bg-BG" w:bidi="bg-BG"/>
        </w:rPr>
        <w:t xml:space="preserve">значително </w:t>
      </w:r>
      <w:r w:rsidRPr="00E43A63">
        <w:rPr>
          <w:rFonts w:ascii="Times New Roman" w:hAnsi="Times New Roman"/>
          <w:sz w:val="28"/>
          <w:szCs w:val="28"/>
          <w:lang w:eastAsia="bg-BG" w:bidi="bg-BG"/>
        </w:rPr>
        <w:t>се е уве</w:t>
      </w:r>
      <w:r>
        <w:rPr>
          <w:rFonts w:ascii="Times New Roman" w:hAnsi="Times New Roman"/>
          <w:sz w:val="28"/>
          <w:szCs w:val="28"/>
          <w:lang w:eastAsia="bg-BG" w:bidi="bg-BG"/>
        </w:rPr>
        <w:t xml:space="preserve">личил спрямо 2018 г. </w:t>
      </w:r>
      <w:r w:rsidRPr="00E43A63">
        <w:rPr>
          <w:rFonts w:ascii="Times New Roman" w:hAnsi="Times New Roman"/>
          <w:sz w:val="28"/>
          <w:szCs w:val="28"/>
          <w:lang w:eastAsia="bg-BG" w:bidi="bg-BG"/>
        </w:rPr>
        <w:t xml:space="preserve">От върнатите </w:t>
      </w:r>
      <w:r>
        <w:rPr>
          <w:rFonts w:ascii="Times New Roman" w:hAnsi="Times New Roman"/>
          <w:sz w:val="28"/>
          <w:szCs w:val="28"/>
          <w:lang w:eastAsia="bg-BG" w:bidi="bg-BG"/>
        </w:rPr>
        <w:t>18</w:t>
      </w:r>
      <w:r w:rsidRPr="00E43A63">
        <w:rPr>
          <w:rFonts w:ascii="Times New Roman" w:hAnsi="Times New Roman"/>
          <w:sz w:val="28"/>
          <w:szCs w:val="28"/>
          <w:lang w:eastAsia="bg-BG" w:bidi="bg-BG"/>
        </w:rPr>
        <w:t xml:space="preserve"> дела, 11 са внесени отново в съда, от което е видно, че по върнатите дела се работи приоритетно и не се допуска тяхното забавяне във времето, а когато е налице такова, то се дължи на действително сериозни затруднения по приключването им.</w:t>
      </w:r>
    </w:p>
    <w:p w:rsidR="008D014B" w:rsidRDefault="008D014B" w:rsidP="008D014B">
      <w:pPr>
        <w:spacing w:after="0" w:line="240" w:lineRule="auto"/>
        <w:ind w:right="-22" w:firstLine="709"/>
        <w:jc w:val="both"/>
        <w:rPr>
          <w:rFonts w:ascii="Times New Roman" w:hAnsi="Times New Roman"/>
          <w:sz w:val="28"/>
          <w:szCs w:val="28"/>
        </w:rPr>
      </w:pPr>
      <w:r w:rsidRPr="00E43A63">
        <w:rPr>
          <w:rFonts w:ascii="Times New Roman" w:hAnsi="Times New Roman"/>
          <w:sz w:val="28"/>
          <w:szCs w:val="28"/>
        </w:rPr>
        <w:t>Анализът на причините, довели до връщане на делото на прокурора, налага извод, че за недопускане в бъдеще на изброените нарушения, прокурорите следва да упражняват постоянен контрол върху работата на разследващите органи, да проучват системно делата и хода на разследването, да се запознават със съдебната практика и да съобразяват изготвянето на актовете си с нея. Внесените актове в съда следва да са добре мотивирани и структурирани и правно обосновани.</w:t>
      </w:r>
    </w:p>
    <w:p w:rsidR="008D014B" w:rsidRPr="00E43A63" w:rsidRDefault="008D014B" w:rsidP="008D014B">
      <w:pPr>
        <w:spacing w:after="0" w:line="240" w:lineRule="auto"/>
        <w:ind w:right="-22" w:firstLine="709"/>
        <w:jc w:val="both"/>
        <w:rPr>
          <w:rFonts w:ascii="Times New Roman" w:hAnsi="Times New Roman"/>
          <w:sz w:val="28"/>
          <w:szCs w:val="28"/>
        </w:rPr>
      </w:pPr>
      <w:r w:rsidRPr="00E43A63">
        <w:rPr>
          <w:rFonts w:ascii="Times New Roman" w:hAnsi="Times New Roman"/>
          <w:sz w:val="28"/>
          <w:szCs w:val="28"/>
        </w:rPr>
        <w:t xml:space="preserve">Прокурорите следва </w:t>
      </w:r>
      <w:r>
        <w:rPr>
          <w:rFonts w:ascii="Times New Roman" w:hAnsi="Times New Roman"/>
          <w:sz w:val="28"/>
          <w:szCs w:val="28"/>
        </w:rPr>
        <w:t xml:space="preserve">да следят за стриктно прилагане на закона с оглед недопускане на </w:t>
      </w:r>
      <w:proofErr w:type="spellStart"/>
      <w:r w:rsidRPr="00974A6E">
        <w:rPr>
          <w:rFonts w:ascii="Times New Roman" w:hAnsi="Times New Roman"/>
          <w:sz w:val="28"/>
        </w:rPr>
        <w:t>отстраним</w:t>
      </w:r>
      <w:r>
        <w:rPr>
          <w:rFonts w:ascii="Times New Roman" w:hAnsi="Times New Roman"/>
          <w:sz w:val="28"/>
        </w:rPr>
        <w:t>и</w:t>
      </w:r>
      <w:proofErr w:type="spellEnd"/>
      <w:r w:rsidRPr="00974A6E">
        <w:rPr>
          <w:rFonts w:ascii="Times New Roman" w:hAnsi="Times New Roman"/>
          <w:sz w:val="28"/>
        </w:rPr>
        <w:t xml:space="preserve"> съществен</w:t>
      </w:r>
      <w:r>
        <w:rPr>
          <w:rFonts w:ascii="Times New Roman" w:hAnsi="Times New Roman"/>
          <w:sz w:val="28"/>
        </w:rPr>
        <w:t>и</w:t>
      </w:r>
      <w:r w:rsidRPr="00974A6E">
        <w:rPr>
          <w:rFonts w:ascii="Times New Roman" w:hAnsi="Times New Roman"/>
          <w:sz w:val="28"/>
        </w:rPr>
        <w:t xml:space="preserve"> нарушени</w:t>
      </w:r>
      <w:r>
        <w:rPr>
          <w:rFonts w:ascii="Times New Roman" w:hAnsi="Times New Roman"/>
          <w:sz w:val="28"/>
        </w:rPr>
        <w:t>я</w:t>
      </w:r>
      <w:r w:rsidRPr="00974A6E">
        <w:rPr>
          <w:rFonts w:ascii="Times New Roman" w:hAnsi="Times New Roman"/>
          <w:sz w:val="28"/>
        </w:rPr>
        <w:t xml:space="preserve"> на процесуални правила в хода на </w:t>
      </w:r>
      <w:proofErr w:type="spellStart"/>
      <w:r w:rsidRPr="00974A6E">
        <w:rPr>
          <w:rFonts w:ascii="Times New Roman" w:hAnsi="Times New Roman"/>
          <w:sz w:val="28"/>
        </w:rPr>
        <w:t>разследването</w:t>
      </w:r>
      <w:r w:rsidRPr="00E43A63">
        <w:rPr>
          <w:rFonts w:ascii="Times New Roman" w:hAnsi="Times New Roman"/>
          <w:sz w:val="28"/>
          <w:szCs w:val="28"/>
        </w:rPr>
        <w:t>да</w:t>
      </w:r>
      <w:proofErr w:type="spellEnd"/>
      <w:r w:rsidRPr="00E43A63">
        <w:rPr>
          <w:rFonts w:ascii="Times New Roman" w:hAnsi="Times New Roman"/>
          <w:sz w:val="28"/>
          <w:szCs w:val="28"/>
        </w:rPr>
        <w:t xml:space="preserve"> провеждат работни срещи с разследващите органи с оглед подобряване на работата, прецизиране на актовете и преодоляване на пропуските. </w:t>
      </w:r>
    </w:p>
    <w:p w:rsidR="008D014B" w:rsidRPr="00E43A63" w:rsidRDefault="008D014B" w:rsidP="008D014B">
      <w:pPr>
        <w:spacing w:after="0" w:line="240" w:lineRule="auto"/>
        <w:ind w:right="-22" w:firstLine="709"/>
        <w:jc w:val="both"/>
        <w:rPr>
          <w:rFonts w:ascii="Times New Roman" w:hAnsi="Times New Roman"/>
          <w:sz w:val="28"/>
          <w:szCs w:val="28"/>
        </w:rPr>
      </w:pPr>
    </w:p>
    <w:p w:rsidR="008D014B" w:rsidRDefault="008D014B" w:rsidP="008D014B">
      <w:pPr>
        <w:spacing w:after="0" w:line="240" w:lineRule="auto"/>
        <w:jc w:val="both"/>
        <w:rPr>
          <w:rFonts w:ascii="Times New Roman" w:hAnsi="Times New Roman"/>
          <w:b/>
          <w:sz w:val="28"/>
          <w:szCs w:val="28"/>
        </w:rPr>
      </w:pPr>
    </w:p>
    <w:p w:rsidR="008D014B" w:rsidRPr="00EE4D0D" w:rsidRDefault="008D014B" w:rsidP="008D014B">
      <w:pPr>
        <w:spacing w:after="0" w:line="240" w:lineRule="auto"/>
        <w:ind w:firstLine="709"/>
        <w:jc w:val="both"/>
        <w:rPr>
          <w:rFonts w:ascii="Times New Roman" w:hAnsi="Times New Roman"/>
          <w:b/>
          <w:sz w:val="28"/>
          <w:szCs w:val="28"/>
        </w:rPr>
      </w:pPr>
      <w:r w:rsidRPr="00EE4D0D">
        <w:rPr>
          <w:rFonts w:ascii="Times New Roman" w:hAnsi="Times New Roman"/>
          <w:b/>
          <w:sz w:val="28"/>
          <w:szCs w:val="28"/>
        </w:rPr>
        <w:t>Оправдателни присъди.</w:t>
      </w:r>
    </w:p>
    <w:p w:rsidR="008D014B" w:rsidRPr="00EE4D0D"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t>През</w:t>
      </w:r>
      <w:r w:rsidR="00903ACB">
        <w:rPr>
          <w:rFonts w:ascii="Times New Roman" w:hAnsi="Times New Roman"/>
          <w:sz w:val="28"/>
          <w:szCs w:val="28"/>
        </w:rPr>
        <w:t xml:space="preserve"> 2019 година са постановени </w:t>
      </w:r>
      <w:r w:rsidR="00EF5176" w:rsidRPr="00977520">
        <w:rPr>
          <w:rFonts w:ascii="Times New Roman" w:hAnsi="Times New Roman"/>
          <w:sz w:val="28"/>
          <w:szCs w:val="28"/>
        </w:rPr>
        <w:t>18</w:t>
      </w:r>
      <w:r w:rsidRPr="00977520">
        <w:rPr>
          <w:rFonts w:ascii="Times New Roman" w:hAnsi="Times New Roman"/>
          <w:sz w:val="28"/>
          <w:szCs w:val="28"/>
        </w:rPr>
        <w:t xml:space="preserve"> оправдателни</w:t>
      </w:r>
      <w:r w:rsidRPr="00EE4D0D">
        <w:rPr>
          <w:rFonts w:ascii="Times New Roman" w:hAnsi="Times New Roman"/>
          <w:sz w:val="28"/>
          <w:szCs w:val="28"/>
        </w:rPr>
        <w:t xml:space="preserve"> присъди и решения, </w:t>
      </w:r>
      <w:r>
        <w:rPr>
          <w:rFonts w:ascii="Times New Roman" w:hAnsi="Times New Roman"/>
          <w:sz w:val="28"/>
          <w:szCs w:val="28"/>
        </w:rPr>
        <w:t>за 2018 г. – 13 и за 2017 г. – 9</w:t>
      </w:r>
      <w:r w:rsidRPr="00EE4D0D">
        <w:rPr>
          <w:rFonts w:ascii="Times New Roman" w:hAnsi="Times New Roman"/>
          <w:sz w:val="28"/>
          <w:szCs w:val="28"/>
        </w:rPr>
        <w:t>.</w:t>
      </w:r>
    </w:p>
    <w:p w:rsidR="008D014B"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Спрямо решените от съда дела оправдателните прис</w:t>
      </w:r>
      <w:r>
        <w:rPr>
          <w:rFonts w:ascii="Times New Roman" w:hAnsi="Times New Roman"/>
          <w:sz w:val="28"/>
          <w:szCs w:val="28"/>
        </w:rPr>
        <w:t xml:space="preserve">ъди и решения са </w:t>
      </w:r>
      <w:r w:rsidR="004B71CB" w:rsidRPr="004B71CB">
        <w:rPr>
          <w:rFonts w:ascii="Times New Roman" w:hAnsi="Times New Roman"/>
          <w:sz w:val="28"/>
          <w:szCs w:val="28"/>
        </w:rPr>
        <w:t>2,67</w:t>
      </w:r>
      <w:r w:rsidRPr="004B71CB">
        <w:rPr>
          <w:rFonts w:ascii="Times New Roman" w:hAnsi="Times New Roman"/>
          <w:sz w:val="28"/>
          <w:szCs w:val="28"/>
        </w:rPr>
        <w:t>%, при 1,88% за 2018 г., при 1,17% за 2017г.</w:t>
      </w:r>
      <w:r w:rsidRPr="00E87480">
        <w:rPr>
          <w:rFonts w:ascii="Times New Roman" w:hAnsi="Times New Roman"/>
          <w:sz w:val="28"/>
          <w:szCs w:val="28"/>
        </w:rPr>
        <w:t xml:space="preserve"> </w:t>
      </w:r>
    </w:p>
    <w:p w:rsidR="008D014B" w:rsidRPr="00E87480" w:rsidRDefault="008D014B" w:rsidP="008D014B">
      <w:pPr>
        <w:spacing w:after="0" w:line="240" w:lineRule="auto"/>
        <w:ind w:firstLine="709"/>
        <w:jc w:val="both"/>
        <w:rPr>
          <w:rFonts w:ascii="Times New Roman" w:hAnsi="Times New Roman"/>
          <w:sz w:val="28"/>
          <w:szCs w:val="28"/>
        </w:rPr>
      </w:pPr>
      <w:r w:rsidRPr="00E87480">
        <w:rPr>
          <w:rFonts w:ascii="Times New Roman" w:hAnsi="Times New Roman"/>
          <w:sz w:val="28"/>
          <w:szCs w:val="28"/>
        </w:rPr>
        <w:t>Съпоставени към броя на внесените прокурорски актове, оправдателните присъди и решения са 1,61%, при 1,93% за 2018 г. и при 1,26% за 2017 г.</w:t>
      </w:r>
    </w:p>
    <w:p w:rsidR="008D014B" w:rsidRPr="00BA4CF6" w:rsidRDefault="008D014B" w:rsidP="008D014B">
      <w:pPr>
        <w:spacing w:after="0" w:line="240" w:lineRule="auto"/>
        <w:ind w:firstLine="709"/>
        <w:jc w:val="both"/>
        <w:rPr>
          <w:rFonts w:ascii="Times New Roman" w:hAnsi="Times New Roman"/>
          <w:sz w:val="28"/>
          <w:szCs w:val="28"/>
        </w:rPr>
      </w:pPr>
      <w:r w:rsidRPr="00BA4CF6">
        <w:rPr>
          <w:rFonts w:ascii="Times New Roman" w:hAnsi="Times New Roman"/>
          <w:sz w:val="28"/>
          <w:szCs w:val="28"/>
        </w:rPr>
        <w:t xml:space="preserve">През анализирания период </w:t>
      </w:r>
      <w:r w:rsidR="0094396B">
        <w:rPr>
          <w:rFonts w:ascii="Times New Roman" w:hAnsi="Times New Roman"/>
          <w:sz w:val="28"/>
          <w:szCs w:val="28"/>
        </w:rPr>
        <w:t>в Разградски съдебен район са влезли в сила</w:t>
      </w:r>
      <w:r w:rsidR="002274F4">
        <w:rPr>
          <w:rFonts w:ascii="Times New Roman" w:hAnsi="Times New Roman"/>
          <w:sz w:val="28"/>
          <w:szCs w:val="28"/>
        </w:rPr>
        <w:t xml:space="preserve"> 12 оправдателни присъди и 6</w:t>
      </w:r>
      <w:r w:rsidRPr="00BA4CF6">
        <w:rPr>
          <w:rFonts w:ascii="Times New Roman" w:hAnsi="Times New Roman"/>
          <w:sz w:val="28"/>
          <w:szCs w:val="28"/>
        </w:rPr>
        <w:t xml:space="preserve"> оправдателни решения </w:t>
      </w:r>
      <w:r w:rsidR="00CA15C7">
        <w:rPr>
          <w:rFonts w:ascii="Times New Roman" w:hAnsi="Times New Roman"/>
          <w:sz w:val="28"/>
          <w:szCs w:val="28"/>
        </w:rPr>
        <w:t xml:space="preserve"> (ОП Разград – </w:t>
      </w:r>
      <w:r w:rsidR="0094396B">
        <w:rPr>
          <w:rFonts w:ascii="Times New Roman" w:hAnsi="Times New Roman"/>
          <w:sz w:val="28"/>
          <w:szCs w:val="28"/>
        </w:rPr>
        <w:t>0</w:t>
      </w:r>
      <w:r w:rsidR="005C0DB1">
        <w:rPr>
          <w:rFonts w:ascii="Times New Roman" w:hAnsi="Times New Roman"/>
          <w:sz w:val="28"/>
          <w:szCs w:val="28"/>
        </w:rPr>
        <w:t xml:space="preserve">; РП Разград – </w:t>
      </w:r>
      <w:r w:rsidR="0094396B">
        <w:rPr>
          <w:rFonts w:ascii="Times New Roman" w:hAnsi="Times New Roman"/>
          <w:sz w:val="28"/>
          <w:szCs w:val="28"/>
        </w:rPr>
        <w:t>8</w:t>
      </w:r>
      <w:r w:rsidR="005C0DB1">
        <w:rPr>
          <w:rFonts w:ascii="Times New Roman" w:hAnsi="Times New Roman"/>
          <w:sz w:val="28"/>
          <w:szCs w:val="28"/>
        </w:rPr>
        <w:t>; РП Исперих – 3; РП Кубрат - 7</w:t>
      </w:r>
      <w:r w:rsidRPr="00BA4CF6">
        <w:rPr>
          <w:rFonts w:ascii="Times New Roman" w:hAnsi="Times New Roman"/>
          <w:sz w:val="28"/>
          <w:szCs w:val="28"/>
        </w:rPr>
        <w:t>).</w:t>
      </w:r>
    </w:p>
    <w:p w:rsidR="008D014B" w:rsidRPr="0082682A" w:rsidRDefault="008D014B" w:rsidP="008D014B">
      <w:pPr>
        <w:spacing w:after="0" w:line="240" w:lineRule="auto"/>
        <w:ind w:firstLine="709"/>
        <w:jc w:val="both"/>
        <w:rPr>
          <w:rFonts w:ascii="Times New Roman" w:hAnsi="Times New Roman"/>
          <w:sz w:val="28"/>
          <w:szCs w:val="28"/>
        </w:rPr>
      </w:pPr>
      <w:r w:rsidRPr="0082682A">
        <w:rPr>
          <w:rFonts w:ascii="Times New Roman" w:hAnsi="Times New Roman"/>
          <w:sz w:val="28"/>
          <w:szCs w:val="28"/>
        </w:rPr>
        <w:t xml:space="preserve">През отчетния период на 2019 г. </w:t>
      </w:r>
      <w:r>
        <w:rPr>
          <w:rFonts w:ascii="Times New Roman" w:hAnsi="Times New Roman"/>
          <w:sz w:val="28"/>
          <w:szCs w:val="28"/>
        </w:rPr>
        <w:t xml:space="preserve">по отношение </w:t>
      </w:r>
      <w:r w:rsidRPr="00FD1136">
        <w:rPr>
          <w:rFonts w:ascii="Times New Roman" w:hAnsi="Times New Roman"/>
          <w:sz w:val="28"/>
          <w:szCs w:val="28"/>
        </w:rPr>
        <w:t xml:space="preserve">на 724 лица </w:t>
      </w:r>
      <w:r w:rsidRPr="0082682A">
        <w:rPr>
          <w:rFonts w:ascii="Times New Roman" w:hAnsi="Times New Roman"/>
          <w:sz w:val="28"/>
          <w:szCs w:val="28"/>
        </w:rPr>
        <w:t xml:space="preserve">осъдителните и санкционни решения са влезли в сила и </w:t>
      </w:r>
      <w:r w:rsidRPr="00FD1136">
        <w:rPr>
          <w:rFonts w:ascii="Times New Roman" w:hAnsi="Times New Roman"/>
          <w:sz w:val="28"/>
          <w:szCs w:val="28"/>
        </w:rPr>
        <w:t xml:space="preserve">на 18 лица </w:t>
      </w:r>
      <w:r w:rsidRPr="0082682A">
        <w:rPr>
          <w:rFonts w:ascii="Times New Roman" w:hAnsi="Times New Roman"/>
          <w:sz w:val="28"/>
          <w:szCs w:val="28"/>
        </w:rPr>
        <w:t>оправдателните присъди също са влезли в сила.</w:t>
      </w:r>
    </w:p>
    <w:p w:rsidR="008D014B" w:rsidRPr="00EE4D0D"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 xml:space="preserve">През отчетния период на 2018 г. осъдителните и санкционни решения са влезли в сила </w:t>
      </w:r>
      <w:r>
        <w:rPr>
          <w:rFonts w:ascii="Times New Roman" w:hAnsi="Times New Roman"/>
          <w:sz w:val="28"/>
          <w:szCs w:val="28"/>
        </w:rPr>
        <w:t>по отношение на 691 лица и</w:t>
      </w:r>
      <w:r w:rsidRPr="00EE4D0D">
        <w:rPr>
          <w:rFonts w:ascii="Times New Roman" w:hAnsi="Times New Roman"/>
          <w:sz w:val="28"/>
          <w:szCs w:val="28"/>
        </w:rPr>
        <w:t xml:space="preserve"> на 15 лица оправдателните присъди също са влезли в сила.</w:t>
      </w:r>
    </w:p>
    <w:p w:rsidR="008D014B" w:rsidRPr="00EE4D0D"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През отчетния период на 2017 г. на 806 лица осъдителните и санкционни решения са влезли в сила и на 16 лица оправдателните присъди също са влезли в сила.</w:t>
      </w:r>
    </w:p>
    <w:p w:rsidR="008D014B" w:rsidRPr="00EE4D0D"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lastRenderedPageBreak/>
        <w:t>Делът на оправданите лица с влязъл в сила съдебен акт спрямо всички лица с влязъл в сила</w:t>
      </w:r>
      <w:r>
        <w:rPr>
          <w:rFonts w:ascii="Times New Roman" w:hAnsi="Times New Roman"/>
          <w:sz w:val="28"/>
          <w:szCs w:val="28"/>
        </w:rPr>
        <w:t xml:space="preserve"> съдебен </w:t>
      </w:r>
      <w:r w:rsidRPr="00D96448">
        <w:rPr>
          <w:rFonts w:ascii="Times New Roman" w:hAnsi="Times New Roman"/>
          <w:sz w:val="28"/>
          <w:szCs w:val="28"/>
        </w:rPr>
        <w:t xml:space="preserve">акт през 2019 </w:t>
      </w:r>
      <w:r w:rsidRPr="00B77089">
        <w:rPr>
          <w:rFonts w:ascii="Times New Roman" w:hAnsi="Times New Roman"/>
          <w:sz w:val="28"/>
          <w:szCs w:val="28"/>
        </w:rPr>
        <w:t xml:space="preserve">г. е 2,49%, </w:t>
      </w:r>
      <w:r w:rsidRPr="00D96448">
        <w:rPr>
          <w:rFonts w:ascii="Times New Roman" w:hAnsi="Times New Roman"/>
          <w:sz w:val="28"/>
          <w:szCs w:val="28"/>
        </w:rPr>
        <w:t xml:space="preserve">при 2,17% през 2018 </w:t>
      </w:r>
      <w:r>
        <w:rPr>
          <w:rFonts w:ascii="Times New Roman" w:hAnsi="Times New Roman"/>
          <w:sz w:val="28"/>
          <w:szCs w:val="28"/>
        </w:rPr>
        <w:t>г. и при 1,99% през 2017</w:t>
      </w:r>
      <w:r w:rsidRPr="00EE4D0D">
        <w:rPr>
          <w:rFonts w:ascii="Times New Roman" w:hAnsi="Times New Roman"/>
          <w:sz w:val="28"/>
          <w:szCs w:val="28"/>
        </w:rPr>
        <w:t xml:space="preserve"> г.</w:t>
      </w:r>
    </w:p>
    <w:p w:rsidR="008D014B" w:rsidRPr="00EE4D0D" w:rsidRDefault="008D014B" w:rsidP="008D014B">
      <w:pPr>
        <w:spacing w:after="0" w:line="240" w:lineRule="auto"/>
        <w:ind w:firstLine="709"/>
        <w:jc w:val="both"/>
        <w:rPr>
          <w:rFonts w:ascii="Times New Roman" w:hAnsi="Times New Roman"/>
          <w:sz w:val="28"/>
          <w:szCs w:val="28"/>
        </w:rPr>
      </w:pPr>
    </w:p>
    <w:p w:rsidR="008D014B" w:rsidRDefault="008D014B" w:rsidP="008D014B">
      <w:pPr>
        <w:spacing w:after="0" w:line="240" w:lineRule="auto"/>
        <w:jc w:val="both"/>
        <w:rPr>
          <w:rFonts w:ascii="Times New Roman" w:hAnsi="Times New Roman"/>
          <w:sz w:val="28"/>
          <w:szCs w:val="28"/>
        </w:rPr>
      </w:pPr>
    </w:p>
    <w:p w:rsidR="008D014B" w:rsidRPr="00EE4D0D"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Относителен дял на оправданите лица с влязъл в сила съдебен акт спрямо всички лица с влязъл в сила съдебен акт по прокуратури и по години.</w:t>
      </w:r>
    </w:p>
    <w:p w:rsidR="008D014B" w:rsidRPr="00EE4D0D" w:rsidRDefault="008D014B" w:rsidP="008D014B">
      <w:pPr>
        <w:spacing w:after="0" w:line="240" w:lineRule="auto"/>
        <w:ind w:firstLine="709"/>
        <w:jc w:val="both"/>
        <w:rPr>
          <w:rFonts w:ascii="Times New Roman" w:hAnsi="Times New Roman"/>
          <w:sz w:val="28"/>
          <w:szCs w:val="28"/>
        </w:rPr>
      </w:pPr>
    </w:p>
    <w:tbl>
      <w:tblPr>
        <w:tblStyle w:val="11"/>
        <w:tblW w:w="0" w:type="auto"/>
        <w:tblInd w:w="108" w:type="dxa"/>
        <w:tblLook w:val="04A0" w:firstRow="1" w:lastRow="0" w:firstColumn="1" w:lastColumn="0" w:noHBand="0" w:noVBand="1"/>
      </w:tblPr>
      <w:tblGrid>
        <w:gridCol w:w="1544"/>
        <w:gridCol w:w="961"/>
        <w:gridCol w:w="2780"/>
        <w:gridCol w:w="1945"/>
        <w:gridCol w:w="2070"/>
      </w:tblGrid>
      <w:tr w:rsidR="008D014B" w:rsidRPr="00C96174" w:rsidTr="00766ADB">
        <w:tc>
          <w:tcPr>
            <w:tcW w:w="154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Прокуратура</w:t>
            </w:r>
          </w:p>
        </w:tc>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Година</w:t>
            </w:r>
          </w:p>
        </w:tc>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Лица с влязъл в сила съдебен акт</w:t>
            </w:r>
          </w:p>
        </w:tc>
        <w:tc>
          <w:tcPr>
            <w:tcW w:w="194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Оправдани лица с влязъл в сила съдебен акт</w:t>
            </w:r>
          </w:p>
        </w:tc>
        <w:tc>
          <w:tcPr>
            <w:tcW w:w="20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Относителен дял на оправданите лица с влязъл в сила съдебен акт, спрямо всички лица с влязъл в сила съдебен акт</w:t>
            </w:r>
          </w:p>
        </w:tc>
      </w:tr>
      <w:tr w:rsidR="008D014B" w:rsidRPr="00C96174" w:rsidTr="008C3CDE">
        <w:trPr>
          <w:cantSplit/>
          <w:trHeight w:hRule="exact" w:val="794"/>
        </w:trPr>
        <w:tc>
          <w:tcPr>
            <w:tcW w:w="1544"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ОП Разград</w:t>
            </w:r>
          </w:p>
          <w:p w:rsidR="008D014B" w:rsidRPr="00C96174"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2019</w:t>
            </w:r>
            <w:r w:rsidRPr="00C96174">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014B" w:rsidRPr="00C96174" w:rsidRDefault="008D014B" w:rsidP="00766ADB">
            <w:pPr>
              <w:rPr>
                <w:rFonts w:ascii="Times New Roman" w:hAnsi="Times New Roman"/>
                <w:sz w:val="24"/>
                <w:szCs w:val="24"/>
              </w:rPr>
            </w:pPr>
            <w:r>
              <w:rPr>
                <w:rFonts w:ascii="Times New Roman" w:hAnsi="Times New Roman"/>
                <w:sz w:val="24"/>
                <w:szCs w:val="24"/>
              </w:rPr>
              <w:t>44</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w:t>
            </w:r>
          </w:p>
        </w:tc>
      </w:tr>
      <w:tr w:rsidR="008D014B" w:rsidRPr="00C96174" w:rsidTr="008C3CDE">
        <w:trPr>
          <w:cantSplit/>
          <w:trHeight w:hRule="exact" w:val="794"/>
        </w:trPr>
        <w:tc>
          <w:tcPr>
            <w:tcW w:w="1544"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РП Разград</w:t>
            </w:r>
          </w:p>
          <w:p w:rsidR="008D014B" w:rsidRPr="00C96174"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2019</w:t>
            </w:r>
            <w:r w:rsidRPr="00C96174">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014B" w:rsidRPr="00C96174" w:rsidRDefault="008D014B" w:rsidP="00766ADB">
            <w:pPr>
              <w:rPr>
                <w:rFonts w:ascii="Times New Roman" w:hAnsi="Times New Roman"/>
                <w:sz w:val="24"/>
                <w:szCs w:val="24"/>
              </w:rPr>
            </w:pPr>
            <w:r>
              <w:rPr>
                <w:rFonts w:ascii="Times New Roman" w:hAnsi="Times New Roman"/>
                <w:sz w:val="24"/>
                <w:szCs w:val="24"/>
              </w:rPr>
              <w:t>314</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59489C" w:rsidP="00766ADB">
            <w:pPr>
              <w:rPr>
                <w:rFonts w:ascii="Times New Roman" w:hAnsi="Times New Roman"/>
                <w:sz w:val="24"/>
                <w:szCs w:val="24"/>
              </w:rPr>
            </w:pPr>
            <w:r>
              <w:rPr>
                <w:rFonts w:ascii="Times New Roman" w:hAnsi="Times New Roman"/>
                <w:sz w:val="24"/>
                <w:szCs w:val="24"/>
              </w:rPr>
              <w:t>8</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59489C" w:rsidP="00766ADB">
            <w:pPr>
              <w:rPr>
                <w:rFonts w:ascii="Times New Roman" w:hAnsi="Times New Roman"/>
                <w:sz w:val="24"/>
                <w:szCs w:val="24"/>
              </w:rPr>
            </w:pPr>
            <w:r>
              <w:rPr>
                <w:rFonts w:ascii="Times New Roman" w:hAnsi="Times New Roman"/>
                <w:sz w:val="24"/>
                <w:szCs w:val="24"/>
              </w:rPr>
              <w:t>2,55</w:t>
            </w:r>
            <w:r w:rsidR="008D014B">
              <w:rPr>
                <w:rFonts w:ascii="Times New Roman" w:hAnsi="Times New Roman"/>
                <w:sz w:val="24"/>
                <w:szCs w:val="24"/>
              </w:rPr>
              <w:t>%</w:t>
            </w:r>
          </w:p>
        </w:tc>
      </w:tr>
      <w:tr w:rsidR="008D014B" w:rsidRPr="00C96174" w:rsidTr="008C3CDE">
        <w:trPr>
          <w:cantSplit/>
          <w:trHeight w:hRule="exact" w:val="794"/>
        </w:trPr>
        <w:tc>
          <w:tcPr>
            <w:tcW w:w="1544"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РП Исперих</w:t>
            </w:r>
          </w:p>
          <w:p w:rsidR="008D014B" w:rsidRPr="00C96174"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2019</w:t>
            </w:r>
            <w:r w:rsidRPr="00C96174">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014B" w:rsidRPr="00C96174" w:rsidRDefault="008D014B" w:rsidP="00766ADB">
            <w:pPr>
              <w:rPr>
                <w:rFonts w:ascii="Times New Roman" w:hAnsi="Times New Roman"/>
                <w:sz w:val="24"/>
                <w:szCs w:val="24"/>
              </w:rPr>
            </w:pPr>
            <w:r>
              <w:rPr>
                <w:rFonts w:ascii="Times New Roman" w:hAnsi="Times New Roman"/>
                <w:sz w:val="24"/>
                <w:szCs w:val="24"/>
              </w:rPr>
              <w:t>186</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1,61</w:t>
            </w:r>
            <w:r w:rsidRPr="00C96174">
              <w:rPr>
                <w:rFonts w:ascii="Times New Roman" w:hAnsi="Times New Roman"/>
                <w:sz w:val="24"/>
                <w:szCs w:val="24"/>
              </w:rPr>
              <w:t>%</w:t>
            </w:r>
          </w:p>
        </w:tc>
      </w:tr>
      <w:tr w:rsidR="008D014B" w:rsidRPr="00C96174" w:rsidTr="008C3CDE">
        <w:trPr>
          <w:cantSplit/>
          <w:trHeight w:hRule="exact" w:val="794"/>
        </w:trPr>
        <w:tc>
          <w:tcPr>
            <w:tcW w:w="1544"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РП Кубрат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2019</w:t>
            </w:r>
            <w:r w:rsidRPr="00C96174">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014B" w:rsidRPr="00C96174" w:rsidRDefault="008D014B" w:rsidP="00766ADB">
            <w:pPr>
              <w:rPr>
                <w:rFonts w:ascii="Times New Roman" w:hAnsi="Times New Roman"/>
                <w:sz w:val="24"/>
                <w:szCs w:val="24"/>
              </w:rPr>
            </w:pPr>
            <w:r>
              <w:rPr>
                <w:rFonts w:ascii="Times New Roman" w:hAnsi="Times New Roman"/>
                <w:sz w:val="24"/>
                <w:szCs w:val="24"/>
              </w:rPr>
              <w:t>180</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BA3BE8" w:rsidP="00766ADB">
            <w:pPr>
              <w:rPr>
                <w:rFonts w:ascii="Times New Roman" w:hAnsi="Times New Roman"/>
                <w:sz w:val="24"/>
                <w:szCs w:val="24"/>
              </w:rPr>
            </w:pPr>
            <w:r>
              <w:rPr>
                <w:rFonts w:ascii="Times New Roman" w:hAnsi="Times New Roman"/>
                <w:sz w:val="24"/>
                <w:szCs w:val="24"/>
              </w:rPr>
              <w:t>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BA3BE8" w:rsidP="00766ADB">
            <w:pPr>
              <w:rPr>
                <w:rFonts w:ascii="Times New Roman" w:hAnsi="Times New Roman"/>
                <w:sz w:val="24"/>
                <w:szCs w:val="24"/>
              </w:rPr>
            </w:pPr>
            <w:r>
              <w:rPr>
                <w:rFonts w:ascii="Times New Roman" w:hAnsi="Times New Roman"/>
                <w:sz w:val="24"/>
                <w:szCs w:val="24"/>
              </w:rPr>
              <w:t>3,89</w:t>
            </w:r>
            <w:r w:rsidR="008D014B" w:rsidRPr="00C96174">
              <w:rPr>
                <w:rFonts w:ascii="Times New Roman" w:hAnsi="Times New Roman"/>
                <w:sz w:val="24"/>
                <w:szCs w:val="24"/>
              </w:rPr>
              <w:t>%</w:t>
            </w:r>
          </w:p>
        </w:tc>
      </w:tr>
      <w:tr w:rsidR="008D014B" w:rsidRPr="00C96174" w:rsidTr="008C3CDE">
        <w:trPr>
          <w:cantSplit/>
          <w:trHeight w:hRule="exact" w:val="794"/>
        </w:trPr>
        <w:tc>
          <w:tcPr>
            <w:tcW w:w="1544"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ОП Разград</w:t>
            </w:r>
          </w:p>
          <w:p w:rsidR="008D014B" w:rsidRPr="00C96174"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2018</w:t>
            </w:r>
            <w:r w:rsidRPr="00C96174">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014B" w:rsidRPr="00C96174" w:rsidRDefault="008D014B" w:rsidP="00766ADB">
            <w:pPr>
              <w:rPr>
                <w:rFonts w:ascii="Times New Roman" w:hAnsi="Times New Roman"/>
                <w:sz w:val="24"/>
                <w:szCs w:val="24"/>
              </w:rPr>
            </w:pPr>
            <w:r>
              <w:rPr>
                <w:rFonts w:ascii="Times New Roman" w:hAnsi="Times New Roman"/>
                <w:sz w:val="24"/>
                <w:szCs w:val="24"/>
              </w:rPr>
              <w:t>54</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3</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5,56</w:t>
            </w:r>
            <w:r w:rsidRPr="00C96174">
              <w:rPr>
                <w:rFonts w:ascii="Times New Roman" w:hAnsi="Times New Roman"/>
                <w:sz w:val="24"/>
                <w:szCs w:val="24"/>
              </w:rPr>
              <w:t>%</w:t>
            </w:r>
          </w:p>
        </w:tc>
      </w:tr>
      <w:tr w:rsidR="008D014B" w:rsidRPr="00C96174" w:rsidTr="008C3CDE">
        <w:trPr>
          <w:cantSplit/>
          <w:trHeight w:hRule="exact" w:val="794"/>
        </w:trPr>
        <w:tc>
          <w:tcPr>
            <w:tcW w:w="1544"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РП Разград</w:t>
            </w:r>
          </w:p>
          <w:p w:rsidR="008D014B" w:rsidRPr="00C96174"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2018</w:t>
            </w:r>
            <w:r w:rsidRPr="00C96174">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014B" w:rsidRPr="00C96174" w:rsidRDefault="008D014B" w:rsidP="00766ADB">
            <w:pPr>
              <w:rPr>
                <w:rFonts w:ascii="Times New Roman" w:hAnsi="Times New Roman"/>
                <w:sz w:val="24"/>
                <w:szCs w:val="24"/>
              </w:rPr>
            </w:pPr>
            <w:r>
              <w:rPr>
                <w:rFonts w:ascii="Times New Roman" w:hAnsi="Times New Roman"/>
                <w:sz w:val="24"/>
                <w:szCs w:val="24"/>
              </w:rPr>
              <w:t>248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2,42</w:t>
            </w:r>
            <w:r w:rsidRPr="00C96174">
              <w:rPr>
                <w:rFonts w:ascii="Times New Roman" w:hAnsi="Times New Roman"/>
                <w:sz w:val="24"/>
                <w:szCs w:val="24"/>
              </w:rPr>
              <w:t>%</w:t>
            </w:r>
          </w:p>
        </w:tc>
      </w:tr>
      <w:tr w:rsidR="008D014B" w:rsidRPr="00C96174" w:rsidTr="008C3CDE">
        <w:trPr>
          <w:cantSplit/>
          <w:trHeight w:hRule="exact" w:val="794"/>
        </w:trPr>
        <w:tc>
          <w:tcPr>
            <w:tcW w:w="1544"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РП Исперих</w:t>
            </w:r>
          </w:p>
          <w:p w:rsidR="008D014B" w:rsidRPr="00C96174"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2018</w:t>
            </w:r>
            <w:r w:rsidRPr="00C96174">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014B" w:rsidRPr="00C96174" w:rsidRDefault="008D014B" w:rsidP="00766ADB">
            <w:pPr>
              <w:rPr>
                <w:rFonts w:ascii="Times New Roman" w:hAnsi="Times New Roman"/>
                <w:sz w:val="24"/>
                <w:szCs w:val="24"/>
              </w:rPr>
            </w:pPr>
            <w:r>
              <w:rPr>
                <w:rFonts w:ascii="Times New Roman" w:hAnsi="Times New Roman"/>
                <w:sz w:val="24"/>
                <w:szCs w:val="24"/>
              </w:rPr>
              <w:t>191</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2,09</w:t>
            </w:r>
            <w:r w:rsidRPr="00C96174">
              <w:rPr>
                <w:rFonts w:ascii="Times New Roman" w:hAnsi="Times New Roman"/>
                <w:sz w:val="24"/>
                <w:szCs w:val="24"/>
              </w:rPr>
              <w:t>%</w:t>
            </w:r>
          </w:p>
        </w:tc>
      </w:tr>
      <w:tr w:rsidR="008D014B" w:rsidRPr="00C96174" w:rsidTr="008C3CDE">
        <w:trPr>
          <w:cantSplit/>
          <w:trHeight w:hRule="exact" w:val="794"/>
        </w:trPr>
        <w:tc>
          <w:tcPr>
            <w:tcW w:w="1544"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РП Кубрат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2018</w:t>
            </w:r>
            <w:r w:rsidRPr="00C96174">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014B" w:rsidRPr="00C96174" w:rsidRDefault="008D014B" w:rsidP="00766ADB">
            <w:pPr>
              <w:rPr>
                <w:rFonts w:ascii="Times New Roman" w:hAnsi="Times New Roman"/>
                <w:sz w:val="24"/>
                <w:szCs w:val="24"/>
              </w:rPr>
            </w:pPr>
            <w:r>
              <w:rPr>
                <w:rFonts w:ascii="Times New Roman" w:hAnsi="Times New Roman"/>
                <w:sz w:val="24"/>
                <w:szCs w:val="24"/>
              </w:rPr>
              <w:t>198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1,01</w:t>
            </w:r>
            <w:r w:rsidRPr="00C96174">
              <w:rPr>
                <w:rFonts w:ascii="Times New Roman" w:hAnsi="Times New Roman"/>
                <w:sz w:val="24"/>
                <w:szCs w:val="24"/>
              </w:rPr>
              <w:t>%</w:t>
            </w:r>
          </w:p>
        </w:tc>
      </w:tr>
      <w:tr w:rsidR="008D014B" w:rsidRPr="00C96174" w:rsidTr="008C3CDE">
        <w:trPr>
          <w:cantSplit/>
          <w:trHeight w:hRule="exact" w:val="794"/>
        </w:trPr>
        <w:tc>
          <w:tcPr>
            <w:tcW w:w="1544"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ОП Разград</w:t>
            </w:r>
          </w:p>
          <w:p w:rsidR="008D014B" w:rsidRPr="00C96174"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2017</w:t>
            </w:r>
            <w:r w:rsidRPr="00C96174">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014B" w:rsidRPr="00C96174" w:rsidRDefault="008D014B" w:rsidP="00766ADB">
            <w:pPr>
              <w:rPr>
                <w:rFonts w:ascii="Times New Roman" w:hAnsi="Times New Roman"/>
                <w:sz w:val="24"/>
                <w:szCs w:val="24"/>
              </w:rPr>
            </w:pPr>
            <w:r>
              <w:rPr>
                <w:rFonts w:ascii="Times New Roman" w:hAnsi="Times New Roman"/>
                <w:sz w:val="24"/>
                <w:szCs w:val="24"/>
              </w:rPr>
              <w:t>84</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2,38</w:t>
            </w:r>
            <w:r w:rsidRPr="00C96174">
              <w:rPr>
                <w:rFonts w:ascii="Times New Roman" w:hAnsi="Times New Roman"/>
                <w:sz w:val="24"/>
                <w:szCs w:val="24"/>
              </w:rPr>
              <w:t>%</w:t>
            </w:r>
          </w:p>
        </w:tc>
      </w:tr>
      <w:tr w:rsidR="008D014B" w:rsidRPr="00C96174" w:rsidTr="008C3CDE">
        <w:trPr>
          <w:cantSplit/>
          <w:trHeight w:hRule="exact" w:val="794"/>
        </w:trPr>
        <w:tc>
          <w:tcPr>
            <w:tcW w:w="1544"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РП Разград</w:t>
            </w:r>
          </w:p>
          <w:p w:rsidR="008D014B" w:rsidRPr="00C96174"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2017</w:t>
            </w:r>
            <w:r w:rsidRPr="00C96174">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014B" w:rsidRPr="00C96174" w:rsidRDefault="008D014B" w:rsidP="00766ADB">
            <w:pPr>
              <w:rPr>
                <w:rFonts w:ascii="Times New Roman" w:hAnsi="Times New Roman"/>
                <w:sz w:val="24"/>
                <w:szCs w:val="24"/>
              </w:rPr>
            </w:pPr>
            <w:r>
              <w:rPr>
                <w:rFonts w:ascii="Times New Roman" w:hAnsi="Times New Roman"/>
                <w:sz w:val="24"/>
                <w:szCs w:val="24"/>
              </w:rPr>
              <w:t>408</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8</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1,96</w:t>
            </w:r>
            <w:r w:rsidRPr="00C96174">
              <w:rPr>
                <w:rFonts w:ascii="Times New Roman" w:hAnsi="Times New Roman"/>
                <w:sz w:val="24"/>
                <w:szCs w:val="24"/>
              </w:rPr>
              <w:t>%</w:t>
            </w:r>
          </w:p>
        </w:tc>
      </w:tr>
      <w:tr w:rsidR="008D014B" w:rsidRPr="00C96174" w:rsidTr="008C3CDE">
        <w:trPr>
          <w:cantSplit/>
          <w:trHeight w:hRule="exact" w:val="794"/>
        </w:trPr>
        <w:tc>
          <w:tcPr>
            <w:tcW w:w="1544"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РП Исперих</w:t>
            </w:r>
          </w:p>
          <w:p w:rsidR="008D014B" w:rsidRPr="00C96174" w:rsidRDefault="008D014B" w:rsidP="00766ADB">
            <w:pPr>
              <w:ind w:firstLine="709"/>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2017</w:t>
            </w:r>
            <w:r w:rsidRPr="00C96174">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014B" w:rsidRPr="00C96174" w:rsidRDefault="008D014B" w:rsidP="00766ADB">
            <w:pPr>
              <w:rPr>
                <w:rFonts w:ascii="Times New Roman" w:hAnsi="Times New Roman"/>
                <w:sz w:val="24"/>
                <w:szCs w:val="24"/>
              </w:rPr>
            </w:pPr>
            <w:r>
              <w:rPr>
                <w:rFonts w:ascii="Times New Roman" w:hAnsi="Times New Roman"/>
                <w:sz w:val="24"/>
                <w:szCs w:val="24"/>
              </w:rPr>
              <w:t>329</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4</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1,21</w:t>
            </w:r>
            <w:r w:rsidRPr="00C96174">
              <w:rPr>
                <w:rFonts w:ascii="Times New Roman" w:hAnsi="Times New Roman"/>
                <w:sz w:val="24"/>
                <w:szCs w:val="24"/>
              </w:rPr>
              <w:t>%</w:t>
            </w:r>
          </w:p>
        </w:tc>
      </w:tr>
      <w:tr w:rsidR="008D014B" w:rsidRPr="00C96174" w:rsidTr="008C3CDE">
        <w:trPr>
          <w:cantSplit/>
          <w:trHeight w:hRule="exact" w:val="794"/>
        </w:trPr>
        <w:tc>
          <w:tcPr>
            <w:tcW w:w="1544" w:type="dxa"/>
            <w:tcBorders>
              <w:top w:val="single" w:sz="4" w:space="0" w:color="auto"/>
              <w:left w:val="single" w:sz="4" w:space="0" w:color="auto"/>
              <w:bottom w:val="single" w:sz="4" w:space="0" w:color="auto"/>
              <w:right w:val="single" w:sz="4" w:space="0" w:color="auto"/>
            </w:tcBorders>
            <w:shd w:val="clear" w:color="auto" w:fill="auto"/>
            <w:hideMark/>
          </w:tcPr>
          <w:p w:rsidR="008D014B" w:rsidRPr="00C96174" w:rsidRDefault="008D014B" w:rsidP="00766ADB">
            <w:pPr>
              <w:rPr>
                <w:rFonts w:ascii="Times New Roman" w:hAnsi="Times New Roman"/>
                <w:sz w:val="24"/>
                <w:szCs w:val="24"/>
              </w:rPr>
            </w:pPr>
            <w:r w:rsidRPr="00C96174">
              <w:rPr>
                <w:rFonts w:ascii="Times New Roman" w:hAnsi="Times New Roman"/>
                <w:sz w:val="24"/>
                <w:szCs w:val="24"/>
              </w:rPr>
              <w:t>РП Кубрат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2017</w:t>
            </w:r>
            <w:r w:rsidRPr="00C96174">
              <w:rPr>
                <w:rFonts w:ascii="Times New Roman" w:hAnsi="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014B" w:rsidRPr="00C96174" w:rsidRDefault="008D014B" w:rsidP="00766ADB">
            <w:pPr>
              <w:rPr>
                <w:rFonts w:ascii="Times New Roman" w:hAnsi="Times New Roman"/>
                <w:sz w:val="24"/>
                <w:szCs w:val="24"/>
              </w:rPr>
            </w:pPr>
            <w:r>
              <w:rPr>
                <w:rFonts w:ascii="Times New Roman" w:hAnsi="Times New Roman"/>
                <w:sz w:val="24"/>
                <w:szCs w:val="24"/>
              </w:rPr>
              <w:t>211</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D014B" w:rsidRPr="00C96174" w:rsidRDefault="008D014B" w:rsidP="00766ADB">
            <w:pPr>
              <w:rPr>
                <w:rFonts w:ascii="Times New Roman" w:hAnsi="Times New Roman"/>
                <w:sz w:val="24"/>
                <w:szCs w:val="24"/>
              </w:rPr>
            </w:pPr>
            <w:r>
              <w:rPr>
                <w:rFonts w:ascii="Times New Roman" w:hAnsi="Times New Roman"/>
                <w:sz w:val="24"/>
                <w:szCs w:val="24"/>
              </w:rPr>
              <w:t>0,95</w:t>
            </w:r>
            <w:r w:rsidRPr="00C96174">
              <w:rPr>
                <w:rFonts w:ascii="Times New Roman" w:hAnsi="Times New Roman"/>
                <w:sz w:val="24"/>
                <w:szCs w:val="24"/>
              </w:rPr>
              <w:t>%</w:t>
            </w:r>
          </w:p>
        </w:tc>
      </w:tr>
    </w:tbl>
    <w:p w:rsidR="008D014B" w:rsidRDefault="008D014B" w:rsidP="008D014B">
      <w:pPr>
        <w:spacing w:after="0" w:line="240" w:lineRule="auto"/>
        <w:jc w:val="both"/>
        <w:rPr>
          <w:rFonts w:ascii="Times New Roman" w:hAnsi="Times New Roman"/>
          <w:sz w:val="28"/>
          <w:szCs w:val="28"/>
        </w:rPr>
      </w:pPr>
    </w:p>
    <w:p w:rsidR="008C3CDE" w:rsidRDefault="008C3CDE" w:rsidP="008D014B">
      <w:pPr>
        <w:spacing w:after="0" w:line="240" w:lineRule="auto"/>
        <w:jc w:val="both"/>
        <w:rPr>
          <w:rFonts w:ascii="Times New Roman" w:hAnsi="Times New Roman"/>
          <w:sz w:val="28"/>
          <w:szCs w:val="28"/>
        </w:rPr>
      </w:pPr>
    </w:p>
    <w:p w:rsidR="008C3CDE" w:rsidRDefault="008C3CDE" w:rsidP="008D014B">
      <w:pPr>
        <w:spacing w:after="0" w:line="240" w:lineRule="auto"/>
        <w:jc w:val="both"/>
        <w:rPr>
          <w:rFonts w:ascii="Times New Roman" w:hAnsi="Times New Roman"/>
          <w:sz w:val="28"/>
          <w:szCs w:val="28"/>
        </w:rPr>
      </w:pPr>
    </w:p>
    <w:p w:rsidR="008D014B" w:rsidRPr="00EE4D0D" w:rsidRDefault="008D014B" w:rsidP="008D014B">
      <w:pPr>
        <w:spacing w:after="0" w:line="240" w:lineRule="auto"/>
        <w:jc w:val="both"/>
        <w:rPr>
          <w:rFonts w:ascii="Times New Roman" w:hAnsi="Times New Roman"/>
          <w:sz w:val="28"/>
          <w:szCs w:val="28"/>
        </w:rPr>
      </w:pPr>
      <w:r w:rsidRPr="00EE4D0D">
        <w:rPr>
          <w:rFonts w:ascii="Times New Roman" w:hAnsi="Times New Roman"/>
          <w:noProof/>
          <w:sz w:val="28"/>
          <w:szCs w:val="28"/>
          <w:lang w:eastAsia="bg-BG"/>
        </w:rPr>
        <w:drawing>
          <wp:inline distT="0" distB="0" distL="0" distR="0" wp14:anchorId="7A56C098" wp14:editId="6D277031">
            <wp:extent cx="5905500" cy="3209925"/>
            <wp:effectExtent l="0" t="0" r="19050" b="9525"/>
            <wp:docPr id="64" name="Диагра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D014B" w:rsidRPr="00EE4D0D" w:rsidRDefault="008D014B" w:rsidP="008D014B">
      <w:pPr>
        <w:spacing w:after="0" w:line="240" w:lineRule="auto"/>
        <w:ind w:firstLine="709"/>
        <w:jc w:val="both"/>
        <w:rPr>
          <w:rFonts w:ascii="Times New Roman" w:hAnsi="Times New Roman"/>
          <w:sz w:val="28"/>
          <w:szCs w:val="28"/>
        </w:rPr>
      </w:pPr>
    </w:p>
    <w:p w:rsidR="008D014B" w:rsidRPr="00EE4D0D" w:rsidRDefault="008D014B" w:rsidP="008D014B">
      <w:pPr>
        <w:spacing w:after="0" w:line="240" w:lineRule="auto"/>
        <w:ind w:firstLine="709"/>
        <w:jc w:val="both"/>
        <w:rPr>
          <w:rFonts w:ascii="Times New Roman" w:hAnsi="Times New Roman"/>
          <w:sz w:val="28"/>
          <w:szCs w:val="28"/>
        </w:rPr>
      </w:pPr>
      <w:r w:rsidRPr="00841A12">
        <w:rPr>
          <w:rFonts w:ascii="Times New Roman" w:hAnsi="Times New Roman"/>
          <w:sz w:val="28"/>
          <w:szCs w:val="28"/>
        </w:rPr>
        <w:t xml:space="preserve">Фиг. </w:t>
      </w:r>
      <w:r w:rsidR="00841A12" w:rsidRPr="00841A12">
        <w:rPr>
          <w:rFonts w:ascii="Times New Roman" w:hAnsi="Times New Roman"/>
          <w:sz w:val="28"/>
          <w:szCs w:val="28"/>
        </w:rPr>
        <w:t>39</w:t>
      </w:r>
      <w:r w:rsidRPr="00841A12">
        <w:rPr>
          <w:rFonts w:ascii="Times New Roman" w:hAnsi="Times New Roman"/>
          <w:sz w:val="28"/>
          <w:szCs w:val="28"/>
        </w:rPr>
        <w:t xml:space="preserve">. </w:t>
      </w:r>
      <w:r w:rsidRPr="00EE4D0D">
        <w:rPr>
          <w:rFonts w:ascii="Times New Roman" w:hAnsi="Times New Roman"/>
          <w:sz w:val="28"/>
          <w:szCs w:val="28"/>
        </w:rPr>
        <w:t>Относителен дял на оправданите лица с влязъл в сила съдебен акт, спрямо всички лица с влязъл в сила съдебен акт по прокуратури през последните три години.</w:t>
      </w:r>
    </w:p>
    <w:p w:rsidR="008D014B" w:rsidRPr="00EE4D0D" w:rsidRDefault="008D014B" w:rsidP="003853B6">
      <w:pPr>
        <w:spacing w:after="0" w:line="240" w:lineRule="auto"/>
        <w:jc w:val="both"/>
        <w:rPr>
          <w:rFonts w:ascii="Times New Roman" w:hAnsi="Times New Roman"/>
          <w:sz w:val="28"/>
          <w:szCs w:val="28"/>
        </w:rPr>
      </w:pPr>
    </w:p>
    <w:p w:rsidR="008D014B" w:rsidRDefault="008D014B" w:rsidP="008D014B">
      <w:pPr>
        <w:spacing w:after="0" w:line="240" w:lineRule="auto"/>
        <w:ind w:firstLine="709"/>
        <w:jc w:val="both"/>
        <w:rPr>
          <w:rFonts w:ascii="Times New Roman" w:hAnsi="Times New Roman"/>
          <w:b/>
          <w:sz w:val="28"/>
          <w:szCs w:val="28"/>
        </w:rPr>
      </w:pPr>
      <w:r w:rsidRPr="00EE4D0D">
        <w:rPr>
          <w:rFonts w:ascii="Times New Roman" w:hAnsi="Times New Roman"/>
          <w:b/>
          <w:sz w:val="28"/>
          <w:szCs w:val="28"/>
        </w:rPr>
        <w:t>Анализ на причините за постановяване на оправдателните присъди (дял на оправданите лица по дела от особен обществен интерес спрямо общо оправданите).</w:t>
      </w:r>
    </w:p>
    <w:p w:rsidR="008D014B" w:rsidRPr="00050688" w:rsidRDefault="008D014B" w:rsidP="008D014B">
      <w:pPr>
        <w:spacing w:after="0" w:line="240" w:lineRule="auto"/>
        <w:ind w:firstLine="709"/>
        <w:jc w:val="both"/>
        <w:rPr>
          <w:rFonts w:ascii="Times New Roman" w:hAnsi="Times New Roman"/>
          <w:sz w:val="28"/>
          <w:szCs w:val="28"/>
        </w:rPr>
      </w:pPr>
      <w:r w:rsidRPr="00E1272A">
        <w:rPr>
          <w:rFonts w:ascii="Times New Roman" w:hAnsi="Times New Roman"/>
          <w:sz w:val="28"/>
          <w:szCs w:val="28"/>
        </w:rPr>
        <w:t>През отчетния период</w:t>
      </w:r>
      <w:r>
        <w:rPr>
          <w:rFonts w:ascii="Times New Roman" w:hAnsi="Times New Roman"/>
          <w:sz w:val="28"/>
          <w:szCs w:val="28"/>
        </w:rPr>
        <w:t xml:space="preserve"> влезлите в сила</w:t>
      </w:r>
      <w:r w:rsidRPr="00E1272A">
        <w:rPr>
          <w:rFonts w:ascii="Times New Roman" w:hAnsi="Times New Roman"/>
          <w:sz w:val="28"/>
          <w:szCs w:val="28"/>
        </w:rPr>
        <w:t xml:space="preserve"> изцяло оправдателни</w:t>
      </w:r>
      <w:r>
        <w:rPr>
          <w:rFonts w:ascii="Times New Roman" w:hAnsi="Times New Roman"/>
          <w:sz w:val="28"/>
          <w:szCs w:val="28"/>
        </w:rPr>
        <w:t xml:space="preserve">те присъди </w:t>
      </w:r>
      <w:r w:rsidR="00911555">
        <w:rPr>
          <w:rFonts w:ascii="Times New Roman" w:hAnsi="Times New Roman"/>
          <w:sz w:val="28"/>
          <w:szCs w:val="28"/>
        </w:rPr>
        <w:t>в Разградски съдебен район са 18</w:t>
      </w:r>
      <w:r>
        <w:rPr>
          <w:rFonts w:ascii="Times New Roman" w:hAnsi="Times New Roman"/>
          <w:sz w:val="28"/>
          <w:szCs w:val="28"/>
        </w:rPr>
        <w:t xml:space="preserve"> / 2018г.  – 13; 2017г. – 15 /, или е налице </w:t>
      </w:r>
      <w:r w:rsidR="005B0031">
        <w:rPr>
          <w:rFonts w:ascii="Times New Roman" w:hAnsi="Times New Roman"/>
          <w:sz w:val="28"/>
          <w:szCs w:val="28"/>
        </w:rPr>
        <w:t>увеличение с 38,89</w:t>
      </w:r>
      <w:r>
        <w:rPr>
          <w:rFonts w:ascii="Times New Roman" w:hAnsi="Times New Roman"/>
          <w:sz w:val="28"/>
          <w:szCs w:val="28"/>
        </w:rPr>
        <w:t>% спрямо 2018</w:t>
      </w:r>
      <w:r w:rsidRPr="00E1272A">
        <w:rPr>
          <w:rFonts w:ascii="Times New Roman" w:hAnsi="Times New Roman"/>
          <w:sz w:val="28"/>
          <w:szCs w:val="28"/>
        </w:rPr>
        <w:t xml:space="preserve"> г.</w:t>
      </w:r>
      <w:r w:rsidR="005B0031">
        <w:rPr>
          <w:rFonts w:ascii="Times New Roman" w:hAnsi="Times New Roman"/>
          <w:sz w:val="28"/>
          <w:szCs w:val="28"/>
        </w:rPr>
        <w:t xml:space="preserve"> и с 1</w:t>
      </w:r>
      <w:r>
        <w:rPr>
          <w:rFonts w:ascii="Times New Roman" w:hAnsi="Times New Roman"/>
          <w:sz w:val="28"/>
          <w:szCs w:val="28"/>
        </w:rPr>
        <w:t>6,67% спрямо 2017 г.</w:t>
      </w:r>
    </w:p>
    <w:p w:rsidR="008D014B" w:rsidRPr="00EE4D0D"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На</w:t>
      </w:r>
      <w:r w:rsidR="005B0031">
        <w:rPr>
          <w:rFonts w:ascii="Times New Roman" w:hAnsi="Times New Roman"/>
          <w:sz w:val="28"/>
          <w:szCs w:val="28"/>
        </w:rPr>
        <w:t>й-много оправдателни присъди – 8</w:t>
      </w:r>
      <w:r w:rsidRPr="00EE4D0D">
        <w:rPr>
          <w:rFonts w:ascii="Times New Roman" w:hAnsi="Times New Roman"/>
          <w:sz w:val="28"/>
          <w:szCs w:val="28"/>
        </w:rPr>
        <w:t>, има Районна прокуратура-Раз</w:t>
      </w:r>
      <w:r w:rsidR="005B0031">
        <w:rPr>
          <w:rFonts w:ascii="Times New Roman" w:hAnsi="Times New Roman"/>
          <w:sz w:val="28"/>
          <w:szCs w:val="28"/>
        </w:rPr>
        <w:t xml:space="preserve">град, които представляват </w:t>
      </w:r>
      <w:r w:rsidR="00B9158F">
        <w:rPr>
          <w:rFonts w:ascii="Times New Roman" w:hAnsi="Times New Roman"/>
          <w:sz w:val="28"/>
          <w:szCs w:val="28"/>
        </w:rPr>
        <w:t>44,4</w:t>
      </w:r>
      <w:r>
        <w:rPr>
          <w:rFonts w:ascii="Times New Roman" w:hAnsi="Times New Roman"/>
          <w:sz w:val="28"/>
          <w:szCs w:val="28"/>
        </w:rPr>
        <w:t>%</w:t>
      </w:r>
      <w:r w:rsidRPr="00EE4D0D">
        <w:rPr>
          <w:rFonts w:ascii="Times New Roman" w:hAnsi="Times New Roman"/>
          <w:sz w:val="28"/>
          <w:szCs w:val="28"/>
        </w:rPr>
        <w:t xml:space="preserve"> от всички оправдателни присъди за района.</w:t>
      </w:r>
    </w:p>
    <w:p w:rsidR="008D014B" w:rsidRPr="00EE4D0D"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Районна прокуратура – Исперих има три опр</w:t>
      </w:r>
      <w:r>
        <w:rPr>
          <w:rFonts w:ascii="Times New Roman" w:hAnsi="Times New Roman"/>
          <w:sz w:val="28"/>
          <w:szCs w:val="28"/>
        </w:rPr>
        <w:t>авдателни присъди, които са 26,6</w:t>
      </w:r>
      <w:r w:rsidRPr="00EE4D0D">
        <w:rPr>
          <w:rFonts w:ascii="Times New Roman" w:hAnsi="Times New Roman"/>
          <w:sz w:val="28"/>
          <w:szCs w:val="28"/>
        </w:rPr>
        <w:t>% от всички оправдателни присъди.</w:t>
      </w:r>
    </w:p>
    <w:p w:rsidR="008D014B" w:rsidRPr="00A1734B"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sz w:val="28"/>
          <w:szCs w:val="28"/>
        </w:rPr>
        <w:t>Рай</w:t>
      </w:r>
      <w:r>
        <w:rPr>
          <w:rFonts w:ascii="Times New Roman" w:hAnsi="Times New Roman"/>
          <w:sz w:val="28"/>
          <w:szCs w:val="28"/>
        </w:rPr>
        <w:t xml:space="preserve">онна прокуратура – Кубрат има </w:t>
      </w:r>
      <w:r w:rsidR="00B9158F">
        <w:rPr>
          <w:rFonts w:ascii="Times New Roman" w:hAnsi="Times New Roman"/>
          <w:sz w:val="28"/>
          <w:szCs w:val="28"/>
        </w:rPr>
        <w:t>седем оправдателни присъди (</w:t>
      </w:r>
      <w:r w:rsidR="005870C4">
        <w:rPr>
          <w:rFonts w:ascii="Times New Roman" w:hAnsi="Times New Roman"/>
          <w:sz w:val="28"/>
          <w:szCs w:val="28"/>
        </w:rPr>
        <w:t>една изцяло оправдателна</w:t>
      </w:r>
      <w:r w:rsidR="00B9158F">
        <w:rPr>
          <w:rFonts w:ascii="Times New Roman" w:hAnsi="Times New Roman"/>
          <w:sz w:val="28"/>
          <w:szCs w:val="28"/>
        </w:rPr>
        <w:t xml:space="preserve"> и 6 частично оправдателни присъди)</w:t>
      </w:r>
      <w:r w:rsidR="005870C4">
        <w:rPr>
          <w:rFonts w:ascii="Times New Roman" w:hAnsi="Times New Roman"/>
          <w:sz w:val="28"/>
          <w:szCs w:val="28"/>
        </w:rPr>
        <w:t>, което е 38,</w:t>
      </w:r>
      <w:r>
        <w:rPr>
          <w:rFonts w:ascii="Times New Roman" w:hAnsi="Times New Roman"/>
          <w:sz w:val="28"/>
          <w:szCs w:val="28"/>
        </w:rPr>
        <w:t>9</w:t>
      </w:r>
      <w:r w:rsidRPr="00EE4D0D">
        <w:rPr>
          <w:rFonts w:ascii="Times New Roman" w:hAnsi="Times New Roman"/>
          <w:sz w:val="28"/>
          <w:szCs w:val="28"/>
        </w:rPr>
        <w:t>% от всички оправдателни присъди.</w:t>
      </w:r>
    </w:p>
    <w:p w:rsidR="008D014B" w:rsidRPr="00F83494" w:rsidRDefault="008D014B" w:rsidP="008D014B">
      <w:pPr>
        <w:spacing w:after="0" w:line="240" w:lineRule="auto"/>
        <w:ind w:firstLine="709"/>
        <w:jc w:val="both"/>
        <w:rPr>
          <w:rFonts w:ascii="Times New Roman" w:hAnsi="Times New Roman"/>
          <w:sz w:val="28"/>
          <w:szCs w:val="28"/>
        </w:rPr>
      </w:pPr>
      <w:r w:rsidRPr="00F83494">
        <w:rPr>
          <w:rFonts w:ascii="Times New Roman" w:hAnsi="Times New Roman"/>
          <w:sz w:val="28"/>
          <w:szCs w:val="28"/>
        </w:rPr>
        <w:t xml:space="preserve">Налице е </w:t>
      </w:r>
      <w:r w:rsidR="005870C4">
        <w:rPr>
          <w:rFonts w:ascii="Times New Roman" w:hAnsi="Times New Roman"/>
          <w:sz w:val="28"/>
          <w:szCs w:val="28"/>
        </w:rPr>
        <w:t>увеличение</w:t>
      </w:r>
      <w:r w:rsidRPr="00F83494">
        <w:rPr>
          <w:rFonts w:ascii="Times New Roman" w:hAnsi="Times New Roman"/>
          <w:sz w:val="28"/>
          <w:szCs w:val="28"/>
        </w:rPr>
        <w:t xml:space="preserve"> на оправдателните присъди </w:t>
      </w:r>
      <w:r w:rsidR="004E28BD">
        <w:rPr>
          <w:rFonts w:ascii="Times New Roman" w:hAnsi="Times New Roman"/>
          <w:sz w:val="28"/>
          <w:szCs w:val="28"/>
        </w:rPr>
        <w:t>в</w:t>
      </w:r>
      <w:r w:rsidRPr="00F83494">
        <w:rPr>
          <w:rFonts w:ascii="Times New Roman" w:hAnsi="Times New Roman"/>
          <w:sz w:val="28"/>
          <w:szCs w:val="28"/>
        </w:rPr>
        <w:t xml:space="preserve"> прокуратури</w:t>
      </w:r>
      <w:r w:rsidR="004E28BD">
        <w:rPr>
          <w:rFonts w:ascii="Times New Roman" w:hAnsi="Times New Roman"/>
          <w:sz w:val="28"/>
          <w:szCs w:val="28"/>
        </w:rPr>
        <w:t>те</w:t>
      </w:r>
      <w:r w:rsidRPr="00F83494">
        <w:rPr>
          <w:rFonts w:ascii="Times New Roman" w:hAnsi="Times New Roman"/>
          <w:sz w:val="28"/>
          <w:szCs w:val="28"/>
        </w:rPr>
        <w:t xml:space="preserve"> от Раз</w:t>
      </w:r>
      <w:r w:rsidR="004E28BD">
        <w:rPr>
          <w:rFonts w:ascii="Times New Roman" w:hAnsi="Times New Roman"/>
          <w:sz w:val="28"/>
          <w:szCs w:val="28"/>
        </w:rPr>
        <w:t xml:space="preserve">градски съдебен район, особено в Районна прокуратура Кубрат. </w:t>
      </w:r>
      <w:r w:rsidRPr="00F83494">
        <w:rPr>
          <w:rFonts w:ascii="Times New Roman" w:hAnsi="Times New Roman"/>
          <w:sz w:val="28"/>
          <w:szCs w:val="28"/>
        </w:rPr>
        <w:t xml:space="preserve"> </w:t>
      </w:r>
      <w:r w:rsidR="00E02F21">
        <w:rPr>
          <w:rFonts w:ascii="Times New Roman" w:hAnsi="Times New Roman"/>
          <w:sz w:val="28"/>
          <w:szCs w:val="28"/>
        </w:rPr>
        <w:t xml:space="preserve">В </w:t>
      </w:r>
      <w:r w:rsidRPr="00F83494">
        <w:rPr>
          <w:rFonts w:ascii="Times New Roman" w:hAnsi="Times New Roman"/>
          <w:sz w:val="28"/>
          <w:szCs w:val="28"/>
        </w:rPr>
        <w:t>Окръжна прокуратура</w:t>
      </w:r>
      <w:r w:rsidR="00977520">
        <w:rPr>
          <w:rFonts w:ascii="Times New Roman" w:hAnsi="Times New Roman"/>
          <w:sz w:val="28"/>
          <w:szCs w:val="28"/>
        </w:rPr>
        <w:t xml:space="preserve"> </w:t>
      </w:r>
      <w:r w:rsidRPr="00F83494">
        <w:rPr>
          <w:rFonts w:ascii="Times New Roman" w:hAnsi="Times New Roman"/>
          <w:sz w:val="28"/>
          <w:szCs w:val="28"/>
        </w:rPr>
        <w:t>-</w:t>
      </w:r>
      <w:r w:rsidR="00977520">
        <w:rPr>
          <w:rFonts w:ascii="Times New Roman" w:hAnsi="Times New Roman"/>
          <w:sz w:val="28"/>
          <w:szCs w:val="28"/>
        </w:rPr>
        <w:t xml:space="preserve"> </w:t>
      </w:r>
      <w:r w:rsidRPr="00F83494">
        <w:rPr>
          <w:rFonts w:ascii="Times New Roman" w:hAnsi="Times New Roman"/>
          <w:sz w:val="28"/>
          <w:szCs w:val="28"/>
        </w:rPr>
        <w:t>Разград</w:t>
      </w:r>
      <w:r w:rsidR="004E28BD">
        <w:rPr>
          <w:rFonts w:ascii="Times New Roman" w:hAnsi="Times New Roman"/>
          <w:sz w:val="28"/>
          <w:szCs w:val="28"/>
        </w:rPr>
        <w:t xml:space="preserve"> е налице</w:t>
      </w:r>
      <w:r w:rsidR="00E02F21">
        <w:rPr>
          <w:rFonts w:ascii="Times New Roman" w:hAnsi="Times New Roman"/>
          <w:sz w:val="28"/>
          <w:szCs w:val="28"/>
        </w:rPr>
        <w:t xml:space="preserve"> тенденция на намаление на оправдателните присъди</w:t>
      </w:r>
      <w:r w:rsidRPr="00F83494">
        <w:rPr>
          <w:rFonts w:ascii="Times New Roman" w:hAnsi="Times New Roman"/>
          <w:sz w:val="28"/>
          <w:szCs w:val="28"/>
        </w:rPr>
        <w:t>, където това е особено видно, както в абсолютен брой, така и в относителен дял.</w:t>
      </w:r>
    </w:p>
    <w:p w:rsidR="008D014B" w:rsidRDefault="008D014B" w:rsidP="008D014B">
      <w:pPr>
        <w:spacing w:after="0" w:line="240" w:lineRule="auto"/>
        <w:ind w:firstLine="709"/>
        <w:jc w:val="both"/>
        <w:rPr>
          <w:rFonts w:ascii="Times New Roman" w:hAnsi="Times New Roman"/>
          <w:sz w:val="28"/>
          <w:szCs w:val="28"/>
        </w:rPr>
      </w:pPr>
    </w:p>
    <w:p w:rsidR="008D014B" w:rsidRDefault="008D014B" w:rsidP="008D014B">
      <w:pPr>
        <w:spacing w:after="0" w:line="240" w:lineRule="auto"/>
        <w:jc w:val="both"/>
        <w:rPr>
          <w:rFonts w:ascii="Times New Roman" w:hAnsi="Times New Roman"/>
          <w:sz w:val="28"/>
          <w:szCs w:val="28"/>
        </w:rPr>
      </w:pPr>
    </w:p>
    <w:p w:rsidR="00911555" w:rsidRDefault="00911555" w:rsidP="008D014B">
      <w:pPr>
        <w:spacing w:after="0" w:line="240" w:lineRule="auto"/>
        <w:jc w:val="both"/>
        <w:rPr>
          <w:rFonts w:ascii="Times New Roman" w:hAnsi="Times New Roman"/>
          <w:sz w:val="28"/>
          <w:szCs w:val="28"/>
        </w:rPr>
      </w:pPr>
    </w:p>
    <w:p w:rsidR="008D014B" w:rsidRPr="00E924EE" w:rsidRDefault="008D014B" w:rsidP="008D014B">
      <w:pPr>
        <w:spacing w:after="0" w:line="240" w:lineRule="auto"/>
        <w:ind w:firstLine="709"/>
        <w:jc w:val="both"/>
        <w:rPr>
          <w:rFonts w:ascii="Times New Roman" w:hAnsi="Times New Roman"/>
          <w:b/>
          <w:sz w:val="28"/>
          <w:szCs w:val="28"/>
          <w:u w:val="single"/>
        </w:rPr>
      </w:pPr>
      <w:r w:rsidRPr="00B3120A">
        <w:rPr>
          <w:rFonts w:ascii="Times New Roman" w:hAnsi="Times New Roman"/>
          <w:b/>
          <w:sz w:val="28"/>
          <w:szCs w:val="28"/>
          <w:u w:val="single"/>
        </w:rPr>
        <w:lastRenderedPageBreak/>
        <w:t>КРИТЕРИИ:</w:t>
      </w:r>
    </w:p>
    <w:p w:rsidR="008D014B" w:rsidRPr="00EE4D0D" w:rsidRDefault="008D014B" w:rsidP="008D014B">
      <w:pPr>
        <w:spacing w:after="0" w:line="240" w:lineRule="auto"/>
        <w:ind w:firstLine="709"/>
        <w:jc w:val="both"/>
        <w:rPr>
          <w:rFonts w:ascii="Times New Roman" w:hAnsi="Times New Roman"/>
          <w:b/>
          <w:sz w:val="28"/>
          <w:szCs w:val="28"/>
          <w:u w:val="single"/>
        </w:rPr>
      </w:pPr>
    </w:p>
    <w:p w:rsidR="008D014B" w:rsidRPr="00D023D9" w:rsidRDefault="008D014B" w:rsidP="008D014B">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8A0E0C">
        <w:rPr>
          <w:rFonts w:ascii="Times New Roman" w:hAnsi="Times New Roman"/>
          <w:sz w:val="28"/>
          <w:szCs w:val="28"/>
        </w:rPr>
        <w:t xml:space="preserve">Оправдателната присъда се дължи в голяма степен на неправилна квалификация на деянието с обвинителния акт </w:t>
      </w:r>
      <w:r w:rsidR="007F0267">
        <w:rPr>
          <w:rFonts w:ascii="Times New Roman" w:hAnsi="Times New Roman"/>
          <w:sz w:val="28"/>
          <w:szCs w:val="28"/>
        </w:rPr>
        <w:t>– 12</w:t>
      </w:r>
      <w:r w:rsidRPr="00FC4B3E">
        <w:rPr>
          <w:rFonts w:ascii="Times New Roman" w:hAnsi="Times New Roman"/>
          <w:b/>
          <w:sz w:val="28"/>
          <w:szCs w:val="28"/>
        </w:rPr>
        <w:t xml:space="preserve"> оправдателни присъди</w:t>
      </w:r>
      <w:r w:rsidR="008F7A78">
        <w:rPr>
          <w:rFonts w:ascii="Times New Roman" w:hAnsi="Times New Roman"/>
          <w:b/>
          <w:sz w:val="28"/>
          <w:szCs w:val="28"/>
        </w:rPr>
        <w:t xml:space="preserve"> </w:t>
      </w:r>
      <w:r>
        <w:rPr>
          <w:rFonts w:ascii="Times New Roman" w:hAnsi="Times New Roman"/>
          <w:sz w:val="28"/>
          <w:szCs w:val="28"/>
        </w:rPr>
        <w:t>(</w:t>
      </w:r>
      <w:r w:rsidRPr="00D023D9">
        <w:rPr>
          <w:rFonts w:ascii="Times New Roman" w:hAnsi="Times New Roman"/>
          <w:sz w:val="28"/>
          <w:szCs w:val="28"/>
        </w:rPr>
        <w:t>Районна прокуратура Разград</w:t>
      </w:r>
      <w:r>
        <w:rPr>
          <w:rFonts w:ascii="Times New Roman" w:hAnsi="Times New Roman"/>
          <w:sz w:val="28"/>
          <w:szCs w:val="28"/>
        </w:rPr>
        <w:t xml:space="preserve"> – 4</w:t>
      </w:r>
      <w:r w:rsidRPr="00D023D9">
        <w:rPr>
          <w:rFonts w:ascii="Times New Roman" w:hAnsi="Times New Roman"/>
          <w:sz w:val="28"/>
          <w:szCs w:val="28"/>
        </w:rPr>
        <w:t>, Районна прокуратура Исперих</w:t>
      </w:r>
      <w:r>
        <w:rPr>
          <w:rFonts w:ascii="Times New Roman" w:hAnsi="Times New Roman"/>
          <w:sz w:val="28"/>
          <w:szCs w:val="28"/>
        </w:rPr>
        <w:t xml:space="preserve"> – 1</w:t>
      </w:r>
      <w:r w:rsidRPr="00D023D9">
        <w:rPr>
          <w:rFonts w:ascii="Times New Roman" w:hAnsi="Times New Roman"/>
          <w:sz w:val="28"/>
          <w:szCs w:val="28"/>
        </w:rPr>
        <w:t xml:space="preserve"> и Районна прокуратура – Кубрат</w:t>
      </w:r>
      <w:r w:rsidR="007F0267">
        <w:rPr>
          <w:rFonts w:ascii="Times New Roman" w:hAnsi="Times New Roman"/>
          <w:sz w:val="28"/>
          <w:szCs w:val="28"/>
        </w:rPr>
        <w:t xml:space="preserve"> – 7</w:t>
      </w:r>
      <w:r>
        <w:rPr>
          <w:rFonts w:ascii="Times New Roman" w:hAnsi="Times New Roman"/>
          <w:sz w:val="28"/>
          <w:szCs w:val="28"/>
        </w:rPr>
        <w:t>)</w:t>
      </w:r>
      <w:r w:rsidRPr="00D023D9">
        <w:rPr>
          <w:rFonts w:ascii="Times New Roman" w:hAnsi="Times New Roman"/>
          <w:sz w:val="28"/>
          <w:szCs w:val="28"/>
        </w:rPr>
        <w:t>.</w:t>
      </w:r>
    </w:p>
    <w:p w:rsidR="008D014B" w:rsidRPr="00EE4D0D"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b/>
          <w:sz w:val="28"/>
          <w:szCs w:val="28"/>
        </w:rPr>
        <w:t>2.</w:t>
      </w:r>
      <w:r w:rsidRPr="00EE4D0D">
        <w:rPr>
          <w:rFonts w:ascii="Times New Roman" w:hAnsi="Times New Roman"/>
          <w:sz w:val="28"/>
          <w:szCs w:val="28"/>
        </w:rPr>
        <w:t xml:space="preserve"> Оправдателната присъда се дължи в голяма степен на пропуски, грешки или пасивност при събиране на доказателствата в хода на досъдебното производство – </w:t>
      </w:r>
      <w:r>
        <w:rPr>
          <w:rFonts w:ascii="Times New Roman" w:hAnsi="Times New Roman"/>
          <w:b/>
          <w:sz w:val="28"/>
          <w:szCs w:val="28"/>
        </w:rPr>
        <w:t>3 оправдателни присъди</w:t>
      </w:r>
      <w:r>
        <w:rPr>
          <w:rFonts w:ascii="Times New Roman" w:hAnsi="Times New Roman"/>
          <w:sz w:val="28"/>
          <w:szCs w:val="28"/>
        </w:rPr>
        <w:t>( Районна прокуратура Разград – 2</w:t>
      </w:r>
      <w:r w:rsidRPr="001134A0">
        <w:rPr>
          <w:rFonts w:ascii="Times New Roman" w:hAnsi="Times New Roman"/>
          <w:sz w:val="28"/>
          <w:szCs w:val="28"/>
        </w:rPr>
        <w:t xml:space="preserve">; </w:t>
      </w:r>
      <w:r>
        <w:rPr>
          <w:rFonts w:ascii="Times New Roman" w:hAnsi="Times New Roman"/>
          <w:sz w:val="28"/>
          <w:szCs w:val="28"/>
        </w:rPr>
        <w:t>Районна прокуратура Исперих – 1)</w:t>
      </w:r>
      <w:r w:rsidRPr="001134A0">
        <w:rPr>
          <w:rFonts w:ascii="Times New Roman" w:hAnsi="Times New Roman"/>
          <w:sz w:val="28"/>
          <w:szCs w:val="28"/>
        </w:rPr>
        <w:t>.</w:t>
      </w:r>
    </w:p>
    <w:p w:rsidR="008D014B" w:rsidRPr="00723B4C"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b/>
          <w:sz w:val="28"/>
          <w:szCs w:val="28"/>
        </w:rPr>
        <w:t>3.</w:t>
      </w:r>
      <w:r w:rsidRPr="00EE4D0D">
        <w:rPr>
          <w:rFonts w:ascii="Times New Roman" w:hAnsi="Times New Roman"/>
          <w:sz w:val="28"/>
          <w:szCs w:val="28"/>
        </w:rPr>
        <w:t xml:space="preserve"> Оправдателната присъда се дължи в голяма степен на пропуски и процесуална пасивност на прокурора в съдебната фаза или на неподаване на съответен протест – </w:t>
      </w:r>
      <w:r>
        <w:rPr>
          <w:rFonts w:ascii="Times New Roman" w:hAnsi="Times New Roman"/>
          <w:b/>
          <w:sz w:val="28"/>
          <w:szCs w:val="28"/>
        </w:rPr>
        <w:t xml:space="preserve">1 оправдателна присъда </w:t>
      </w:r>
      <w:r w:rsidRPr="00723B4C">
        <w:rPr>
          <w:rFonts w:ascii="Times New Roman" w:hAnsi="Times New Roman"/>
          <w:sz w:val="28"/>
          <w:szCs w:val="28"/>
        </w:rPr>
        <w:t>/</w:t>
      </w:r>
      <w:r>
        <w:rPr>
          <w:rFonts w:ascii="Times New Roman" w:hAnsi="Times New Roman"/>
          <w:sz w:val="28"/>
          <w:szCs w:val="28"/>
        </w:rPr>
        <w:t>(Районна прокуратура Исперих – 1)</w:t>
      </w:r>
      <w:r w:rsidRPr="00723B4C">
        <w:rPr>
          <w:rFonts w:ascii="Times New Roman" w:hAnsi="Times New Roman"/>
          <w:sz w:val="28"/>
          <w:szCs w:val="28"/>
        </w:rPr>
        <w:t>.</w:t>
      </w:r>
    </w:p>
    <w:p w:rsidR="008D014B" w:rsidRPr="00EE4D0D" w:rsidRDefault="008D014B" w:rsidP="008D014B">
      <w:pPr>
        <w:spacing w:after="0" w:line="240" w:lineRule="auto"/>
        <w:ind w:firstLine="709"/>
        <w:jc w:val="both"/>
        <w:rPr>
          <w:rFonts w:ascii="Times New Roman" w:hAnsi="Times New Roman"/>
          <w:sz w:val="28"/>
          <w:szCs w:val="28"/>
        </w:rPr>
      </w:pPr>
      <w:r w:rsidRPr="00EE4D0D">
        <w:rPr>
          <w:rFonts w:ascii="Times New Roman" w:hAnsi="Times New Roman"/>
          <w:b/>
          <w:sz w:val="28"/>
          <w:szCs w:val="28"/>
        </w:rPr>
        <w:t>4.</w:t>
      </w:r>
      <w:r w:rsidRPr="00EE4D0D">
        <w:rPr>
          <w:rFonts w:ascii="Times New Roman" w:hAnsi="Times New Roman"/>
          <w:sz w:val="28"/>
          <w:szCs w:val="28"/>
        </w:rPr>
        <w:t xml:space="preserve"> Оправдателната присъда се дължи на събирането на нови доказателства в съдебната фаза, които не са могли да бъдат установени на досъдебното производство – </w:t>
      </w:r>
      <w:r>
        <w:rPr>
          <w:rFonts w:ascii="Times New Roman" w:hAnsi="Times New Roman"/>
          <w:b/>
          <w:sz w:val="28"/>
          <w:szCs w:val="28"/>
        </w:rPr>
        <w:t>няма</w:t>
      </w:r>
      <w:r w:rsidRPr="00EE4D0D">
        <w:rPr>
          <w:rFonts w:ascii="Times New Roman" w:hAnsi="Times New Roman"/>
          <w:b/>
          <w:sz w:val="28"/>
          <w:szCs w:val="28"/>
        </w:rPr>
        <w:t>.</w:t>
      </w:r>
    </w:p>
    <w:p w:rsidR="008D014B" w:rsidRPr="00FC4B3E" w:rsidRDefault="008D014B" w:rsidP="008D014B">
      <w:pPr>
        <w:spacing w:after="0" w:line="240" w:lineRule="auto"/>
        <w:ind w:right="-22" w:firstLine="709"/>
        <w:jc w:val="both"/>
        <w:rPr>
          <w:rFonts w:ascii="Times New Roman" w:hAnsi="Times New Roman"/>
          <w:sz w:val="28"/>
          <w:szCs w:val="28"/>
        </w:rPr>
      </w:pPr>
      <w:r w:rsidRPr="00EE4D0D">
        <w:rPr>
          <w:rFonts w:ascii="Times New Roman" w:hAnsi="Times New Roman"/>
          <w:b/>
          <w:sz w:val="28"/>
          <w:szCs w:val="28"/>
        </w:rPr>
        <w:t xml:space="preserve">5. </w:t>
      </w:r>
      <w:r w:rsidRPr="00EE4D0D">
        <w:rPr>
          <w:rFonts w:ascii="Times New Roman" w:hAnsi="Times New Roman"/>
          <w:sz w:val="28"/>
          <w:szCs w:val="28"/>
        </w:rPr>
        <w:t xml:space="preserve">Оправдателната присъда се дължи на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поддържал </w:t>
      </w:r>
      <w:r w:rsidR="004B71CB">
        <w:rPr>
          <w:rFonts w:ascii="Times New Roman" w:hAnsi="Times New Roman"/>
          <w:sz w:val="28"/>
          <w:szCs w:val="28"/>
        </w:rPr>
        <w:t xml:space="preserve">обвинението – </w:t>
      </w:r>
      <w:r w:rsidR="004B71CB" w:rsidRPr="004B71CB">
        <w:rPr>
          <w:rFonts w:ascii="Times New Roman" w:hAnsi="Times New Roman"/>
          <w:b/>
          <w:sz w:val="28"/>
          <w:szCs w:val="28"/>
        </w:rPr>
        <w:t>1</w:t>
      </w:r>
      <w:r w:rsidR="004B71CB">
        <w:rPr>
          <w:rFonts w:ascii="Times New Roman" w:hAnsi="Times New Roman"/>
          <w:sz w:val="28"/>
          <w:szCs w:val="28"/>
        </w:rPr>
        <w:t xml:space="preserve"> </w:t>
      </w:r>
      <w:r w:rsidRPr="00FC4B3E">
        <w:rPr>
          <w:rFonts w:ascii="Times New Roman" w:hAnsi="Times New Roman"/>
          <w:b/>
          <w:sz w:val="28"/>
          <w:szCs w:val="28"/>
        </w:rPr>
        <w:t>оправдателна присъда</w:t>
      </w:r>
      <w:r w:rsidRPr="00FC4B3E">
        <w:rPr>
          <w:rFonts w:ascii="Times New Roman" w:hAnsi="Times New Roman"/>
          <w:sz w:val="28"/>
          <w:szCs w:val="28"/>
        </w:rPr>
        <w:t xml:space="preserve"> </w:t>
      </w:r>
      <w:r w:rsidR="004B71CB">
        <w:rPr>
          <w:rFonts w:ascii="Times New Roman" w:hAnsi="Times New Roman"/>
          <w:sz w:val="28"/>
          <w:szCs w:val="28"/>
        </w:rPr>
        <w:t>срещу 2 лица.</w:t>
      </w:r>
    </w:p>
    <w:p w:rsidR="008D014B" w:rsidRPr="00EE4D0D" w:rsidRDefault="008D014B" w:rsidP="008D014B">
      <w:pPr>
        <w:spacing w:after="0" w:line="240" w:lineRule="auto"/>
        <w:ind w:right="-22" w:firstLine="709"/>
        <w:jc w:val="both"/>
        <w:rPr>
          <w:rFonts w:ascii="Times New Roman" w:hAnsi="Times New Roman"/>
          <w:sz w:val="28"/>
          <w:szCs w:val="28"/>
        </w:rPr>
      </w:pPr>
    </w:p>
    <w:p w:rsidR="008D014B" w:rsidRDefault="008D014B" w:rsidP="008D014B">
      <w:pPr>
        <w:spacing w:after="0" w:line="240" w:lineRule="auto"/>
        <w:ind w:right="-22" w:firstLine="709"/>
        <w:jc w:val="both"/>
        <w:rPr>
          <w:rFonts w:ascii="Times New Roman" w:hAnsi="Times New Roman"/>
          <w:sz w:val="28"/>
          <w:szCs w:val="28"/>
        </w:rPr>
      </w:pPr>
      <w:r w:rsidRPr="00EE4D0D">
        <w:rPr>
          <w:rFonts w:ascii="Times New Roman" w:hAnsi="Times New Roman"/>
          <w:sz w:val="28"/>
          <w:szCs w:val="28"/>
        </w:rPr>
        <w:t>Предвид гореизложеното може да се направи извод, че преимуществено о</w:t>
      </w:r>
      <w:r w:rsidRPr="00A1734B">
        <w:rPr>
          <w:rFonts w:ascii="Times New Roman" w:hAnsi="Times New Roman"/>
          <w:sz w:val="28"/>
          <w:szCs w:val="28"/>
        </w:rPr>
        <w:t>правдателн</w:t>
      </w:r>
      <w:r w:rsidRPr="00EE4D0D">
        <w:rPr>
          <w:rFonts w:ascii="Times New Roman" w:hAnsi="Times New Roman"/>
          <w:sz w:val="28"/>
          <w:szCs w:val="28"/>
        </w:rPr>
        <w:t>ите присъди</w:t>
      </w:r>
      <w:r w:rsidR="00766ADB">
        <w:rPr>
          <w:rFonts w:ascii="Times New Roman" w:hAnsi="Times New Roman"/>
          <w:sz w:val="28"/>
          <w:szCs w:val="28"/>
        </w:rPr>
        <w:t xml:space="preserve"> </w:t>
      </w:r>
      <w:r w:rsidRPr="00A1734B">
        <w:rPr>
          <w:rFonts w:ascii="Times New Roman" w:hAnsi="Times New Roman"/>
          <w:sz w:val="28"/>
          <w:szCs w:val="28"/>
        </w:rPr>
        <w:t>се</w:t>
      </w:r>
      <w:r w:rsidR="00766ADB">
        <w:rPr>
          <w:rFonts w:ascii="Times New Roman" w:hAnsi="Times New Roman"/>
          <w:sz w:val="28"/>
          <w:szCs w:val="28"/>
        </w:rPr>
        <w:t xml:space="preserve"> </w:t>
      </w:r>
      <w:r w:rsidRPr="00A1734B">
        <w:rPr>
          <w:rFonts w:ascii="Times New Roman" w:hAnsi="Times New Roman"/>
          <w:sz w:val="28"/>
          <w:szCs w:val="28"/>
        </w:rPr>
        <w:t>дълж</w:t>
      </w:r>
      <w:r w:rsidRPr="00EE4D0D">
        <w:rPr>
          <w:rFonts w:ascii="Times New Roman" w:hAnsi="Times New Roman"/>
          <w:sz w:val="28"/>
          <w:szCs w:val="28"/>
        </w:rPr>
        <w:t>ат</w:t>
      </w:r>
      <w:r w:rsidR="00766ADB">
        <w:rPr>
          <w:rFonts w:ascii="Times New Roman" w:hAnsi="Times New Roman"/>
          <w:sz w:val="28"/>
          <w:szCs w:val="28"/>
        </w:rPr>
        <w:t xml:space="preserve"> </w:t>
      </w:r>
      <w:r w:rsidRPr="00A1734B">
        <w:rPr>
          <w:rFonts w:ascii="Times New Roman" w:hAnsi="Times New Roman"/>
          <w:sz w:val="28"/>
          <w:szCs w:val="28"/>
        </w:rPr>
        <w:t>на</w:t>
      </w:r>
      <w:r w:rsidR="00766ADB">
        <w:rPr>
          <w:rFonts w:ascii="Times New Roman" w:hAnsi="Times New Roman"/>
          <w:sz w:val="28"/>
          <w:szCs w:val="28"/>
        </w:rPr>
        <w:t xml:space="preserve"> </w:t>
      </w:r>
      <w:r w:rsidRPr="00A1734B">
        <w:rPr>
          <w:rFonts w:ascii="Times New Roman" w:hAnsi="Times New Roman"/>
          <w:sz w:val="28"/>
          <w:szCs w:val="28"/>
        </w:rPr>
        <w:t>неправилна</w:t>
      </w:r>
      <w:r w:rsidR="00766ADB">
        <w:rPr>
          <w:rFonts w:ascii="Times New Roman" w:hAnsi="Times New Roman"/>
          <w:sz w:val="28"/>
          <w:szCs w:val="28"/>
        </w:rPr>
        <w:t xml:space="preserve"> </w:t>
      </w:r>
      <w:r w:rsidRPr="00A1734B">
        <w:rPr>
          <w:rFonts w:ascii="Times New Roman" w:hAnsi="Times New Roman"/>
          <w:sz w:val="28"/>
          <w:szCs w:val="28"/>
        </w:rPr>
        <w:t>квалификация</w:t>
      </w:r>
      <w:r w:rsidR="00766ADB">
        <w:rPr>
          <w:rFonts w:ascii="Times New Roman" w:hAnsi="Times New Roman"/>
          <w:sz w:val="28"/>
          <w:szCs w:val="28"/>
        </w:rPr>
        <w:t xml:space="preserve"> </w:t>
      </w:r>
      <w:r w:rsidRPr="00A1734B">
        <w:rPr>
          <w:rFonts w:ascii="Times New Roman" w:hAnsi="Times New Roman"/>
          <w:sz w:val="28"/>
          <w:szCs w:val="28"/>
        </w:rPr>
        <w:t>на</w:t>
      </w:r>
      <w:r w:rsidR="00766ADB">
        <w:rPr>
          <w:rFonts w:ascii="Times New Roman" w:hAnsi="Times New Roman"/>
          <w:sz w:val="28"/>
          <w:szCs w:val="28"/>
        </w:rPr>
        <w:t xml:space="preserve"> </w:t>
      </w:r>
      <w:r w:rsidRPr="00A1734B">
        <w:rPr>
          <w:rFonts w:ascii="Times New Roman" w:hAnsi="Times New Roman"/>
          <w:sz w:val="28"/>
          <w:szCs w:val="28"/>
        </w:rPr>
        <w:t xml:space="preserve">деянието с </w:t>
      </w:r>
      <w:proofErr w:type="spellStart"/>
      <w:r w:rsidRPr="00A1734B">
        <w:rPr>
          <w:rFonts w:ascii="Times New Roman" w:hAnsi="Times New Roman"/>
          <w:sz w:val="28"/>
          <w:szCs w:val="28"/>
        </w:rPr>
        <w:t>обвинителнияакт</w:t>
      </w:r>
      <w:proofErr w:type="spellEnd"/>
      <w:r>
        <w:rPr>
          <w:rFonts w:ascii="Times New Roman" w:hAnsi="Times New Roman"/>
          <w:sz w:val="28"/>
          <w:szCs w:val="28"/>
        </w:rPr>
        <w:t xml:space="preserve">, както </w:t>
      </w:r>
      <w:proofErr w:type="spellStart"/>
      <w:r>
        <w:rPr>
          <w:rFonts w:ascii="Times New Roman" w:hAnsi="Times New Roman"/>
          <w:sz w:val="28"/>
          <w:szCs w:val="28"/>
        </w:rPr>
        <w:t>и</w:t>
      </w:r>
      <w:r w:rsidRPr="008132C7">
        <w:rPr>
          <w:rFonts w:ascii="Times New Roman" w:hAnsi="Times New Roman"/>
          <w:sz w:val="28"/>
          <w:szCs w:val="28"/>
        </w:rPr>
        <w:t>на</w:t>
      </w:r>
      <w:proofErr w:type="spellEnd"/>
      <w:r w:rsidRPr="008132C7">
        <w:rPr>
          <w:rFonts w:ascii="Times New Roman" w:hAnsi="Times New Roman"/>
          <w:sz w:val="28"/>
          <w:szCs w:val="28"/>
        </w:rPr>
        <w:t xml:space="preserve"> пропуски, грешки или пасивност при събиране на доказателствата в хода на досъдебното производство</w:t>
      </w:r>
      <w:r>
        <w:rPr>
          <w:rFonts w:ascii="Times New Roman" w:hAnsi="Times New Roman"/>
          <w:sz w:val="28"/>
          <w:szCs w:val="28"/>
        </w:rPr>
        <w:t>. По-рядко е налице</w:t>
      </w:r>
      <w:r w:rsidR="00766ADB">
        <w:rPr>
          <w:rFonts w:ascii="Times New Roman" w:hAnsi="Times New Roman"/>
          <w:sz w:val="28"/>
          <w:szCs w:val="28"/>
        </w:rPr>
        <w:t xml:space="preserve"> </w:t>
      </w:r>
      <w:r w:rsidRPr="00A1734B">
        <w:rPr>
          <w:rFonts w:ascii="Times New Roman" w:hAnsi="Times New Roman"/>
          <w:sz w:val="28"/>
          <w:szCs w:val="28"/>
        </w:rPr>
        <w:t>противоречива</w:t>
      </w:r>
      <w:r w:rsidR="00766ADB">
        <w:rPr>
          <w:rFonts w:ascii="Times New Roman" w:hAnsi="Times New Roman"/>
          <w:sz w:val="28"/>
          <w:szCs w:val="28"/>
        </w:rPr>
        <w:t xml:space="preserve"> </w:t>
      </w:r>
      <w:r w:rsidRPr="00A1734B">
        <w:rPr>
          <w:rFonts w:ascii="Times New Roman" w:hAnsi="Times New Roman"/>
          <w:sz w:val="28"/>
          <w:szCs w:val="28"/>
        </w:rPr>
        <w:t>съдебна</w:t>
      </w:r>
      <w:r w:rsidR="00766ADB">
        <w:rPr>
          <w:rFonts w:ascii="Times New Roman" w:hAnsi="Times New Roman"/>
          <w:sz w:val="28"/>
          <w:szCs w:val="28"/>
        </w:rPr>
        <w:t xml:space="preserve"> </w:t>
      </w:r>
      <w:r w:rsidRPr="00A1734B">
        <w:rPr>
          <w:rFonts w:ascii="Times New Roman" w:hAnsi="Times New Roman"/>
          <w:sz w:val="28"/>
          <w:szCs w:val="28"/>
        </w:rPr>
        <w:t>практика,</w:t>
      </w:r>
      <w:r w:rsidR="00766ADB">
        <w:rPr>
          <w:rFonts w:ascii="Times New Roman" w:hAnsi="Times New Roman"/>
          <w:sz w:val="28"/>
          <w:szCs w:val="28"/>
        </w:rPr>
        <w:t xml:space="preserve"> </w:t>
      </w:r>
      <w:r w:rsidRPr="00A1734B">
        <w:rPr>
          <w:rFonts w:ascii="Times New Roman" w:hAnsi="Times New Roman"/>
          <w:sz w:val="28"/>
          <w:szCs w:val="28"/>
        </w:rPr>
        <w:t>промяна</w:t>
      </w:r>
      <w:r w:rsidR="00766ADB">
        <w:rPr>
          <w:rFonts w:ascii="Times New Roman" w:hAnsi="Times New Roman"/>
          <w:sz w:val="28"/>
          <w:szCs w:val="28"/>
        </w:rPr>
        <w:t xml:space="preserve"> </w:t>
      </w:r>
      <w:r w:rsidRPr="00A1734B">
        <w:rPr>
          <w:rFonts w:ascii="Times New Roman" w:hAnsi="Times New Roman"/>
          <w:sz w:val="28"/>
          <w:szCs w:val="28"/>
        </w:rPr>
        <w:t>на</w:t>
      </w:r>
      <w:r w:rsidR="00766ADB">
        <w:rPr>
          <w:rFonts w:ascii="Times New Roman" w:hAnsi="Times New Roman"/>
          <w:sz w:val="28"/>
          <w:szCs w:val="28"/>
        </w:rPr>
        <w:t xml:space="preserve"> </w:t>
      </w:r>
      <w:r w:rsidRPr="00A1734B">
        <w:rPr>
          <w:rFonts w:ascii="Times New Roman" w:hAnsi="Times New Roman"/>
          <w:sz w:val="28"/>
          <w:szCs w:val="28"/>
        </w:rPr>
        <w:t>доминиращата</w:t>
      </w:r>
      <w:r w:rsidR="00766ADB">
        <w:rPr>
          <w:rFonts w:ascii="Times New Roman" w:hAnsi="Times New Roman"/>
          <w:sz w:val="28"/>
          <w:szCs w:val="28"/>
        </w:rPr>
        <w:t xml:space="preserve"> </w:t>
      </w:r>
      <w:r w:rsidRPr="00A1734B">
        <w:rPr>
          <w:rFonts w:ascii="Times New Roman" w:hAnsi="Times New Roman"/>
          <w:sz w:val="28"/>
          <w:szCs w:val="28"/>
        </w:rPr>
        <w:t>практика</w:t>
      </w:r>
      <w:r w:rsidR="00766ADB">
        <w:rPr>
          <w:rFonts w:ascii="Times New Roman" w:hAnsi="Times New Roman"/>
          <w:sz w:val="28"/>
          <w:szCs w:val="28"/>
        </w:rPr>
        <w:t xml:space="preserve"> </w:t>
      </w:r>
      <w:r w:rsidRPr="00A1734B">
        <w:rPr>
          <w:rFonts w:ascii="Times New Roman" w:hAnsi="Times New Roman"/>
          <w:sz w:val="28"/>
          <w:szCs w:val="28"/>
        </w:rPr>
        <w:t>или</w:t>
      </w:r>
      <w:r w:rsidR="00766ADB">
        <w:rPr>
          <w:rFonts w:ascii="Times New Roman" w:hAnsi="Times New Roman"/>
          <w:sz w:val="28"/>
          <w:szCs w:val="28"/>
        </w:rPr>
        <w:t xml:space="preserve"> </w:t>
      </w:r>
      <w:r w:rsidRPr="00A1734B">
        <w:rPr>
          <w:rFonts w:ascii="Times New Roman" w:hAnsi="Times New Roman"/>
          <w:sz w:val="28"/>
          <w:szCs w:val="28"/>
        </w:rPr>
        <w:t>други</w:t>
      </w:r>
      <w:r w:rsidR="00766ADB">
        <w:rPr>
          <w:rFonts w:ascii="Times New Roman" w:hAnsi="Times New Roman"/>
          <w:sz w:val="28"/>
          <w:szCs w:val="28"/>
        </w:rPr>
        <w:t xml:space="preserve"> </w:t>
      </w:r>
      <w:r w:rsidRPr="00A1734B">
        <w:rPr>
          <w:rFonts w:ascii="Times New Roman" w:hAnsi="Times New Roman"/>
          <w:sz w:val="28"/>
          <w:szCs w:val="28"/>
        </w:rPr>
        <w:t>обстоятелства, свързани с тълкуването</w:t>
      </w:r>
      <w:r w:rsidR="00766ADB">
        <w:rPr>
          <w:rFonts w:ascii="Times New Roman" w:hAnsi="Times New Roman"/>
          <w:sz w:val="28"/>
          <w:szCs w:val="28"/>
        </w:rPr>
        <w:t xml:space="preserve"> </w:t>
      </w:r>
      <w:r w:rsidRPr="00A1734B">
        <w:rPr>
          <w:rFonts w:ascii="Times New Roman" w:hAnsi="Times New Roman"/>
          <w:sz w:val="28"/>
          <w:szCs w:val="28"/>
        </w:rPr>
        <w:t>на</w:t>
      </w:r>
      <w:r w:rsidR="00766ADB">
        <w:rPr>
          <w:rFonts w:ascii="Times New Roman" w:hAnsi="Times New Roman"/>
          <w:sz w:val="28"/>
          <w:szCs w:val="28"/>
        </w:rPr>
        <w:t xml:space="preserve"> </w:t>
      </w:r>
      <w:r w:rsidRPr="00A1734B">
        <w:rPr>
          <w:rFonts w:ascii="Times New Roman" w:hAnsi="Times New Roman"/>
          <w:sz w:val="28"/>
          <w:szCs w:val="28"/>
        </w:rPr>
        <w:t>закона, които</w:t>
      </w:r>
      <w:r w:rsidR="00766ADB">
        <w:rPr>
          <w:rFonts w:ascii="Times New Roman" w:hAnsi="Times New Roman"/>
          <w:sz w:val="28"/>
          <w:szCs w:val="28"/>
        </w:rPr>
        <w:t xml:space="preserve"> </w:t>
      </w:r>
      <w:r w:rsidRPr="00A1734B">
        <w:rPr>
          <w:rFonts w:ascii="Times New Roman" w:hAnsi="Times New Roman"/>
          <w:sz w:val="28"/>
          <w:szCs w:val="28"/>
        </w:rPr>
        <w:t>некомпрометират</w:t>
      </w:r>
      <w:r w:rsidR="00766ADB">
        <w:rPr>
          <w:rFonts w:ascii="Times New Roman" w:hAnsi="Times New Roman"/>
          <w:sz w:val="28"/>
          <w:szCs w:val="28"/>
        </w:rPr>
        <w:t xml:space="preserve"> </w:t>
      </w:r>
      <w:r w:rsidRPr="00A1734B">
        <w:rPr>
          <w:rFonts w:ascii="Times New Roman" w:hAnsi="Times New Roman"/>
          <w:sz w:val="28"/>
          <w:szCs w:val="28"/>
        </w:rPr>
        <w:t>тезата</w:t>
      </w:r>
      <w:r w:rsidR="00766ADB">
        <w:rPr>
          <w:rFonts w:ascii="Times New Roman" w:hAnsi="Times New Roman"/>
          <w:sz w:val="28"/>
          <w:szCs w:val="28"/>
        </w:rPr>
        <w:t xml:space="preserve"> </w:t>
      </w:r>
      <w:r w:rsidRPr="00A1734B">
        <w:rPr>
          <w:rFonts w:ascii="Times New Roman" w:hAnsi="Times New Roman"/>
          <w:sz w:val="28"/>
          <w:szCs w:val="28"/>
        </w:rPr>
        <w:t>на</w:t>
      </w:r>
      <w:r w:rsidR="00766ADB">
        <w:rPr>
          <w:rFonts w:ascii="Times New Roman" w:hAnsi="Times New Roman"/>
          <w:sz w:val="28"/>
          <w:szCs w:val="28"/>
        </w:rPr>
        <w:t xml:space="preserve"> </w:t>
      </w:r>
      <w:r w:rsidRPr="00A1734B">
        <w:rPr>
          <w:rFonts w:ascii="Times New Roman" w:hAnsi="Times New Roman"/>
          <w:sz w:val="28"/>
          <w:szCs w:val="28"/>
        </w:rPr>
        <w:t>прокурора,</w:t>
      </w:r>
      <w:r w:rsidR="00766ADB">
        <w:rPr>
          <w:rFonts w:ascii="Times New Roman" w:hAnsi="Times New Roman"/>
          <w:sz w:val="28"/>
          <w:szCs w:val="28"/>
        </w:rPr>
        <w:t xml:space="preserve"> </w:t>
      </w:r>
      <w:r w:rsidRPr="00A1734B">
        <w:rPr>
          <w:rFonts w:ascii="Times New Roman" w:hAnsi="Times New Roman"/>
          <w:sz w:val="28"/>
          <w:szCs w:val="28"/>
        </w:rPr>
        <w:t>внесъл</w:t>
      </w:r>
      <w:r w:rsidR="00766ADB">
        <w:rPr>
          <w:rFonts w:ascii="Times New Roman" w:hAnsi="Times New Roman"/>
          <w:sz w:val="28"/>
          <w:szCs w:val="28"/>
        </w:rPr>
        <w:t xml:space="preserve"> </w:t>
      </w:r>
      <w:r w:rsidRPr="00A1734B">
        <w:rPr>
          <w:rFonts w:ascii="Times New Roman" w:hAnsi="Times New Roman"/>
          <w:sz w:val="28"/>
          <w:szCs w:val="28"/>
        </w:rPr>
        <w:t>обвинителния</w:t>
      </w:r>
      <w:r w:rsidR="00766ADB">
        <w:rPr>
          <w:rFonts w:ascii="Times New Roman" w:hAnsi="Times New Roman"/>
          <w:sz w:val="28"/>
          <w:szCs w:val="28"/>
        </w:rPr>
        <w:t xml:space="preserve"> </w:t>
      </w:r>
      <w:r w:rsidRPr="00A1734B">
        <w:rPr>
          <w:rFonts w:ascii="Times New Roman" w:hAnsi="Times New Roman"/>
          <w:sz w:val="28"/>
          <w:szCs w:val="28"/>
        </w:rPr>
        <w:t>акт</w:t>
      </w:r>
      <w:r w:rsidR="00766ADB">
        <w:rPr>
          <w:rFonts w:ascii="Times New Roman" w:hAnsi="Times New Roman"/>
          <w:sz w:val="28"/>
          <w:szCs w:val="28"/>
        </w:rPr>
        <w:t xml:space="preserve"> </w:t>
      </w:r>
      <w:r w:rsidRPr="00A1734B">
        <w:rPr>
          <w:rFonts w:ascii="Times New Roman" w:hAnsi="Times New Roman"/>
          <w:sz w:val="28"/>
          <w:szCs w:val="28"/>
        </w:rPr>
        <w:t>или</w:t>
      </w:r>
      <w:r w:rsidR="00766ADB">
        <w:rPr>
          <w:rFonts w:ascii="Times New Roman" w:hAnsi="Times New Roman"/>
          <w:sz w:val="28"/>
          <w:szCs w:val="28"/>
        </w:rPr>
        <w:t xml:space="preserve"> </w:t>
      </w:r>
      <w:r w:rsidRPr="00A1734B">
        <w:rPr>
          <w:rFonts w:ascii="Times New Roman" w:hAnsi="Times New Roman"/>
          <w:sz w:val="28"/>
          <w:szCs w:val="28"/>
        </w:rPr>
        <w:t>поддържал</w:t>
      </w:r>
      <w:r w:rsidR="00766ADB">
        <w:rPr>
          <w:rFonts w:ascii="Times New Roman" w:hAnsi="Times New Roman"/>
          <w:sz w:val="28"/>
          <w:szCs w:val="28"/>
        </w:rPr>
        <w:t xml:space="preserve"> </w:t>
      </w:r>
      <w:r w:rsidRPr="00A1734B">
        <w:rPr>
          <w:rFonts w:ascii="Times New Roman" w:hAnsi="Times New Roman"/>
          <w:sz w:val="28"/>
          <w:szCs w:val="28"/>
        </w:rPr>
        <w:t>обвинението</w:t>
      </w:r>
      <w:r>
        <w:rPr>
          <w:rFonts w:ascii="Times New Roman" w:hAnsi="Times New Roman"/>
          <w:sz w:val="28"/>
          <w:szCs w:val="28"/>
        </w:rPr>
        <w:t>.</w:t>
      </w:r>
    </w:p>
    <w:p w:rsidR="008D014B" w:rsidRDefault="008D014B" w:rsidP="008D014B">
      <w:pPr>
        <w:spacing w:after="0" w:line="240" w:lineRule="auto"/>
        <w:ind w:right="-22" w:firstLine="709"/>
        <w:jc w:val="both"/>
        <w:rPr>
          <w:rFonts w:ascii="Times New Roman" w:hAnsi="Times New Roman"/>
          <w:sz w:val="28"/>
          <w:szCs w:val="28"/>
        </w:rPr>
      </w:pPr>
      <w:r w:rsidRPr="00A1734B">
        <w:rPr>
          <w:rFonts w:ascii="Times New Roman" w:hAnsi="Times New Roman"/>
          <w:sz w:val="28"/>
          <w:szCs w:val="28"/>
        </w:rPr>
        <w:t>Посочен</w:t>
      </w:r>
      <w:r w:rsidRPr="00EE4D0D">
        <w:rPr>
          <w:rFonts w:ascii="Times New Roman" w:hAnsi="Times New Roman"/>
          <w:sz w:val="28"/>
          <w:szCs w:val="28"/>
        </w:rPr>
        <w:t>ите</w:t>
      </w:r>
      <w:r w:rsidR="00962BB5">
        <w:rPr>
          <w:rFonts w:ascii="Times New Roman" w:hAnsi="Times New Roman"/>
          <w:sz w:val="28"/>
          <w:szCs w:val="28"/>
        </w:rPr>
        <w:t xml:space="preserve"> </w:t>
      </w:r>
      <w:r w:rsidRPr="00A1734B">
        <w:rPr>
          <w:rFonts w:ascii="Times New Roman" w:hAnsi="Times New Roman"/>
          <w:sz w:val="28"/>
          <w:szCs w:val="28"/>
        </w:rPr>
        <w:t>като</w:t>
      </w:r>
      <w:r w:rsidR="00962BB5">
        <w:rPr>
          <w:rFonts w:ascii="Times New Roman" w:hAnsi="Times New Roman"/>
          <w:sz w:val="28"/>
          <w:szCs w:val="28"/>
        </w:rPr>
        <w:t xml:space="preserve"> </w:t>
      </w:r>
      <w:r w:rsidRPr="00A1734B">
        <w:rPr>
          <w:rFonts w:ascii="Times New Roman" w:hAnsi="Times New Roman"/>
          <w:sz w:val="28"/>
          <w:szCs w:val="28"/>
        </w:rPr>
        <w:t>причин</w:t>
      </w:r>
      <w:r w:rsidRPr="00EE4D0D">
        <w:rPr>
          <w:rFonts w:ascii="Times New Roman" w:hAnsi="Times New Roman"/>
          <w:sz w:val="28"/>
          <w:szCs w:val="28"/>
        </w:rPr>
        <w:t>и</w:t>
      </w:r>
      <w:r w:rsidR="00962BB5">
        <w:rPr>
          <w:rFonts w:ascii="Times New Roman" w:hAnsi="Times New Roman"/>
          <w:sz w:val="28"/>
          <w:szCs w:val="28"/>
        </w:rPr>
        <w:t xml:space="preserve"> </w:t>
      </w:r>
      <w:r w:rsidRPr="00A1734B">
        <w:rPr>
          <w:rFonts w:ascii="Times New Roman" w:hAnsi="Times New Roman"/>
          <w:sz w:val="28"/>
          <w:szCs w:val="28"/>
        </w:rPr>
        <w:t>за</w:t>
      </w:r>
      <w:r w:rsidR="00962BB5">
        <w:rPr>
          <w:rFonts w:ascii="Times New Roman" w:hAnsi="Times New Roman"/>
          <w:sz w:val="28"/>
          <w:szCs w:val="28"/>
        </w:rPr>
        <w:t xml:space="preserve"> </w:t>
      </w:r>
      <w:r w:rsidRPr="00A1734B">
        <w:rPr>
          <w:rFonts w:ascii="Times New Roman" w:hAnsi="Times New Roman"/>
          <w:sz w:val="28"/>
          <w:szCs w:val="28"/>
        </w:rPr>
        <w:t>влезлите в сила</w:t>
      </w:r>
      <w:r w:rsidR="00962BB5">
        <w:rPr>
          <w:rFonts w:ascii="Times New Roman" w:hAnsi="Times New Roman"/>
          <w:sz w:val="28"/>
          <w:szCs w:val="28"/>
        </w:rPr>
        <w:t xml:space="preserve"> </w:t>
      </w:r>
      <w:r w:rsidRPr="00A1734B">
        <w:rPr>
          <w:rFonts w:ascii="Times New Roman" w:hAnsi="Times New Roman"/>
          <w:sz w:val="28"/>
          <w:szCs w:val="28"/>
        </w:rPr>
        <w:t>оправдателни</w:t>
      </w:r>
      <w:r w:rsidR="00962BB5">
        <w:rPr>
          <w:rFonts w:ascii="Times New Roman" w:hAnsi="Times New Roman"/>
          <w:sz w:val="28"/>
          <w:szCs w:val="28"/>
        </w:rPr>
        <w:t xml:space="preserve"> </w:t>
      </w:r>
      <w:r w:rsidRPr="00A1734B">
        <w:rPr>
          <w:rFonts w:ascii="Times New Roman" w:hAnsi="Times New Roman"/>
          <w:sz w:val="28"/>
          <w:szCs w:val="28"/>
        </w:rPr>
        <w:t>съдебни</w:t>
      </w:r>
      <w:r w:rsidR="00962BB5">
        <w:rPr>
          <w:rFonts w:ascii="Times New Roman" w:hAnsi="Times New Roman"/>
          <w:sz w:val="28"/>
          <w:szCs w:val="28"/>
        </w:rPr>
        <w:t xml:space="preserve"> </w:t>
      </w:r>
      <w:r w:rsidRPr="00A1734B">
        <w:rPr>
          <w:rFonts w:ascii="Times New Roman" w:hAnsi="Times New Roman"/>
          <w:sz w:val="28"/>
          <w:szCs w:val="28"/>
        </w:rPr>
        <w:t>актове</w:t>
      </w:r>
      <w:r w:rsidR="00962BB5">
        <w:rPr>
          <w:rFonts w:ascii="Times New Roman" w:hAnsi="Times New Roman"/>
          <w:sz w:val="28"/>
          <w:szCs w:val="28"/>
        </w:rPr>
        <w:t xml:space="preserve"> </w:t>
      </w:r>
      <w:r w:rsidRPr="00A1734B">
        <w:rPr>
          <w:rFonts w:ascii="Times New Roman" w:hAnsi="Times New Roman"/>
          <w:sz w:val="28"/>
          <w:szCs w:val="28"/>
        </w:rPr>
        <w:t>не</w:t>
      </w:r>
      <w:r w:rsidR="00962BB5">
        <w:rPr>
          <w:rFonts w:ascii="Times New Roman" w:hAnsi="Times New Roman"/>
          <w:sz w:val="28"/>
          <w:szCs w:val="28"/>
        </w:rPr>
        <w:t xml:space="preserve"> </w:t>
      </w:r>
      <w:r w:rsidRPr="00A1734B">
        <w:rPr>
          <w:rFonts w:ascii="Times New Roman" w:hAnsi="Times New Roman"/>
          <w:sz w:val="28"/>
          <w:szCs w:val="28"/>
        </w:rPr>
        <w:t>очертава</w:t>
      </w:r>
      <w:r>
        <w:rPr>
          <w:rFonts w:ascii="Times New Roman" w:hAnsi="Times New Roman"/>
          <w:sz w:val="28"/>
          <w:szCs w:val="28"/>
        </w:rPr>
        <w:t>т</w:t>
      </w:r>
      <w:r w:rsidR="00962BB5">
        <w:rPr>
          <w:rFonts w:ascii="Times New Roman" w:hAnsi="Times New Roman"/>
          <w:sz w:val="28"/>
          <w:szCs w:val="28"/>
        </w:rPr>
        <w:t xml:space="preserve"> </w:t>
      </w:r>
      <w:r w:rsidRPr="00A1734B">
        <w:rPr>
          <w:rFonts w:ascii="Times New Roman" w:hAnsi="Times New Roman"/>
          <w:sz w:val="28"/>
          <w:szCs w:val="28"/>
        </w:rPr>
        <w:t>груби</w:t>
      </w:r>
      <w:r w:rsidR="00962BB5">
        <w:rPr>
          <w:rFonts w:ascii="Times New Roman" w:hAnsi="Times New Roman"/>
          <w:sz w:val="28"/>
          <w:szCs w:val="28"/>
        </w:rPr>
        <w:t xml:space="preserve"> </w:t>
      </w:r>
      <w:r w:rsidRPr="00A1734B">
        <w:rPr>
          <w:rFonts w:ascii="Times New Roman" w:hAnsi="Times New Roman"/>
          <w:sz w:val="28"/>
          <w:szCs w:val="28"/>
        </w:rPr>
        <w:t>грешки и пропуски в прокурорската</w:t>
      </w:r>
      <w:r w:rsidR="00962BB5">
        <w:rPr>
          <w:rFonts w:ascii="Times New Roman" w:hAnsi="Times New Roman"/>
          <w:sz w:val="28"/>
          <w:szCs w:val="28"/>
        </w:rPr>
        <w:t xml:space="preserve"> </w:t>
      </w:r>
      <w:r w:rsidRPr="00A1734B">
        <w:rPr>
          <w:rFonts w:ascii="Times New Roman" w:hAnsi="Times New Roman"/>
          <w:sz w:val="28"/>
          <w:szCs w:val="28"/>
        </w:rPr>
        <w:t>дейност</w:t>
      </w:r>
      <w:r>
        <w:rPr>
          <w:rFonts w:ascii="Times New Roman" w:hAnsi="Times New Roman"/>
          <w:sz w:val="28"/>
          <w:szCs w:val="28"/>
        </w:rPr>
        <w:t>, които да имат системен характер.</w:t>
      </w:r>
      <w:r w:rsidR="00962BB5">
        <w:rPr>
          <w:rFonts w:ascii="Times New Roman" w:hAnsi="Times New Roman"/>
          <w:sz w:val="28"/>
          <w:szCs w:val="28"/>
        </w:rPr>
        <w:t xml:space="preserve"> </w:t>
      </w:r>
      <w:r>
        <w:rPr>
          <w:rFonts w:ascii="Times New Roman" w:hAnsi="Times New Roman"/>
          <w:sz w:val="28"/>
          <w:szCs w:val="28"/>
        </w:rPr>
        <w:t>Н</w:t>
      </w:r>
      <w:r w:rsidRPr="00A1734B">
        <w:rPr>
          <w:rFonts w:ascii="Times New Roman" w:hAnsi="Times New Roman"/>
          <w:sz w:val="28"/>
          <w:szCs w:val="28"/>
        </w:rPr>
        <w:t>е може</w:t>
      </w:r>
      <w:r w:rsidR="00962BB5">
        <w:rPr>
          <w:rFonts w:ascii="Times New Roman" w:hAnsi="Times New Roman"/>
          <w:sz w:val="28"/>
          <w:szCs w:val="28"/>
        </w:rPr>
        <w:t xml:space="preserve"> </w:t>
      </w:r>
      <w:r w:rsidRPr="00A1734B">
        <w:rPr>
          <w:rFonts w:ascii="Times New Roman" w:hAnsi="Times New Roman"/>
          <w:sz w:val="28"/>
          <w:szCs w:val="28"/>
        </w:rPr>
        <w:t>да</w:t>
      </w:r>
      <w:r w:rsidR="00962BB5">
        <w:rPr>
          <w:rFonts w:ascii="Times New Roman" w:hAnsi="Times New Roman"/>
          <w:sz w:val="28"/>
          <w:szCs w:val="28"/>
        </w:rPr>
        <w:t xml:space="preserve"> </w:t>
      </w:r>
      <w:r w:rsidRPr="00A1734B">
        <w:rPr>
          <w:rFonts w:ascii="Times New Roman" w:hAnsi="Times New Roman"/>
          <w:sz w:val="28"/>
          <w:szCs w:val="28"/>
        </w:rPr>
        <w:t>формира</w:t>
      </w:r>
      <w:r w:rsidR="00962BB5">
        <w:rPr>
          <w:rFonts w:ascii="Times New Roman" w:hAnsi="Times New Roman"/>
          <w:sz w:val="28"/>
          <w:szCs w:val="28"/>
        </w:rPr>
        <w:t xml:space="preserve"> </w:t>
      </w:r>
      <w:r>
        <w:rPr>
          <w:rFonts w:ascii="Times New Roman" w:hAnsi="Times New Roman"/>
          <w:sz w:val="28"/>
          <w:szCs w:val="28"/>
        </w:rPr>
        <w:t xml:space="preserve">конкретна </w:t>
      </w:r>
      <w:r w:rsidRPr="00A1734B">
        <w:rPr>
          <w:rFonts w:ascii="Times New Roman" w:hAnsi="Times New Roman"/>
          <w:sz w:val="28"/>
          <w:szCs w:val="28"/>
        </w:rPr>
        <w:t>група</w:t>
      </w:r>
      <w:r w:rsidR="00962BB5">
        <w:rPr>
          <w:rFonts w:ascii="Times New Roman" w:hAnsi="Times New Roman"/>
          <w:sz w:val="28"/>
          <w:szCs w:val="28"/>
        </w:rPr>
        <w:t xml:space="preserve"> </w:t>
      </w:r>
      <w:r w:rsidRPr="00A1734B">
        <w:rPr>
          <w:rFonts w:ascii="Times New Roman" w:hAnsi="Times New Roman"/>
          <w:sz w:val="28"/>
          <w:szCs w:val="28"/>
        </w:rPr>
        <w:t>от</w:t>
      </w:r>
      <w:r w:rsidR="00962BB5">
        <w:rPr>
          <w:rFonts w:ascii="Times New Roman" w:hAnsi="Times New Roman"/>
          <w:sz w:val="28"/>
          <w:szCs w:val="28"/>
        </w:rPr>
        <w:t xml:space="preserve"> </w:t>
      </w:r>
      <w:r w:rsidRPr="00A1734B">
        <w:rPr>
          <w:rFonts w:ascii="Times New Roman" w:hAnsi="Times New Roman"/>
          <w:sz w:val="28"/>
          <w:szCs w:val="28"/>
        </w:rPr>
        <w:t>проблеми, които</w:t>
      </w:r>
      <w:r w:rsidR="00962BB5">
        <w:rPr>
          <w:rFonts w:ascii="Times New Roman" w:hAnsi="Times New Roman"/>
          <w:sz w:val="28"/>
          <w:szCs w:val="28"/>
        </w:rPr>
        <w:t xml:space="preserve"> </w:t>
      </w:r>
      <w:r w:rsidRPr="00A1734B">
        <w:rPr>
          <w:rFonts w:ascii="Times New Roman" w:hAnsi="Times New Roman"/>
          <w:sz w:val="28"/>
          <w:szCs w:val="28"/>
        </w:rPr>
        <w:t>следва</w:t>
      </w:r>
      <w:r w:rsidR="00962BB5">
        <w:rPr>
          <w:rFonts w:ascii="Times New Roman" w:hAnsi="Times New Roman"/>
          <w:sz w:val="28"/>
          <w:szCs w:val="28"/>
        </w:rPr>
        <w:t xml:space="preserve"> </w:t>
      </w:r>
      <w:r w:rsidRPr="00A1734B">
        <w:rPr>
          <w:rFonts w:ascii="Times New Roman" w:hAnsi="Times New Roman"/>
          <w:sz w:val="28"/>
          <w:szCs w:val="28"/>
        </w:rPr>
        <w:t>да</w:t>
      </w:r>
      <w:r w:rsidR="00962BB5">
        <w:rPr>
          <w:rFonts w:ascii="Times New Roman" w:hAnsi="Times New Roman"/>
          <w:sz w:val="28"/>
          <w:szCs w:val="28"/>
        </w:rPr>
        <w:t xml:space="preserve"> </w:t>
      </w:r>
      <w:r w:rsidRPr="00A1734B">
        <w:rPr>
          <w:rFonts w:ascii="Times New Roman" w:hAnsi="Times New Roman"/>
          <w:sz w:val="28"/>
          <w:szCs w:val="28"/>
        </w:rPr>
        <w:t>се</w:t>
      </w:r>
      <w:r w:rsidR="00962BB5">
        <w:rPr>
          <w:rFonts w:ascii="Times New Roman" w:hAnsi="Times New Roman"/>
          <w:sz w:val="28"/>
          <w:szCs w:val="28"/>
        </w:rPr>
        <w:t xml:space="preserve"> </w:t>
      </w:r>
      <w:r w:rsidRPr="00A1734B">
        <w:rPr>
          <w:rFonts w:ascii="Times New Roman" w:hAnsi="Times New Roman"/>
          <w:sz w:val="28"/>
          <w:szCs w:val="28"/>
        </w:rPr>
        <w:t>преодолеят</w:t>
      </w:r>
      <w:r w:rsidR="00962BB5">
        <w:rPr>
          <w:rFonts w:ascii="Times New Roman" w:hAnsi="Times New Roman"/>
          <w:sz w:val="28"/>
          <w:szCs w:val="28"/>
        </w:rPr>
        <w:t xml:space="preserve"> </w:t>
      </w:r>
      <w:r w:rsidRPr="00A1734B">
        <w:rPr>
          <w:rFonts w:ascii="Times New Roman" w:hAnsi="Times New Roman"/>
          <w:sz w:val="28"/>
          <w:szCs w:val="28"/>
        </w:rPr>
        <w:t>от</w:t>
      </w:r>
      <w:r w:rsidR="00962BB5">
        <w:rPr>
          <w:rFonts w:ascii="Times New Roman" w:hAnsi="Times New Roman"/>
          <w:sz w:val="28"/>
          <w:szCs w:val="28"/>
        </w:rPr>
        <w:t xml:space="preserve"> </w:t>
      </w:r>
      <w:r w:rsidRPr="00A1734B">
        <w:rPr>
          <w:rFonts w:ascii="Times New Roman" w:hAnsi="Times New Roman"/>
          <w:sz w:val="28"/>
          <w:szCs w:val="28"/>
        </w:rPr>
        <w:t>прокурорите в</w:t>
      </w:r>
      <w:r w:rsidRPr="00EE4D0D">
        <w:rPr>
          <w:rFonts w:ascii="Times New Roman" w:hAnsi="Times New Roman"/>
          <w:sz w:val="28"/>
          <w:szCs w:val="28"/>
        </w:rPr>
        <w:t xml:space="preserve"> района</w:t>
      </w:r>
      <w:r>
        <w:rPr>
          <w:rFonts w:ascii="Times New Roman" w:hAnsi="Times New Roman"/>
          <w:sz w:val="28"/>
          <w:szCs w:val="28"/>
        </w:rPr>
        <w:t xml:space="preserve">. </w:t>
      </w:r>
    </w:p>
    <w:p w:rsidR="008D014B" w:rsidRDefault="008D014B" w:rsidP="008D014B">
      <w:pPr>
        <w:widowControl w:val="0"/>
        <w:spacing w:after="0" w:line="240" w:lineRule="auto"/>
        <w:ind w:right="-29" w:firstLine="706"/>
        <w:jc w:val="both"/>
        <w:rPr>
          <w:rFonts w:ascii="Times New Roman" w:hAnsi="Times New Roman"/>
          <w:sz w:val="28"/>
          <w:szCs w:val="28"/>
        </w:rPr>
      </w:pPr>
      <w:r>
        <w:rPr>
          <w:rFonts w:ascii="Times New Roman" w:eastAsia="Verdana" w:hAnsi="Times New Roman"/>
          <w:noProof/>
          <w:spacing w:val="-4"/>
          <w:sz w:val="28"/>
          <w:szCs w:val="28"/>
          <w:lang w:eastAsia="bg-BG"/>
        </w:rPr>
        <mc:AlternateContent>
          <mc:Choice Requires="wps">
            <w:drawing>
              <wp:anchor distT="0" distB="0" distL="0" distR="0" simplePos="0" relativeHeight="251662336" behindDoc="0" locked="0" layoutInCell="1" allowOverlap="1">
                <wp:simplePos x="0" y="0"/>
                <wp:positionH relativeFrom="page">
                  <wp:posOffset>6520815</wp:posOffset>
                </wp:positionH>
                <wp:positionV relativeFrom="paragraph">
                  <wp:posOffset>2006600</wp:posOffset>
                </wp:positionV>
                <wp:extent cx="350520" cy="201295"/>
                <wp:effectExtent l="0" t="0" r="0" b="0"/>
                <wp:wrapSquare wrapText="left"/>
                <wp:docPr id="65" name="Текстово 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 cy="201295"/>
                        </a:xfrm>
                        <a:prstGeom prst="rect">
                          <a:avLst/>
                        </a:prstGeom>
                        <a:noFill/>
                      </wps:spPr>
                      <wps:txbx>
                        <w:txbxContent>
                          <w:p w:rsidR="00912E2D" w:rsidRDefault="00912E2D" w:rsidP="008D014B">
                            <w:pPr>
                              <w:pStyle w:val="aff4"/>
                              <w:shd w:val="clear" w:color="auto" w:fill="auto"/>
                              <w:jc w:val="left"/>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65" o:spid="_x0000_s1026" type="#_x0000_t202" style="position:absolute;left:0;text-align:left;margin-left:513.45pt;margin-top:158pt;width:27.6pt;height:15.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" filled="f" stroked="f">
                <v:path arrowok="t"/>
                <v:textbox style="mso-fit-shape-to-text:t" inset="0,0,0,0">
                  <w:txbxContent>
                    <w:p w:rsidR="00912E2D" w:rsidRDefault="00912E2D" w:rsidP="008D014B">
                      <w:pPr>
                        <w:pStyle w:val="aff4"/>
                        <w:shd w:val="clear" w:color="auto" w:fill="auto"/>
                        <w:jc w:val="left"/>
                      </w:pPr>
                    </w:p>
                  </w:txbxContent>
                </v:textbox>
                <w10:wrap type="square" side="left" anchorx="page"/>
              </v:shape>
            </w:pict>
          </mc:Fallback>
        </mc:AlternateContent>
      </w:r>
      <w:r w:rsidRPr="00EE4D0D">
        <w:rPr>
          <w:rFonts w:ascii="Times New Roman" w:eastAsia="Verdana" w:hAnsi="Times New Roman"/>
          <w:color w:val="000000"/>
          <w:sz w:val="28"/>
          <w:szCs w:val="28"/>
          <w:lang w:eastAsia="bg-BG" w:bidi="bg-BG"/>
        </w:rPr>
        <w:t xml:space="preserve">За отстраняване на причините за постановяване на оправдателни присъди </w:t>
      </w:r>
      <w:r>
        <w:rPr>
          <w:rFonts w:ascii="Times New Roman" w:eastAsia="Verdana" w:hAnsi="Times New Roman"/>
          <w:color w:val="000000"/>
          <w:sz w:val="28"/>
          <w:szCs w:val="28"/>
          <w:lang w:eastAsia="bg-BG" w:bidi="bg-BG"/>
        </w:rPr>
        <w:t xml:space="preserve">следва </w:t>
      </w:r>
      <w:r w:rsidRPr="00EE4D0D">
        <w:rPr>
          <w:rFonts w:ascii="Times New Roman" w:eastAsia="Verdana" w:hAnsi="Times New Roman"/>
          <w:color w:val="000000"/>
          <w:sz w:val="28"/>
          <w:szCs w:val="28"/>
          <w:lang w:eastAsia="bg-BG" w:bidi="bg-BG"/>
        </w:rPr>
        <w:t>да се анализират всички оправдателни присъди и решения,</w:t>
      </w:r>
      <w:r w:rsidRPr="00EE4D0D">
        <w:rPr>
          <w:rFonts w:ascii="Times New Roman" w:eastAsia="Verdana" w:hAnsi="Times New Roman"/>
          <w:spacing w:val="-4"/>
          <w:sz w:val="28"/>
          <w:szCs w:val="28"/>
          <w:lang w:eastAsia="bg-BG"/>
        </w:rPr>
        <w:t xml:space="preserve"> да се установят  причините, довели до постановяването им</w:t>
      </w:r>
      <w:r>
        <w:rPr>
          <w:rFonts w:ascii="Times New Roman" w:eastAsia="Verdana" w:hAnsi="Times New Roman"/>
          <w:color w:val="000000"/>
          <w:sz w:val="28"/>
          <w:szCs w:val="28"/>
          <w:lang w:eastAsia="bg-BG" w:bidi="bg-BG"/>
        </w:rPr>
        <w:t>.</w:t>
      </w:r>
      <w:r w:rsidRPr="00A66E76">
        <w:rPr>
          <w:rFonts w:ascii="Times New Roman" w:eastAsia="Verdana" w:hAnsi="Times New Roman" w:cs="Verdana"/>
          <w:color w:val="000000"/>
          <w:sz w:val="28"/>
          <w:szCs w:val="28"/>
          <w:lang w:eastAsia="bg-BG" w:bidi="bg-BG"/>
        </w:rPr>
        <w:t>Следва да се акцентира върху задълбочено и системно проучване и обсъждане на съдебната практика. Относно информацията, получена по време на обучения и семинари, да бъдат организирани съвместни срещи, с оглед придобиване на знания по конкретните теми и от останалите прокурори, работещи в съответната прокуратура.</w:t>
      </w:r>
    </w:p>
    <w:p w:rsidR="008D014B" w:rsidRPr="00F06050" w:rsidRDefault="008D014B" w:rsidP="008D014B">
      <w:pPr>
        <w:spacing w:after="0" w:line="240" w:lineRule="auto"/>
        <w:ind w:right="-22" w:firstLine="709"/>
        <w:jc w:val="both"/>
        <w:rPr>
          <w:rFonts w:ascii="Times New Roman" w:hAnsi="Times New Roman"/>
          <w:sz w:val="28"/>
          <w:szCs w:val="28"/>
        </w:rPr>
      </w:pPr>
      <w:r w:rsidRPr="00F06050">
        <w:rPr>
          <w:rFonts w:ascii="Times New Roman" w:hAnsi="Times New Roman"/>
          <w:sz w:val="28"/>
          <w:szCs w:val="28"/>
        </w:rPr>
        <w:t xml:space="preserve">С оглед избягване на постановяване на оправдателните присъди поради пропуски, грешки или пасивност при събиране на доказателствата в хода на досъдебното производство, наблюдаващите </w:t>
      </w:r>
      <w:r w:rsidRPr="00F06050">
        <w:rPr>
          <w:rFonts w:ascii="Times New Roman" w:hAnsi="Times New Roman"/>
          <w:sz w:val="28"/>
          <w:szCs w:val="28"/>
        </w:rPr>
        <w:lastRenderedPageBreak/>
        <w:t>прокурори следва да ръководят ефективно разследващите органи при осигуряване нужните обективност, всестранност и пълнота на разследването, да препятстват допускането на  сериозни пропуски и нарушения на НПК при извършване на всички необходими процесуално-следствени действия. Това до голяма степен би било гаранция, че след внасяне на обвинителния акт в съд</w:t>
      </w:r>
      <w:r>
        <w:rPr>
          <w:rFonts w:ascii="Times New Roman" w:hAnsi="Times New Roman"/>
          <w:sz w:val="28"/>
          <w:szCs w:val="28"/>
        </w:rPr>
        <w:t>а</w:t>
      </w:r>
      <w:r w:rsidRPr="00F06050">
        <w:rPr>
          <w:rFonts w:ascii="Times New Roman" w:hAnsi="Times New Roman"/>
          <w:sz w:val="28"/>
          <w:szCs w:val="28"/>
        </w:rPr>
        <w:t xml:space="preserve"> няма да настъпи съществена промяна, която да доведе до оправдателна присъда. </w:t>
      </w:r>
    </w:p>
    <w:p w:rsidR="008D014B" w:rsidRDefault="008D014B" w:rsidP="008D014B">
      <w:pPr>
        <w:widowControl w:val="0"/>
        <w:spacing w:after="0" w:line="240" w:lineRule="auto"/>
        <w:ind w:right="-22" w:firstLine="709"/>
        <w:jc w:val="both"/>
        <w:rPr>
          <w:rFonts w:ascii="Times New Roman" w:eastAsia="Verdana" w:hAnsi="Times New Roman"/>
          <w:color w:val="000000"/>
          <w:sz w:val="28"/>
          <w:szCs w:val="28"/>
          <w:lang w:eastAsia="bg-BG" w:bidi="bg-BG"/>
        </w:rPr>
      </w:pPr>
      <w:r>
        <w:rPr>
          <w:rFonts w:ascii="Times New Roman" w:eastAsia="Verdana" w:hAnsi="Times New Roman"/>
          <w:color w:val="000000"/>
          <w:sz w:val="28"/>
          <w:szCs w:val="28"/>
          <w:lang w:eastAsia="bg-BG" w:bidi="bg-BG"/>
        </w:rPr>
        <w:t>Прокурорите следва с</w:t>
      </w:r>
      <w:r w:rsidRPr="00EE4D0D">
        <w:rPr>
          <w:rFonts w:ascii="Times New Roman" w:eastAsia="Verdana" w:hAnsi="Times New Roman"/>
          <w:color w:val="000000"/>
          <w:sz w:val="28"/>
          <w:szCs w:val="28"/>
          <w:lang w:eastAsia="bg-BG" w:bidi="bg-BG"/>
        </w:rPr>
        <w:t xml:space="preserve">истемно да </w:t>
      </w:r>
      <w:r>
        <w:rPr>
          <w:rFonts w:ascii="Times New Roman" w:eastAsia="Verdana" w:hAnsi="Times New Roman"/>
          <w:color w:val="000000"/>
          <w:sz w:val="28"/>
          <w:szCs w:val="28"/>
          <w:lang w:eastAsia="bg-BG" w:bidi="bg-BG"/>
        </w:rPr>
        <w:t xml:space="preserve">анализират и обсъждат проблемни казуси, да </w:t>
      </w:r>
      <w:r w:rsidRPr="00EE4D0D">
        <w:rPr>
          <w:rFonts w:ascii="Times New Roman" w:eastAsia="Verdana" w:hAnsi="Times New Roman"/>
          <w:color w:val="000000"/>
          <w:sz w:val="28"/>
          <w:szCs w:val="28"/>
          <w:lang w:eastAsia="bg-BG" w:bidi="bg-BG"/>
        </w:rPr>
        <w:t>проучва</w:t>
      </w:r>
      <w:r>
        <w:rPr>
          <w:rFonts w:ascii="Times New Roman" w:eastAsia="Verdana" w:hAnsi="Times New Roman"/>
          <w:color w:val="000000"/>
          <w:sz w:val="28"/>
          <w:szCs w:val="28"/>
          <w:lang w:eastAsia="bg-BG" w:bidi="bg-BG"/>
        </w:rPr>
        <w:t>т актуалната</w:t>
      </w:r>
      <w:r w:rsidRPr="00EE4D0D">
        <w:rPr>
          <w:rFonts w:ascii="Times New Roman" w:eastAsia="Verdana" w:hAnsi="Times New Roman"/>
          <w:color w:val="000000"/>
          <w:sz w:val="28"/>
          <w:szCs w:val="28"/>
          <w:lang w:eastAsia="bg-BG" w:bidi="bg-BG"/>
        </w:rPr>
        <w:t xml:space="preserve"> съдебната практика, </w:t>
      </w:r>
      <w:r>
        <w:rPr>
          <w:rFonts w:ascii="Times New Roman" w:eastAsia="Verdana" w:hAnsi="Times New Roman"/>
          <w:color w:val="000000"/>
          <w:sz w:val="28"/>
          <w:szCs w:val="28"/>
          <w:lang w:eastAsia="bg-BG" w:bidi="bg-BG"/>
        </w:rPr>
        <w:t xml:space="preserve">съответно да прецизират изготвените прокурорски актове. </w:t>
      </w:r>
    </w:p>
    <w:p w:rsidR="008D014B" w:rsidRDefault="008D014B" w:rsidP="008D014B">
      <w:pPr>
        <w:widowControl w:val="0"/>
        <w:spacing w:after="0" w:line="240" w:lineRule="auto"/>
        <w:ind w:right="-22" w:firstLine="709"/>
        <w:jc w:val="both"/>
        <w:rPr>
          <w:rFonts w:ascii="Times New Roman" w:eastAsia="Verdana" w:hAnsi="Times New Roman"/>
          <w:color w:val="000000"/>
          <w:sz w:val="28"/>
          <w:szCs w:val="28"/>
          <w:lang w:eastAsia="bg-BG" w:bidi="bg-BG"/>
        </w:rPr>
      </w:pPr>
    </w:p>
    <w:p w:rsidR="008D014B" w:rsidRDefault="008D014B" w:rsidP="008D014B">
      <w:pPr>
        <w:widowControl w:val="0"/>
        <w:spacing w:after="0" w:line="240" w:lineRule="auto"/>
        <w:ind w:right="-22" w:firstLine="709"/>
        <w:jc w:val="both"/>
        <w:rPr>
          <w:rFonts w:ascii="Times New Roman" w:eastAsia="Verdana" w:hAnsi="Times New Roman"/>
          <w:color w:val="000000"/>
          <w:sz w:val="28"/>
          <w:szCs w:val="28"/>
          <w:lang w:eastAsia="bg-BG" w:bidi="bg-BG"/>
        </w:rPr>
      </w:pPr>
    </w:p>
    <w:p w:rsidR="008D014B" w:rsidRDefault="008D014B" w:rsidP="008D014B">
      <w:pPr>
        <w:widowControl w:val="0"/>
        <w:spacing w:after="0" w:line="240" w:lineRule="auto"/>
        <w:ind w:right="-22" w:firstLine="709"/>
        <w:jc w:val="both"/>
        <w:rPr>
          <w:rFonts w:ascii="Times New Roman" w:eastAsia="Verdana" w:hAnsi="Times New Roman"/>
          <w:color w:val="000000"/>
          <w:sz w:val="28"/>
          <w:szCs w:val="28"/>
          <w:lang w:eastAsia="bg-BG" w:bidi="bg-BG"/>
        </w:rPr>
      </w:pPr>
    </w:p>
    <w:p w:rsidR="008D014B" w:rsidRPr="00F06050" w:rsidRDefault="008D014B" w:rsidP="008D014B">
      <w:pPr>
        <w:spacing w:after="0" w:line="240" w:lineRule="auto"/>
        <w:ind w:firstLine="709"/>
        <w:jc w:val="both"/>
        <w:rPr>
          <w:rFonts w:ascii="Times New Roman" w:hAnsi="Times New Roman"/>
          <w:sz w:val="28"/>
          <w:szCs w:val="28"/>
          <w:u w:val="single"/>
        </w:rPr>
      </w:pPr>
      <w:r w:rsidRPr="00F06050">
        <w:rPr>
          <w:rFonts w:ascii="Times New Roman" w:hAnsi="Times New Roman"/>
          <w:b/>
          <w:sz w:val="28"/>
          <w:szCs w:val="28"/>
          <w:u w:val="single"/>
        </w:rPr>
        <w:t>ОБОБЩЕНИ ИЗВОДИ, ПРОБЛЕМИ И МЕРКИ</w:t>
      </w:r>
      <w:r w:rsidRPr="00F06050">
        <w:rPr>
          <w:rFonts w:ascii="Times New Roman" w:hAnsi="Times New Roman"/>
          <w:sz w:val="28"/>
          <w:szCs w:val="28"/>
          <w:u w:val="single"/>
        </w:rPr>
        <w:t>.</w:t>
      </w:r>
    </w:p>
    <w:p w:rsidR="008D014B" w:rsidRPr="00F06050" w:rsidRDefault="008D014B" w:rsidP="008D014B">
      <w:pPr>
        <w:spacing w:after="0" w:line="240" w:lineRule="auto"/>
        <w:ind w:firstLine="709"/>
        <w:jc w:val="both"/>
        <w:rPr>
          <w:rFonts w:ascii="Times New Roman" w:hAnsi="Times New Roman"/>
          <w:sz w:val="28"/>
          <w:szCs w:val="28"/>
          <w:u w:val="single"/>
        </w:rPr>
      </w:pPr>
    </w:p>
    <w:p w:rsidR="008D014B" w:rsidRPr="00F06050" w:rsidRDefault="008D014B" w:rsidP="008D014B">
      <w:pPr>
        <w:spacing w:after="0" w:line="240" w:lineRule="auto"/>
        <w:ind w:firstLine="709"/>
        <w:jc w:val="both"/>
        <w:rPr>
          <w:rFonts w:ascii="Times New Roman" w:hAnsi="Times New Roman"/>
          <w:sz w:val="28"/>
          <w:szCs w:val="28"/>
        </w:rPr>
      </w:pPr>
      <w:r w:rsidRPr="00F06050">
        <w:rPr>
          <w:rFonts w:ascii="Times New Roman" w:hAnsi="Times New Roman"/>
          <w:sz w:val="28"/>
          <w:szCs w:val="28"/>
        </w:rPr>
        <w:t xml:space="preserve">1. През отчетния период се е запазил броят </w:t>
      </w:r>
      <w:proofErr w:type="spellStart"/>
      <w:r w:rsidRPr="00F06050">
        <w:rPr>
          <w:rFonts w:ascii="Times New Roman" w:hAnsi="Times New Roman"/>
          <w:sz w:val="28"/>
          <w:szCs w:val="28"/>
        </w:rPr>
        <w:t>напрокурорските</w:t>
      </w:r>
      <w:proofErr w:type="spellEnd"/>
      <w:r w:rsidRPr="00F06050">
        <w:rPr>
          <w:rFonts w:ascii="Times New Roman" w:hAnsi="Times New Roman"/>
          <w:sz w:val="28"/>
          <w:szCs w:val="28"/>
        </w:rPr>
        <w:t xml:space="preserve"> актове, внесени</w:t>
      </w:r>
      <w:r w:rsidR="00684A2A">
        <w:rPr>
          <w:rFonts w:ascii="Times New Roman" w:hAnsi="Times New Roman"/>
          <w:sz w:val="28"/>
          <w:szCs w:val="28"/>
        </w:rPr>
        <w:t xml:space="preserve"> </w:t>
      </w:r>
      <w:r w:rsidRPr="00F06050">
        <w:rPr>
          <w:rFonts w:ascii="Times New Roman" w:hAnsi="Times New Roman"/>
          <w:sz w:val="28"/>
          <w:szCs w:val="28"/>
        </w:rPr>
        <w:t>за разглеждане в съда спрямо, предходния период и са намалели с 41 спрямо2017 година.</w:t>
      </w:r>
    </w:p>
    <w:p w:rsidR="008D014B" w:rsidRPr="00F06050" w:rsidRDefault="008D014B" w:rsidP="008D014B">
      <w:pPr>
        <w:spacing w:after="0" w:line="240" w:lineRule="auto"/>
        <w:ind w:firstLine="709"/>
        <w:jc w:val="both"/>
        <w:rPr>
          <w:rFonts w:ascii="Times New Roman" w:hAnsi="Times New Roman"/>
          <w:sz w:val="28"/>
          <w:szCs w:val="28"/>
        </w:rPr>
      </w:pPr>
      <w:r w:rsidRPr="00F06050">
        <w:rPr>
          <w:rFonts w:ascii="Times New Roman" w:hAnsi="Times New Roman"/>
          <w:sz w:val="28"/>
          <w:szCs w:val="28"/>
        </w:rPr>
        <w:t>2. Увеличил се е броят на осъдените с влязла в сила присъда лица.</w:t>
      </w:r>
    </w:p>
    <w:p w:rsidR="008D014B" w:rsidRPr="00F06050" w:rsidRDefault="008D014B" w:rsidP="008D014B">
      <w:pPr>
        <w:spacing w:after="0" w:line="240" w:lineRule="auto"/>
        <w:ind w:firstLine="709"/>
        <w:jc w:val="both"/>
        <w:rPr>
          <w:rFonts w:ascii="Times New Roman" w:hAnsi="Times New Roman"/>
          <w:sz w:val="28"/>
          <w:szCs w:val="28"/>
        </w:rPr>
      </w:pPr>
      <w:r w:rsidRPr="00F06050">
        <w:rPr>
          <w:rFonts w:ascii="Times New Roman" w:hAnsi="Times New Roman"/>
          <w:sz w:val="28"/>
          <w:szCs w:val="28"/>
        </w:rPr>
        <w:t>3. Налице е значително увеличаване на броя на върнатите от съда дела.</w:t>
      </w:r>
    </w:p>
    <w:p w:rsidR="008D014B" w:rsidRPr="00F06050" w:rsidRDefault="008D014B" w:rsidP="008D014B">
      <w:pPr>
        <w:spacing w:after="0" w:line="240" w:lineRule="auto"/>
        <w:ind w:firstLine="709"/>
        <w:jc w:val="both"/>
        <w:rPr>
          <w:rFonts w:ascii="Times New Roman" w:hAnsi="Times New Roman"/>
          <w:sz w:val="28"/>
          <w:szCs w:val="28"/>
        </w:rPr>
      </w:pPr>
      <w:r w:rsidRPr="00F06050">
        <w:rPr>
          <w:rFonts w:ascii="Times New Roman" w:hAnsi="Times New Roman"/>
          <w:sz w:val="28"/>
          <w:szCs w:val="28"/>
        </w:rPr>
        <w:t xml:space="preserve">4. </w:t>
      </w:r>
      <w:r w:rsidR="0014104F">
        <w:rPr>
          <w:rFonts w:ascii="Times New Roman" w:hAnsi="Times New Roman"/>
          <w:sz w:val="28"/>
          <w:szCs w:val="28"/>
        </w:rPr>
        <w:t>Увеличил се е</w:t>
      </w:r>
      <w:r w:rsidRPr="00F06050">
        <w:rPr>
          <w:rFonts w:ascii="Times New Roman" w:hAnsi="Times New Roman"/>
          <w:sz w:val="28"/>
          <w:szCs w:val="28"/>
        </w:rPr>
        <w:t xml:space="preserve"> броят на влезлите в сила оправдателни присъди.</w:t>
      </w:r>
    </w:p>
    <w:p w:rsidR="008D014B" w:rsidRPr="00F06050" w:rsidRDefault="008D014B" w:rsidP="008D014B">
      <w:pPr>
        <w:spacing w:after="0" w:line="240" w:lineRule="auto"/>
        <w:ind w:firstLine="709"/>
        <w:jc w:val="both"/>
        <w:rPr>
          <w:rFonts w:ascii="Times New Roman" w:hAnsi="Times New Roman"/>
          <w:sz w:val="28"/>
          <w:szCs w:val="28"/>
        </w:rPr>
      </w:pPr>
      <w:r w:rsidRPr="00F06050">
        <w:rPr>
          <w:rFonts w:ascii="Times New Roman" w:hAnsi="Times New Roman"/>
          <w:sz w:val="28"/>
          <w:szCs w:val="28"/>
        </w:rPr>
        <w:t xml:space="preserve">5. Изложеното по-горе сочи, че е налице необходимост  от предприемане на организационни мерки за преодоляване на пропуските и грешките, довели до големия брой върнати дела, да се завишат изискванията към работата на </w:t>
      </w:r>
      <w:proofErr w:type="spellStart"/>
      <w:r w:rsidRPr="00F06050">
        <w:rPr>
          <w:rFonts w:ascii="Times New Roman" w:hAnsi="Times New Roman"/>
          <w:sz w:val="28"/>
          <w:szCs w:val="28"/>
        </w:rPr>
        <w:t>прокурорте</w:t>
      </w:r>
      <w:proofErr w:type="spellEnd"/>
      <w:r w:rsidRPr="00F06050">
        <w:rPr>
          <w:rFonts w:ascii="Times New Roman" w:hAnsi="Times New Roman"/>
          <w:sz w:val="28"/>
          <w:szCs w:val="28"/>
        </w:rPr>
        <w:t xml:space="preserve"> при упражняване на ръководство  и надзор над разследването, прецизност при определяне на правната квалификация на деянието и съобразяване с актуалната съдебна практика.</w:t>
      </w:r>
    </w:p>
    <w:p w:rsidR="008D014B" w:rsidRPr="00141249" w:rsidRDefault="008D014B" w:rsidP="008D014B">
      <w:pPr>
        <w:spacing w:after="0" w:line="240" w:lineRule="auto"/>
        <w:ind w:firstLine="709"/>
        <w:jc w:val="both"/>
        <w:rPr>
          <w:rFonts w:ascii="Times New Roman" w:hAnsi="Times New Roman"/>
          <w:color w:val="FF0000"/>
          <w:sz w:val="28"/>
          <w:szCs w:val="28"/>
        </w:rPr>
      </w:pPr>
    </w:p>
    <w:p w:rsidR="008D014B" w:rsidRPr="00EE4D0D" w:rsidRDefault="008D014B" w:rsidP="008D014B">
      <w:pPr>
        <w:spacing w:after="0" w:line="240" w:lineRule="auto"/>
        <w:ind w:firstLine="709"/>
        <w:jc w:val="both"/>
        <w:rPr>
          <w:rFonts w:ascii="Times New Roman" w:eastAsia="Times New Roman" w:hAnsi="Times New Roman"/>
          <w:b/>
          <w:bCs/>
          <w:sz w:val="28"/>
          <w:szCs w:val="28"/>
        </w:rPr>
      </w:pPr>
    </w:p>
    <w:p w:rsidR="008D014B" w:rsidRPr="00EE4D0D" w:rsidRDefault="008D014B" w:rsidP="008D014B">
      <w:pPr>
        <w:spacing w:after="0" w:line="240" w:lineRule="auto"/>
        <w:ind w:firstLine="709"/>
        <w:jc w:val="both"/>
        <w:rPr>
          <w:rFonts w:ascii="Times New Roman" w:eastAsia="Times New Roman" w:hAnsi="Times New Roman"/>
          <w:b/>
          <w:bCs/>
          <w:sz w:val="28"/>
          <w:szCs w:val="28"/>
        </w:rPr>
      </w:pPr>
    </w:p>
    <w:p w:rsidR="008D014B" w:rsidRPr="00EE4D0D" w:rsidRDefault="008D014B" w:rsidP="008D014B">
      <w:pPr>
        <w:spacing w:after="0" w:line="240" w:lineRule="auto"/>
        <w:rPr>
          <w:rFonts w:ascii="Times New Roman" w:hAnsi="Times New Roman"/>
          <w:sz w:val="28"/>
          <w:szCs w:val="28"/>
        </w:rPr>
      </w:pPr>
    </w:p>
    <w:p w:rsidR="00A25C10" w:rsidRDefault="00A25C10" w:rsidP="00DA0A59">
      <w:pPr>
        <w:spacing w:after="0" w:line="240" w:lineRule="auto"/>
        <w:ind w:firstLine="709"/>
        <w:rPr>
          <w:rFonts w:ascii="Times New Roman" w:hAnsi="Times New Roman"/>
          <w:sz w:val="28"/>
          <w:szCs w:val="28"/>
        </w:rPr>
      </w:pPr>
    </w:p>
    <w:p w:rsidR="00BE27E0" w:rsidRDefault="00BE27E0" w:rsidP="00DA0A59">
      <w:pPr>
        <w:spacing w:after="0" w:line="240" w:lineRule="auto"/>
        <w:ind w:firstLine="709"/>
        <w:rPr>
          <w:rFonts w:ascii="Times New Roman" w:hAnsi="Times New Roman"/>
          <w:sz w:val="28"/>
          <w:szCs w:val="28"/>
        </w:rPr>
      </w:pPr>
    </w:p>
    <w:p w:rsidR="00BE27E0" w:rsidRDefault="00BE27E0" w:rsidP="00DA0A59">
      <w:pPr>
        <w:spacing w:after="0" w:line="240" w:lineRule="auto"/>
        <w:ind w:firstLine="709"/>
        <w:rPr>
          <w:rFonts w:ascii="Times New Roman" w:hAnsi="Times New Roman"/>
          <w:sz w:val="28"/>
          <w:szCs w:val="28"/>
        </w:rPr>
      </w:pPr>
    </w:p>
    <w:p w:rsidR="00BE27E0" w:rsidRDefault="00BE27E0" w:rsidP="00DA0A59">
      <w:pPr>
        <w:spacing w:after="0" w:line="240" w:lineRule="auto"/>
        <w:ind w:firstLine="709"/>
        <w:rPr>
          <w:rFonts w:ascii="Times New Roman" w:hAnsi="Times New Roman"/>
          <w:sz w:val="28"/>
          <w:szCs w:val="28"/>
        </w:rPr>
      </w:pPr>
    </w:p>
    <w:p w:rsidR="00BE27E0" w:rsidRDefault="00BE27E0" w:rsidP="00DA0A59">
      <w:pPr>
        <w:spacing w:after="0" w:line="240" w:lineRule="auto"/>
        <w:ind w:firstLine="709"/>
        <w:rPr>
          <w:rFonts w:ascii="Times New Roman" w:hAnsi="Times New Roman"/>
          <w:sz w:val="28"/>
          <w:szCs w:val="28"/>
        </w:rPr>
      </w:pPr>
    </w:p>
    <w:p w:rsidR="00BE27E0" w:rsidRDefault="00BE27E0" w:rsidP="00DA0A59">
      <w:pPr>
        <w:spacing w:after="0" w:line="240" w:lineRule="auto"/>
        <w:ind w:firstLine="709"/>
        <w:rPr>
          <w:rFonts w:ascii="Times New Roman" w:hAnsi="Times New Roman"/>
          <w:sz w:val="28"/>
          <w:szCs w:val="28"/>
        </w:rPr>
      </w:pPr>
    </w:p>
    <w:p w:rsidR="008C3CDE" w:rsidRDefault="008C3CDE" w:rsidP="00DA0A59">
      <w:pPr>
        <w:spacing w:after="0" w:line="240" w:lineRule="auto"/>
        <w:ind w:firstLine="709"/>
        <w:rPr>
          <w:rFonts w:ascii="Times New Roman" w:hAnsi="Times New Roman"/>
          <w:sz w:val="28"/>
          <w:szCs w:val="28"/>
        </w:rPr>
      </w:pPr>
    </w:p>
    <w:p w:rsidR="008C3CDE" w:rsidRDefault="008C3CDE" w:rsidP="00DA0A59">
      <w:pPr>
        <w:spacing w:after="0" w:line="240" w:lineRule="auto"/>
        <w:ind w:firstLine="709"/>
        <w:rPr>
          <w:rFonts w:ascii="Times New Roman" w:hAnsi="Times New Roman"/>
          <w:sz w:val="28"/>
          <w:szCs w:val="28"/>
        </w:rPr>
      </w:pPr>
    </w:p>
    <w:p w:rsidR="008C3CDE" w:rsidRDefault="008C3CDE" w:rsidP="00DA0A59">
      <w:pPr>
        <w:spacing w:after="0" w:line="240" w:lineRule="auto"/>
        <w:ind w:firstLine="709"/>
        <w:rPr>
          <w:rFonts w:ascii="Times New Roman" w:hAnsi="Times New Roman"/>
          <w:sz w:val="28"/>
          <w:szCs w:val="28"/>
        </w:rPr>
      </w:pPr>
    </w:p>
    <w:p w:rsidR="008C3CDE" w:rsidRDefault="008C3CDE" w:rsidP="00DA0A59">
      <w:pPr>
        <w:spacing w:after="0" w:line="240" w:lineRule="auto"/>
        <w:ind w:firstLine="709"/>
        <w:rPr>
          <w:rFonts w:ascii="Times New Roman" w:hAnsi="Times New Roman"/>
          <w:sz w:val="28"/>
          <w:szCs w:val="28"/>
        </w:rPr>
      </w:pPr>
    </w:p>
    <w:p w:rsidR="00BE27E0" w:rsidRDefault="00BE27E0" w:rsidP="00DA0A59">
      <w:pPr>
        <w:spacing w:after="0" w:line="240" w:lineRule="auto"/>
        <w:ind w:firstLine="709"/>
        <w:rPr>
          <w:rFonts w:ascii="Times New Roman" w:hAnsi="Times New Roman"/>
          <w:sz w:val="28"/>
          <w:szCs w:val="28"/>
        </w:rPr>
      </w:pPr>
    </w:p>
    <w:p w:rsidR="00BE27E0" w:rsidRDefault="00BE27E0" w:rsidP="00DA0A59">
      <w:pPr>
        <w:spacing w:after="0" w:line="240" w:lineRule="auto"/>
        <w:ind w:firstLine="709"/>
        <w:rPr>
          <w:rFonts w:ascii="Times New Roman" w:hAnsi="Times New Roman"/>
          <w:sz w:val="28"/>
          <w:szCs w:val="28"/>
        </w:rPr>
      </w:pPr>
    </w:p>
    <w:p w:rsidR="00CB75C3" w:rsidRDefault="00CB75C3" w:rsidP="00DA0A59">
      <w:pPr>
        <w:spacing w:after="0" w:line="240" w:lineRule="auto"/>
        <w:ind w:firstLine="709"/>
        <w:rPr>
          <w:rFonts w:ascii="Times New Roman" w:hAnsi="Times New Roman"/>
          <w:sz w:val="28"/>
          <w:szCs w:val="28"/>
        </w:rPr>
      </w:pPr>
    </w:p>
    <w:p w:rsidR="00BE27E0" w:rsidRPr="00EE4D0D" w:rsidRDefault="00BE27E0" w:rsidP="00DA0A59">
      <w:pPr>
        <w:spacing w:after="0" w:line="240" w:lineRule="auto"/>
        <w:ind w:firstLine="709"/>
        <w:rPr>
          <w:rFonts w:ascii="Times New Roman" w:hAnsi="Times New Roman"/>
          <w:sz w:val="28"/>
          <w:szCs w:val="28"/>
        </w:rPr>
      </w:pPr>
    </w:p>
    <w:p w:rsidR="00626B1A" w:rsidRPr="00EE4D0D" w:rsidRDefault="00626B1A" w:rsidP="00DA0A59">
      <w:pPr>
        <w:spacing w:after="0" w:line="240" w:lineRule="auto"/>
        <w:ind w:firstLine="709"/>
        <w:jc w:val="both"/>
        <w:rPr>
          <w:rFonts w:ascii="Times New Roman" w:hAnsi="Times New Roman"/>
          <w:b/>
          <w:sz w:val="28"/>
          <w:szCs w:val="28"/>
        </w:rPr>
      </w:pPr>
      <w:r w:rsidRPr="00EE4D0D">
        <w:rPr>
          <w:rFonts w:ascii="Times New Roman" w:hAnsi="Times New Roman"/>
          <w:b/>
          <w:sz w:val="28"/>
          <w:szCs w:val="28"/>
        </w:rPr>
        <w:lastRenderedPageBreak/>
        <w:t>5. Изпълнение на наказанията и другите принудителни мерки.</w:t>
      </w:r>
    </w:p>
    <w:p w:rsidR="00626B1A" w:rsidRPr="00EE4D0D" w:rsidRDefault="00626B1A" w:rsidP="00DA0A59">
      <w:pPr>
        <w:spacing w:after="0" w:line="240" w:lineRule="auto"/>
        <w:ind w:firstLine="709"/>
        <w:jc w:val="both"/>
        <w:rPr>
          <w:rFonts w:ascii="Times New Roman" w:hAnsi="Times New Roman"/>
          <w:sz w:val="28"/>
          <w:szCs w:val="28"/>
        </w:rPr>
      </w:pPr>
    </w:p>
    <w:p w:rsidR="007B5942" w:rsidRPr="007B5942" w:rsidRDefault="007B5942" w:rsidP="0029084D">
      <w:pPr>
        <w:ind w:firstLine="709"/>
        <w:jc w:val="both"/>
        <w:rPr>
          <w:rFonts w:ascii="Times New Roman" w:hAnsi="Times New Roman"/>
          <w:b/>
          <w:sz w:val="28"/>
          <w:szCs w:val="28"/>
        </w:rPr>
      </w:pPr>
      <w:r w:rsidRPr="007B5942">
        <w:rPr>
          <w:rFonts w:ascii="Times New Roman" w:hAnsi="Times New Roman"/>
          <w:b/>
          <w:sz w:val="28"/>
          <w:szCs w:val="28"/>
        </w:rPr>
        <w:t>Привеждане на присъди в изпълнение – по лица:</w:t>
      </w:r>
    </w:p>
    <w:p w:rsidR="007B5942" w:rsidRPr="007B5942" w:rsidRDefault="007B5942" w:rsidP="008C1A38">
      <w:pPr>
        <w:spacing w:after="0" w:line="240" w:lineRule="auto"/>
        <w:ind w:firstLine="709"/>
        <w:jc w:val="both"/>
        <w:rPr>
          <w:rFonts w:ascii="Times New Roman" w:hAnsi="Times New Roman"/>
          <w:sz w:val="28"/>
          <w:szCs w:val="28"/>
        </w:rPr>
      </w:pPr>
      <w:r w:rsidRPr="007B5942">
        <w:rPr>
          <w:rFonts w:ascii="Times New Roman" w:hAnsi="Times New Roman"/>
          <w:sz w:val="28"/>
          <w:szCs w:val="28"/>
        </w:rPr>
        <w:t>През 2019г. в Разградски съдебен  регион са получени за изпълнение влезли в сила съдебни актове срещу 356 лица. Техният брой се е запазил в сравнение с 2018г., когато са били 355, и е намалял с 6,6% спрямо 2017г., когато са били 381.</w:t>
      </w:r>
    </w:p>
    <w:p w:rsidR="007B5942" w:rsidRPr="007B5942" w:rsidRDefault="007B5942" w:rsidP="008C1A38">
      <w:pPr>
        <w:spacing w:after="0" w:line="240" w:lineRule="auto"/>
        <w:ind w:firstLine="709"/>
        <w:jc w:val="both"/>
        <w:rPr>
          <w:rFonts w:ascii="Times New Roman" w:hAnsi="Times New Roman"/>
          <w:sz w:val="28"/>
          <w:szCs w:val="28"/>
        </w:rPr>
      </w:pPr>
      <w:r w:rsidRPr="007B5942">
        <w:rPr>
          <w:rFonts w:ascii="Times New Roman" w:hAnsi="Times New Roman"/>
          <w:sz w:val="28"/>
          <w:szCs w:val="28"/>
        </w:rPr>
        <w:t>През 2019г. в Разградски съдебен район са осъдени 655 лица  (2018г.- 656; 2017г. – 799), а влезлите в сила осъдителни и санкционни решения са по отношение на 724 лица (2018г. – 691; 2017г. – 806). Получени са за привеждане в изпълнение влезли в сила съдебни актове по отношение на 356 лица (2018г. – 355; 2017г. – 381) с общо 378 наказания (2018г. – 365; 2017г. – 397).</w:t>
      </w:r>
    </w:p>
    <w:p w:rsidR="008C1A38" w:rsidRDefault="007B5942" w:rsidP="008C1A38">
      <w:pPr>
        <w:spacing w:after="0" w:line="240" w:lineRule="auto"/>
        <w:ind w:firstLine="709"/>
        <w:jc w:val="both"/>
        <w:rPr>
          <w:rFonts w:ascii="Times New Roman" w:hAnsi="Times New Roman"/>
          <w:sz w:val="28"/>
          <w:szCs w:val="28"/>
        </w:rPr>
      </w:pPr>
      <w:r w:rsidRPr="007B5942">
        <w:rPr>
          <w:rFonts w:ascii="Times New Roman" w:hAnsi="Times New Roman"/>
          <w:sz w:val="28"/>
          <w:szCs w:val="28"/>
        </w:rPr>
        <w:t>Наказанията се разпределят както следва:</w:t>
      </w:r>
    </w:p>
    <w:p w:rsidR="007B5942" w:rsidRPr="008C1A38" w:rsidRDefault="007B5942" w:rsidP="008C1A38">
      <w:pPr>
        <w:pStyle w:val="a9"/>
        <w:numPr>
          <w:ilvl w:val="0"/>
          <w:numId w:val="13"/>
        </w:numPr>
        <w:tabs>
          <w:tab w:val="left" w:pos="851"/>
        </w:tabs>
        <w:spacing w:after="0" w:line="240" w:lineRule="auto"/>
        <w:ind w:left="0" w:firstLine="709"/>
        <w:jc w:val="both"/>
        <w:rPr>
          <w:rFonts w:ascii="Times New Roman" w:hAnsi="Times New Roman"/>
          <w:sz w:val="28"/>
          <w:szCs w:val="28"/>
        </w:rPr>
      </w:pPr>
      <w:r w:rsidRPr="008C1A38">
        <w:rPr>
          <w:rFonts w:ascii="Times New Roman" w:hAnsi="Times New Roman"/>
          <w:sz w:val="28"/>
          <w:szCs w:val="28"/>
        </w:rPr>
        <w:t>няма лица с наложено наказание доживотен затвор (през 2018г. – 1 лице или 0,27%; през 2017г. - няма);</w:t>
      </w:r>
    </w:p>
    <w:p w:rsidR="007B5942" w:rsidRPr="007B5942" w:rsidRDefault="007B5942" w:rsidP="008C1A38">
      <w:pPr>
        <w:numPr>
          <w:ilvl w:val="0"/>
          <w:numId w:val="13"/>
        </w:numPr>
        <w:tabs>
          <w:tab w:val="left" w:pos="851"/>
        </w:tabs>
        <w:spacing w:after="0" w:line="240" w:lineRule="auto"/>
        <w:ind w:left="0" w:firstLine="709"/>
        <w:jc w:val="both"/>
        <w:rPr>
          <w:rFonts w:ascii="Times New Roman" w:hAnsi="Times New Roman"/>
          <w:sz w:val="28"/>
          <w:szCs w:val="28"/>
        </w:rPr>
      </w:pPr>
      <w:r w:rsidRPr="007B5942">
        <w:rPr>
          <w:rFonts w:ascii="Times New Roman" w:hAnsi="Times New Roman"/>
          <w:sz w:val="28"/>
          <w:szCs w:val="28"/>
        </w:rPr>
        <w:t>109 лица с наложено наказание лишаване от свобода или 28,8% от общия брой получени за изпълнение наказания по лица (през 2018г. – 125 лица или 34,25%; през 2017г. – 118 лица или 29,72%;);</w:t>
      </w:r>
    </w:p>
    <w:p w:rsidR="007B5942" w:rsidRPr="007B5942" w:rsidRDefault="007B5942" w:rsidP="008C1A38">
      <w:pPr>
        <w:numPr>
          <w:ilvl w:val="0"/>
          <w:numId w:val="13"/>
        </w:numPr>
        <w:tabs>
          <w:tab w:val="left" w:pos="851"/>
        </w:tabs>
        <w:spacing w:after="0" w:line="240" w:lineRule="auto"/>
        <w:ind w:left="0" w:firstLine="709"/>
        <w:jc w:val="both"/>
        <w:rPr>
          <w:rFonts w:ascii="Times New Roman" w:hAnsi="Times New Roman"/>
          <w:sz w:val="28"/>
          <w:szCs w:val="28"/>
        </w:rPr>
      </w:pPr>
      <w:r w:rsidRPr="007B5942">
        <w:rPr>
          <w:rFonts w:ascii="Times New Roman" w:hAnsi="Times New Roman"/>
          <w:sz w:val="28"/>
          <w:szCs w:val="28"/>
        </w:rPr>
        <w:t>113 лица с наложено наказание лишаване от права – 29,9% (през 2018г. – 118 лица или 32,33%, през 2017г. – 86 лица или 21,67%);</w:t>
      </w:r>
    </w:p>
    <w:p w:rsidR="007B5942" w:rsidRPr="007B5942" w:rsidRDefault="007B5942" w:rsidP="008C1A38">
      <w:pPr>
        <w:numPr>
          <w:ilvl w:val="0"/>
          <w:numId w:val="13"/>
        </w:numPr>
        <w:tabs>
          <w:tab w:val="left" w:pos="851"/>
        </w:tabs>
        <w:spacing w:after="0" w:line="240" w:lineRule="auto"/>
        <w:ind w:left="0" w:firstLine="709"/>
        <w:jc w:val="both"/>
        <w:rPr>
          <w:rFonts w:ascii="Times New Roman" w:hAnsi="Times New Roman"/>
          <w:sz w:val="28"/>
          <w:szCs w:val="28"/>
        </w:rPr>
      </w:pPr>
      <w:r w:rsidRPr="007B5942">
        <w:rPr>
          <w:rFonts w:ascii="Times New Roman" w:hAnsi="Times New Roman"/>
          <w:sz w:val="28"/>
          <w:szCs w:val="28"/>
        </w:rPr>
        <w:t xml:space="preserve">125 лица с наложено  наказание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 xml:space="preserve"> – 33,1% (2018г. – 108 или 29,6 %; 2017г. – 162 или 40,8%;);</w:t>
      </w:r>
    </w:p>
    <w:p w:rsidR="007B5942" w:rsidRPr="007B5942" w:rsidRDefault="007B5942" w:rsidP="008C1A38">
      <w:pPr>
        <w:numPr>
          <w:ilvl w:val="0"/>
          <w:numId w:val="13"/>
        </w:numPr>
        <w:tabs>
          <w:tab w:val="left" w:pos="851"/>
        </w:tabs>
        <w:spacing w:after="0" w:line="240" w:lineRule="auto"/>
        <w:ind w:left="0" w:firstLine="709"/>
        <w:jc w:val="both"/>
        <w:rPr>
          <w:rFonts w:ascii="Times New Roman" w:hAnsi="Times New Roman"/>
          <w:sz w:val="28"/>
          <w:szCs w:val="28"/>
        </w:rPr>
      </w:pPr>
      <w:r w:rsidRPr="007B5942">
        <w:rPr>
          <w:rFonts w:ascii="Times New Roman" w:hAnsi="Times New Roman"/>
          <w:sz w:val="28"/>
          <w:szCs w:val="28"/>
        </w:rPr>
        <w:t>31 лица с наложено наказание обществено порицание – 8,2% от общия брой получени за изпълнение наказания по лица (2018г. – 13 или 3,6%; 2017г. – 31 или 7,8%).</w:t>
      </w:r>
    </w:p>
    <w:p w:rsidR="007B5942" w:rsidRDefault="007B5942" w:rsidP="008C1A38">
      <w:pPr>
        <w:spacing w:after="0" w:line="240" w:lineRule="auto"/>
        <w:ind w:firstLine="709"/>
        <w:jc w:val="both"/>
        <w:rPr>
          <w:rFonts w:ascii="Times New Roman" w:hAnsi="Times New Roman"/>
          <w:sz w:val="28"/>
          <w:szCs w:val="28"/>
        </w:rPr>
      </w:pPr>
      <w:r w:rsidRPr="007B5942">
        <w:rPr>
          <w:rFonts w:ascii="Times New Roman" w:hAnsi="Times New Roman"/>
          <w:sz w:val="28"/>
          <w:szCs w:val="28"/>
        </w:rPr>
        <w:t>Получени за изпълнение присъди по видове наказания и по прокуратури:</w:t>
      </w:r>
    </w:p>
    <w:p w:rsidR="0029084D" w:rsidRPr="007B5942" w:rsidRDefault="0029084D" w:rsidP="008C1A38">
      <w:pPr>
        <w:spacing w:after="0" w:line="240" w:lineRule="auto"/>
        <w:ind w:firstLine="709"/>
        <w:jc w:val="both"/>
        <w:rPr>
          <w:rFonts w:ascii="Times New Roman" w:hAnsi="Times New Roman"/>
          <w:sz w:val="28"/>
          <w:szCs w:val="28"/>
        </w:rPr>
      </w:pPr>
    </w:p>
    <w:p w:rsidR="007B5942" w:rsidRPr="007B5942" w:rsidRDefault="007B5942" w:rsidP="00C92F06">
      <w:pPr>
        <w:ind w:right="-22"/>
        <w:jc w:val="both"/>
        <w:rPr>
          <w:rFonts w:ascii="Times New Roman" w:hAnsi="Times New Roman"/>
          <w:sz w:val="28"/>
          <w:szCs w:val="28"/>
        </w:rPr>
      </w:pPr>
      <w:r w:rsidRPr="007B5942">
        <w:rPr>
          <w:rFonts w:ascii="Times New Roman" w:hAnsi="Times New Roman"/>
          <w:noProof/>
          <w:sz w:val="28"/>
          <w:szCs w:val="28"/>
          <w:lang w:eastAsia="bg-BG"/>
        </w:rPr>
        <w:drawing>
          <wp:inline distT="0" distB="0" distL="0" distR="0" wp14:anchorId="72A50B36" wp14:editId="40AC0BCE">
            <wp:extent cx="5848350" cy="2171700"/>
            <wp:effectExtent l="0" t="0" r="19050" b="19050"/>
            <wp:docPr id="66" name="Диаграма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B5942" w:rsidRPr="007B5942" w:rsidRDefault="007B5942" w:rsidP="008C1A38">
      <w:pPr>
        <w:ind w:firstLine="709"/>
        <w:jc w:val="both"/>
        <w:rPr>
          <w:rFonts w:ascii="Times New Roman" w:hAnsi="Times New Roman"/>
          <w:sz w:val="28"/>
          <w:szCs w:val="28"/>
        </w:rPr>
      </w:pPr>
      <w:r w:rsidRPr="007B5942">
        <w:rPr>
          <w:rFonts w:ascii="Times New Roman" w:hAnsi="Times New Roman"/>
          <w:sz w:val="28"/>
          <w:szCs w:val="28"/>
        </w:rPr>
        <w:t>Фиг.4</w:t>
      </w:r>
      <w:r w:rsidR="0029084D">
        <w:rPr>
          <w:rFonts w:ascii="Times New Roman" w:hAnsi="Times New Roman"/>
          <w:sz w:val="28"/>
          <w:szCs w:val="28"/>
        </w:rPr>
        <w:t>0</w:t>
      </w:r>
      <w:r w:rsidRPr="007B5942">
        <w:rPr>
          <w:rFonts w:ascii="Times New Roman" w:hAnsi="Times New Roman"/>
          <w:sz w:val="28"/>
          <w:szCs w:val="28"/>
        </w:rPr>
        <w:t>. Получени за изпълнение присъди по видове наказания и по прокуратури.</w:t>
      </w:r>
    </w:p>
    <w:p w:rsidR="007B5942" w:rsidRPr="007B5942" w:rsidRDefault="007B5942" w:rsidP="007B5942">
      <w:pPr>
        <w:jc w:val="both"/>
        <w:rPr>
          <w:rFonts w:ascii="Times New Roman" w:hAnsi="Times New Roman"/>
          <w:sz w:val="28"/>
          <w:szCs w:val="28"/>
        </w:rPr>
      </w:pPr>
    </w:p>
    <w:p w:rsidR="007B5942" w:rsidRPr="007B5942" w:rsidRDefault="007B5942" w:rsidP="0029084D">
      <w:pPr>
        <w:spacing w:after="0" w:line="240" w:lineRule="auto"/>
        <w:ind w:firstLine="709"/>
        <w:jc w:val="both"/>
        <w:rPr>
          <w:rFonts w:ascii="Times New Roman" w:hAnsi="Times New Roman"/>
          <w:sz w:val="28"/>
          <w:szCs w:val="28"/>
        </w:rPr>
      </w:pPr>
      <w:r w:rsidRPr="007B5942">
        <w:rPr>
          <w:rFonts w:ascii="Times New Roman" w:hAnsi="Times New Roman"/>
          <w:sz w:val="28"/>
          <w:szCs w:val="28"/>
          <w:u w:val="single"/>
        </w:rPr>
        <w:lastRenderedPageBreak/>
        <w:t>В Окръжна прокуратура – Разград</w:t>
      </w:r>
      <w:r w:rsidRPr="007B5942">
        <w:rPr>
          <w:rFonts w:ascii="Times New Roman" w:hAnsi="Times New Roman"/>
          <w:sz w:val="28"/>
          <w:szCs w:val="28"/>
        </w:rPr>
        <w:t xml:space="preserve"> от получените за изпълнение 16 присъди и определения по споразумения, наказание лишаване от свобода е било постановено по отношение на 9 лица, наказание лишаване от права по отношение на 8 лица и 2 лица са с наложено наказание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w:t>
      </w:r>
    </w:p>
    <w:p w:rsidR="007B5942" w:rsidRPr="007B5942" w:rsidRDefault="007B5942" w:rsidP="0029084D">
      <w:pPr>
        <w:spacing w:after="0" w:line="240" w:lineRule="auto"/>
        <w:ind w:firstLine="709"/>
        <w:jc w:val="both"/>
        <w:rPr>
          <w:rFonts w:ascii="Times New Roman" w:hAnsi="Times New Roman"/>
          <w:sz w:val="28"/>
          <w:szCs w:val="28"/>
        </w:rPr>
      </w:pPr>
      <w:r w:rsidRPr="007B5942">
        <w:rPr>
          <w:rFonts w:ascii="Times New Roman" w:hAnsi="Times New Roman"/>
          <w:sz w:val="28"/>
          <w:szCs w:val="28"/>
        </w:rPr>
        <w:t xml:space="preserve">За 2018г. от получените за изпълнение 35 присъди и определения по споразумения, наказание лишаване от свобода е било постановено по отношение на 21 лица, наказание лишаване от права по отношение на 7 лица и 7 лица са с наложено наказание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w:t>
      </w:r>
    </w:p>
    <w:p w:rsidR="007B5942" w:rsidRPr="007B5942" w:rsidRDefault="007B5942" w:rsidP="00640A63">
      <w:pPr>
        <w:spacing w:after="0" w:line="240" w:lineRule="auto"/>
        <w:ind w:firstLine="709"/>
        <w:jc w:val="both"/>
        <w:rPr>
          <w:rFonts w:ascii="Times New Roman" w:hAnsi="Times New Roman"/>
          <w:sz w:val="28"/>
          <w:szCs w:val="28"/>
        </w:rPr>
      </w:pPr>
      <w:r w:rsidRPr="007B5942">
        <w:rPr>
          <w:rFonts w:ascii="Times New Roman" w:hAnsi="Times New Roman"/>
          <w:sz w:val="28"/>
          <w:szCs w:val="28"/>
        </w:rPr>
        <w:t xml:space="preserve">За 2017 г. от получените за изпълнение 42 присъди и определения по споразумения, наказание лишаване от свобода е било постановено по отношение на 22 лица, наказание лишаване от права по отношение на 3 лица и 15 лица са с наложено наказание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w:t>
      </w:r>
    </w:p>
    <w:p w:rsidR="00640A63" w:rsidRDefault="00640A63" w:rsidP="00640A63">
      <w:pPr>
        <w:spacing w:after="0" w:line="240" w:lineRule="auto"/>
        <w:jc w:val="both"/>
        <w:rPr>
          <w:rFonts w:ascii="Times New Roman" w:hAnsi="Times New Roman"/>
          <w:sz w:val="28"/>
          <w:szCs w:val="28"/>
        </w:rPr>
      </w:pPr>
    </w:p>
    <w:p w:rsidR="007B5942" w:rsidRPr="007B5942" w:rsidRDefault="007B5942" w:rsidP="00640A63">
      <w:pPr>
        <w:spacing w:after="0" w:line="240" w:lineRule="auto"/>
        <w:jc w:val="both"/>
        <w:rPr>
          <w:rFonts w:ascii="Times New Roman" w:hAnsi="Times New Roman"/>
          <w:sz w:val="28"/>
          <w:szCs w:val="28"/>
        </w:rPr>
      </w:pPr>
      <w:r w:rsidRPr="007B5942">
        <w:rPr>
          <w:rFonts w:ascii="Times New Roman" w:hAnsi="Times New Roman"/>
          <w:noProof/>
          <w:sz w:val="28"/>
          <w:szCs w:val="28"/>
          <w:lang w:eastAsia="bg-BG"/>
        </w:rPr>
        <w:drawing>
          <wp:inline distT="0" distB="0" distL="0" distR="0" wp14:anchorId="59416007" wp14:editId="3C0DD3F2">
            <wp:extent cx="5857875" cy="2533650"/>
            <wp:effectExtent l="0" t="0" r="9525" b="19050"/>
            <wp:docPr id="56" name="Диаграма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B5942" w:rsidRPr="007B5942" w:rsidRDefault="00C92F06" w:rsidP="00640A63">
      <w:pPr>
        <w:spacing w:after="0" w:line="240" w:lineRule="auto"/>
        <w:ind w:firstLine="709"/>
        <w:jc w:val="both"/>
        <w:rPr>
          <w:rFonts w:ascii="Times New Roman" w:hAnsi="Times New Roman"/>
          <w:sz w:val="28"/>
          <w:szCs w:val="28"/>
        </w:rPr>
      </w:pPr>
      <w:r>
        <w:rPr>
          <w:rFonts w:ascii="Times New Roman" w:hAnsi="Times New Roman"/>
          <w:sz w:val="28"/>
          <w:szCs w:val="28"/>
        </w:rPr>
        <w:t>Ф</w:t>
      </w:r>
      <w:r w:rsidR="007B5942" w:rsidRPr="007B5942">
        <w:rPr>
          <w:rFonts w:ascii="Times New Roman" w:hAnsi="Times New Roman"/>
          <w:sz w:val="28"/>
          <w:szCs w:val="28"/>
        </w:rPr>
        <w:t>иг.4</w:t>
      </w:r>
      <w:r w:rsidR="00640A63">
        <w:rPr>
          <w:rFonts w:ascii="Times New Roman" w:hAnsi="Times New Roman"/>
          <w:sz w:val="28"/>
          <w:szCs w:val="28"/>
        </w:rPr>
        <w:t>1</w:t>
      </w:r>
      <w:r w:rsidR="007B5942" w:rsidRPr="007B5942">
        <w:rPr>
          <w:rFonts w:ascii="Times New Roman" w:hAnsi="Times New Roman"/>
          <w:sz w:val="28"/>
          <w:szCs w:val="28"/>
        </w:rPr>
        <w:t>. Получени за изпълнение присъди по видове наказания в Окръжна прокуратура - Разград</w:t>
      </w:r>
    </w:p>
    <w:p w:rsidR="007B5942" w:rsidRPr="007B5942" w:rsidRDefault="007B5942" w:rsidP="00640A63">
      <w:pPr>
        <w:spacing w:after="0" w:line="240" w:lineRule="auto"/>
        <w:ind w:firstLine="709"/>
        <w:jc w:val="both"/>
        <w:rPr>
          <w:rFonts w:ascii="Times New Roman" w:hAnsi="Times New Roman"/>
          <w:sz w:val="28"/>
          <w:szCs w:val="28"/>
        </w:rPr>
      </w:pPr>
    </w:p>
    <w:p w:rsidR="007B5942" w:rsidRPr="007B5942" w:rsidRDefault="007B5942" w:rsidP="00640A63">
      <w:pPr>
        <w:spacing w:after="0" w:line="240" w:lineRule="auto"/>
        <w:ind w:firstLine="709"/>
        <w:jc w:val="both"/>
        <w:rPr>
          <w:rFonts w:ascii="Times New Roman" w:hAnsi="Times New Roman"/>
          <w:sz w:val="28"/>
          <w:szCs w:val="28"/>
        </w:rPr>
      </w:pPr>
      <w:r w:rsidRPr="007B5942">
        <w:rPr>
          <w:rFonts w:ascii="Times New Roman" w:hAnsi="Times New Roman"/>
          <w:sz w:val="28"/>
          <w:szCs w:val="28"/>
        </w:rPr>
        <w:t>Налице е изразена тенденция на спад на получените  за изпълнение присъди в сравнение с предходните две години, което се дължи и на намаления брой прокурорски актове внесени в съда  спрямо 2018г. и 2017г.</w:t>
      </w:r>
    </w:p>
    <w:p w:rsidR="007B5942" w:rsidRPr="007B5942" w:rsidRDefault="007B5942" w:rsidP="00640A63">
      <w:pPr>
        <w:spacing w:after="0" w:line="240" w:lineRule="auto"/>
        <w:ind w:firstLine="709"/>
        <w:jc w:val="both"/>
        <w:rPr>
          <w:rFonts w:ascii="Times New Roman" w:hAnsi="Times New Roman"/>
          <w:sz w:val="28"/>
          <w:szCs w:val="28"/>
        </w:rPr>
      </w:pPr>
      <w:r w:rsidRPr="007B5942">
        <w:rPr>
          <w:rFonts w:ascii="Times New Roman" w:hAnsi="Times New Roman"/>
          <w:sz w:val="28"/>
          <w:szCs w:val="28"/>
        </w:rPr>
        <w:t xml:space="preserve">Налице  е изразена тенденция на спад и на съдебните актове с наложено наказание лишаване от свобода и наказание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 xml:space="preserve"> в сравнение с предходните две години. По отношение на наложеното наказание лишаване от права се забелязва тенденция на увеличение.</w:t>
      </w:r>
    </w:p>
    <w:p w:rsidR="007B5942" w:rsidRPr="007B5942" w:rsidRDefault="007B5942" w:rsidP="00C92F06">
      <w:pPr>
        <w:spacing w:after="0" w:line="240" w:lineRule="auto"/>
        <w:ind w:firstLine="709"/>
        <w:jc w:val="both"/>
        <w:rPr>
          <w:rFonts w:ascii="Times New Roman" w:hAnsi="Times New Roman"/>
          <w:sz w:val="28"/>
          <w:szCs w:val="28"/>
        </w:rPr>
      </w:pPr>
    </w:p>
    <w:p w:rsidR="007B5942" w:rsidRPr="007B5942" w:rsidRDefault="007B5942" w:rsidP="00C92F06">
      <w:pPr>
        <w:spacing w:after="0" w:line="240" w:lineRule="auto"/>
        <w:ind w:firstLine="709"/>
        <w:jc w:val="both"/>
        <w:rPr>
          <w:rFonts w:ascii="Times New Roman" w:hAnsi="Times New Roman"/>
          <w:sz w:val="28"/>
          <w:szCs w:val="28"/>
        </w:rPr>
      </w:pPr>
      <w:r w:rsidRPr="007B5942">
        <w:rPr>
          <w:rFonts w:ascii="Times New Roman" w:hAnsi="Times New Roman"/>
          <w:sz w:val="28"/>
          <w:szCs w:val="28"/>
          <w:u w:val="single"/>
        </w:rPr>
        <w:t>В Районна прокуратура – Разград</w:t>
      </w:r>
      <w:r w:rsidRPr="007B5942">
        <w:rPr>
          <w:rFonts w:ascii="Times New Roman" w:hAnsi="Times New Roman"/>
          <w:sz w:val="28"/>
          <w:szCs w:val="28"/>
        </w:rPr>
        <w:t xml:space="preserve"> получените за изпълнение присъди и споразумения /по лица/ през отчетната 2019г. по видове наказания е както следва:</w:t>
      </w:r>
    </w:p>
    <w:p w:rsidR="007B5942" w:rsidRPr="007B5942" w:rsidRDefault="007B5942" w:rsidP="00C92F06">
      <w:pPr>
        <w:pStyle w:val="a9"/>
        <w:numPr>
          <w:ilvl w:val="0"/>
          <w:numId w:val="13"/>
        </w:numPr>
        <w:tabs>
          <w:tab w:val="left" w:pos="993"/>
        </w:tabs>
        <w:spacing w:after="0" w:line="240" w:lineRule="auto"/>
        <w:ind w:left="0" w:firstLine="709"/>
        <w:jc w:val="both"/>
        <w:rPr>
          <w:rFonts w:ascii="Times New Roman" w:hAnsi="Times New Roman"/>
          <w:sz w:val="28"/>
          <w:szCs w:val="28"/>
        </w:rPr>
      </w:pPr>
      <w:r w:rsidRPr="007B5942">
        <w:rPr>
          <w:rFonts w:ascii="Times New Roman" w:hAnsi="Times New Roman"/>
          <w:sz w:val="28"/>
          <w:szCs w:val="28"/>
        </w:rPr>
        <w:t xml:space="preserve">Наказание лишаване от свобода  е било постановено по отношение на 51 лица /през 2018 г.  получените за изпълнение присъди  с наложено наказание лишаване от свобода  са били по отношение на  41 лица, а през 2017 г. по отношение на  40 лица/. </w:t>
      </w:r>
    </w:p>
    <w:p w:rsidR="007B5942" w:rsidRPr="007B5942" w:rsidRDefault="007B5942" w:rsidP="00C92F06">
      <w:pPr>
        <w:pStyle w:val="a9"/>
        <w:numPr>
          <w:ilvl w:val="0"/>
          <w:numId w:val="13"/>
        </w:numPr>
        <w:tabs>
          <w:tab w:val="left" w:pos="993"/>
        </w:tabs>
        <w:spacing w:after="0" w:line="240" w:lineRule="auto"/>
        <w:ind w:left="0" w:firstLine="709"/>
        <w:jc w:val="both"/>
        <w:rPr>
          <w:rFonts w:ascii="Times New Roman" w:hAnsi="Times New Roman"/>
          <w:sz w:val="28"/>
          <w:szCs w:val="28"/>
        </w:rPr>
      </w:pPr>
      <w:r w:rsidRPr="007B5942">
        <w:rPr>
          <w:rFonts w:ascii="Times New Roman" w:hAnsi="Times New Roman"/>
          <w:sz w:val="28"/>
          <w:szCs w:val="28"/>
        </w:rPr>
        <w:t xml:space="preserve">Наказание  лишаване от права по чл.37, ал.1, т. 6-10 от НК  е било постановено   по отношение на 62 лица. Техният  брой през отчетният период се е увеличил значително, тъй като през 2018г. получените за </w:t>
      </w:r>
      <w:r w:rsidRPr="007B5942">
        <w:rPr>
          <w:rFonts w:ascii="Times New Roman" w:hAnsi="Times New Roman"/>
          <w:sz w:val="28"/>
          <w:szCs w:val="28"/>
        </w:rPr>
        <w:lastRenderedPageBreak/>
        <w:t>изпълнение присъди  с наложено наказание лишаване от права са били по отношение на  58 лица, а през 2017 г. – по отношение на  37 лица.</w:t>
      </w:r>
    </w:p>
    <w:p w:rsidR="007B5942" w:rsidRPr="007B5942" w:rsidRDefault="007B5942" w:rsidP="00C92F06">
      <w:pPr>
        <w:pStyle w:val="a9"/>
        <w:numPr>
          <w:ilvl w:val="0"/>
          <w:numId w:val="13"/>
        </w:numPr>
        <w:tabs>
          <w:tab w:val="left" w:pos="993"/>
        </w:tabs>
        <w:spacing w:after="0" w:line="240" w:lineRule="auto"/>
        <w:ind w:left="0" w:firstLine="709"/>
        <w:jc w:val="both"/>
        <w:rPr>
          <w:rFonts w:ascii="Times New Roman" w:hAnsi="Times New Roman"/>
          <w:sz w:val="28"/>
          <w:szCs w:val="28"/>
        </w:rPr>
      </w:pPr>
      <w:r w:rsidRPr="007B5942">
        <w:rPr>
          <w:rFonts w:ascii="Times New Roman" w:hAnsi="Times New Roman"/>
          <w:sz w:val="28"/>
          <w:szCs w:val="28"/>
        </w:rPr>
        <w:t xml:space="preserve">Наказание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 xml:space="preserve">  е било постановено по отношение на 57 лица /през 2018г.  получените за изпълнение присъди  с наложено наказание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 xml:space="preserve">  са били по отношение на  33 лица, а през 2017 г. –по отношение на  55 лица/.</w:t>
      </w:r>
    </w:p>
    <w:p w:rsidR="007B5942" w:rsidRPr="007B5942" w:rsidRDefault="007B5942" w:rsidP="00280F5C">
      <w:pPr>
        <w:pStyle w:val="a9"/>
        <w:numPr>
          <w:ilvl w:val="0"/>
          <w:numId w:val="13"/>
        </w:numPr>
        <w:tabs>
          <w:tab w:val="left" w:pos="993"/>
        </w:tabs>
        <w:spacing w:after="0" w:line="240" w:lineRule="auto"/>
        <w:ind w:left="0" w:firstLine="709"/>
        <w:jc w:val="both"/>
        <w:rPr>
          <w:rFonts w:ascii="Times New Roman" w:hAnsi="Times New Roman"/>
          <w:sz w:val="28"/>
          <w:szCs w:val="28"/>
        </w:rPr>
      </w:pPr>
      <w:r w:rsidRPr="007B5942">
        <w:rPr>
          <w:rFonts w:ascii="Times New Roman" w:hAnsi="Times New Roman"/>
          <w:sz w:val="28"/>
          <w:szCs w:val="28"/>
        </w:rPr>
        <w:t>Наказание обществено порицание  е било постановено по отношение на 10 лица. Техният  брой през отчетният период  също се е увеличил значително, тъй като през 2018г. получените за изпълнение присъди  с наложено наказание обществено порицание  са били по отношение на  5 лица, а през 2017 г. по отношение на  8 лица.</w:t>
      </w:r>
    </w:p>
    <w:p w:rsidR="007B5942" w:rsidRPr="007B5942" w:rsidRDefault="007B5942" w:rsidP="00280F5C">
      <w:pPr>
        <w:tabs>
          <w:tab w:val="left" w:pos="993"/>
        </w:tabs>
        <w:spacing w:after="0" w:line="240" w:lineRule="auto"/>
        <w:ind w:firstLine="709"/>
        <w:jc w:val="both"/>
        <w:rPr>
          <w:rFonts w:ascii="Times New Roman" w:hAnsi="Times New Roman"/>
          <w:sz w:val="28"/>
          <w:szCs w:val="28"/>
        </w:rPr>
      </w:pPr>
    </w:p>
    <w:p w:rsidR="007B5942" w:rsidRPr="007B5942" w:rsidRDefault="007B5942" w:rsidP="00280F5C">
      <w:pPr>
        <w:tabs>
          <w:tab w:val="left" w:pos="993"/>
        </w:tabs>
        <w:spacing w:after="0" w:line="240" w:lineRule="auto"/>
        <w:jc w:val="both"/>
        <w:rPr>
          <w:rFonts w:ascii="Times New Roman" w:hAnsi="Times New Roman"/>
          <w:sz w:val="28"/>
          <w:szCs w:val="28"/>
        </w:rPr>
      </w:pPr>
      <w:r w:rsidRPr="007B5942">
        <w:rPr>
          <w:rFonts w:ascii="Times New Roman" w:hAnsi="Times New Roman"/>
          <w:noProof/>
          <w:sz w:val="28"/>
          <w:szCs w:val="28"/>
          <w:lang w:eastAsia="bg-BG"/>
        </w:rPr>
        <w:drawing>
          <wp:inline distT="0" distB="0" distL="0" distR="0" wp14:anchorId="21A04677" wp14:editId="1CBC082B">
            <wp:extent cx="6029325" cy="2876550"/>
            <wp:effectExtent l="0" t="0" r="9525" b="19050"/>
            <wp:docPr id="41" name="Диагра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B5942" w:rsidRDefault="00BD4F32" w:rsidP="00280F5C">
      <w:pPr>
        <w:spacing w:after="0" w:line="240" w:lineRule="auto"/>
        <w:ind w:firstLine="709"/>
        <w:jc w:val="both"/>
        <w:rPr>
          <w:rFonts w:ascii="Times New Roman" w:hAnsi="Times New Roman"/>
          <w:sz w:val="28"/>
          <w:szCs w:val="28"/>
        </w:rPr>
      </w:pPr>
      <w:r>
        <w:rPr>
          <w:rFonts w:ascii="Times New Roman" w:hAnsi="Times New Roman"/>
          <w:sz w:val="28"/>
          <w:szCs w:val="28"/>
        </w:rPr>
        <w:t>Ф</w:t>
      </w:r>
      <w:r w:rsidR="007B5942" w:rsidRPr="007B5942">
        <w:rPr>
          <w:rFonts w:ascii="Times New Roman" w:hAnsi="Times New Roman"/>
          <w:sz w:val="28"/>
          <w:szCs w:val="28"/>
        </w:rPr>
        <w:t>иг.4</w:t>
      </w:r>
      <w:r w:rsidR="00280F5C">
        <w:rPr>
          <w:rFonts w:ascii="Times New Roman" w:hAnsi="Times New Roman"/>
          <w:sz w:val="28"/>
          <w:szCs w:val="28"/>
        </w:rPr>
        <w:t>2</w:t>
      </w:r>
      <w:r w:rsidR="007B5942" w:rsidRPr="007B5942">
        <w:rPr>
          <w:rFonts w:ascii="Times New Roman" w:hAnsi="Times New Roman"/>
          <w:sz w:val="28"/>
          <w:szCs w:val="28"/>
        </w:rPr>
        <w:t>. Получени за изпълнение присъди по видове наказания в Районна прокуратура – Разград</w:t>
      </w:r>
      <w:r w:rsidR="00280F5C">
        <w:rPr>
          <w:rFonts w:ascii="Times New Roman" w:hAnsi="Times New Roman"/>
          <w:sz w:val="28"/>
          <w:szCs w:val="28"/>
        </w:rPr>
        <w:t>.</w:t>
      </w:r>
    </w:p>
    <w:p w:rsidR="00280F5C" w:rsidRPr="007B5942" w:rsidRDefault="00280F5C" w:rsidP="00280F5C">
      <w:pPr>
        <w:spacing w:after="0" w:line="240" w:lineRule="auto"/>
        <w:ind w:firstLine="709"/>
        <w:jc w:val="both"/>
        <w:rPr>
          <w:rFonts w:ascii="Times New Roman" w:hAnsi="Times New Roman"/>
          <w:sz w:val="28"/>
          <w:szCs w:val="28"/>
        </w:rPr>
      </w:pP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Налице е изразена тенденция на увеличение на получените  за изпълнение съдебните актове с наложено наказание лишаване от свобода и наказание лишаване от права в сравнение с предходните две години.</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 xml:space="preserve">В сравнение с 2018г. се наблюдава значително увеличаване на броя на лицата, на които е било наложено наказание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 xml:space="preserve">. </w:t>
      </w:r>
    </w:p>
    <w:p w:rsidR="007B5942" w:rsidRPr="007B5942" w:rsidRDefault="007B5942" w:rsidP="00BD4F32">
      <w:pPr>
        <w:spacing w:after="0" w:line="240" w:lineRule="auto"/>
        <w:ind w:firstLine="851"/>
        <w:jc w:val="both"/>
        <w:rPr>
          <w:rFonts w:ascii="Times New Roman" w:hAnsi="Times New Roman"/>
          <w:sz w:val="28"/>
          <w:szCs w:val="28"/>
        </w:rPr>
      </w:pPr>
    </w:p>
    <w:p w:rsidR="007B5942" w:rsidRPr="007B5942" w:rsidRDefault="007B5942" w:rsidP="00BD4F32">
      <w:pPr>
        <w:spacing w:after="0" w:line="240" w:lineRule="auto"/>
        <w:ind w:firstLine="851"/>
        <w:jc w:val="both"/>
        <w:rPr>
          <w:rFonts w:ascii="Times New Roman" w:hAnsi="Times New Roman"/>
          <w:sz w:val="28"/>
          <w:szCs w:val="28"/>
        </w:rPr>
      </w:pPr>
      <w:r w:rsidRPr="007B5942">
        <w:rPr>
          <w:rFonts w:ascii="Times New Roman" w:hAnsi="Times New Roman"/>
          <w:sz w:val="28"/>
          <w:szCs w:val="28"/>
          <w:u w:val="single"/>
        </w:rPr>
        <w:t>В Районна прокуратура – Исперих</w:t>
      </w:r>
      <w:r w:rsidRPr="007B5942">
        <w:rPr>
          <w:rFonts w:ascii="Times New Roman" w:hAnsi="Times New Roman"/>
          <w:sz w:val="28"/>
          <w:szCs w:val="28"/>
        </w:rPr>
        <w:t xml:space="preserve"> от получените за изпълнение 83 присъди и определения по споразумения, 34 бр. са били с наказание лишаване от свобода, 32 бр. с наказание лишаване от права, 20 бр. с наказание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 xml:space="preserve"> и 3 бр. с наказание обществено порицание. </w:t>
      </w:r>
    </w:p>
    <w:p w:rsidR="007B5942" w:rsidRPr="007B5942" w:rsidRDefault="007B5942" w:rsidP="00BD4F32">
      <w:pPr>
        <w:spacing w:after="0" w:line="240" w:lineRule="auto"/>
        <w:ind w:firstLine="851"/>
        <w:jc w:val="both"/>
        <w:rPr>
          <w:rFonts w:ascii="Times New Roman" w:hAnsi="Times New Roman"/>
          <w:sz w:val="28"/>
          <w:szCs w:val="28"/>
        </w:rPr>
      </w:pPr>
      <w:r w:rsidRPr="007B5942">
        <w:rPr>
          <w:rFonts w:ascii="Times New Roman" w:hAnsi="Times New Roman"/>
          <w:sz w:val="28"/>
          <w:szCs w:val="28"/>
        </w:rPr>
        <w:t xml:space="preserve">За 2018г. от получените за изпълнение 107 присъди и определения по споразумения 25 бр. са били с наказание лишаване от свобода, 36 бр. с наказание лишаване от права, 41 бр. с наказание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 xml:space="preserve"> и 5 бр. с наказание обществено порицание. </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 xml:space="preserve">За 2017 г. от получените за изпълнение 124 присъди и определения по споразумения 31 бр.са били с наказание лишаване от свобода, 36 бр. с </w:t>
      </w:r>
      <w:r w:rsidRPr="007B5942">
        <w:rPr>
          <w:rFonts w:ascii="Times New Roman" w:hAnsi="Times New Roman"/>
          <w:sz w:val="28"/>
          <w:szCs w:val="28"/>
        </w:rPr>
        <w:lastRenderedPageBreak/>
        <w:t xml:space="preserve">наказание лишаване от права, 61 бр. с наказание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 xml:space="preserve"> и 12 бр. с наказание обществено порицание.</w:t>
      </w:r>
    </w:p>
    <w:p w:rsidR="007B5942" w:rsidRPr="007B5942" w:rsidRDefault="007B5942" w:rsidP="00280F5C">
      <w:pPr>
        <w:spacing w:after="0" w:line="240" w:lineRule="auto"/>
        <w:ind w:firstLine="851"/>
        <w:jc w:val="both"/>
        <w:rPr>
          <w:rFonts w:ascii="Times New Roman" w:hAnsi="Times New Roman"/>
          <w:sz w:val="28"/>
          <w:szCs w:val="28"/>
        </w:rPr>
      </w:pPr>
    </w:p>
    <w:p w:rsidR="007B5942" w:rsidRPr="007B5942" w:rsidRDefault="007B5942" w:rsidP="00280F5C">
      <w:pPr>
        <w:spacing w:after="0" w:line="240" w:lineRule="auto"/>
        <w:jc w:val="both"/>
        <w:rPr>
          <w:rFonts w:ascii="Times New Roman" w:hAnsi="Times New Roman"/>
          <w:sz w:val="28"/>
          <w:szCs w:val="28"/>
        </w:rPr>
      </w:pPr>
      <w:r w:rsidRPr="007B5942">
        <w:rPr>
          <w:rFonts w:ascii="Times New Roman" w:hAnsi="Times New Roman"/>
          <w:noProof/>
          <w:sz w:val="28"/>
          <w:szCs w:val="28"/>
          <w:lang w:eastAsia="bg-BG"/>
        </w:rPr>
        <w:drawing>
          <wp:inline distT="0" distB="0" distL="0" distR="0" wp14:anchorId="1D1D4C95" wp14:editId="080FBD4F">
            <wp:extent cx="5848350" cy="2981325"/>
            <wp:effectExtent l="0" t="0" r="19050" b="9525"/>
            <wp:docPr id="40" name="Диаграма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80F5C" w:rsidRDefault="00280F5C" w:rsidP="00280F5C">
      <w:pPr>
        <w:spacing w:after="0" w:line="240" w:lineRule="auto"/>
        <w:ind w:firstLine="851"/>
        <w:jc w:val="both"/>
        <w:rPr>
          <w:rFonts w:ascii="Times New Roman" w:hAnsi="Times New Roman"/>
          <w:sz w:val="28"/>
          <w:szCs w:val="28"/>
        </w:rPr>
      </w:pP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Фиг.43. Получени за изпълнение присъди по видове наказания в Районна прокуратура – Исперих</w:t>
      </w:r>
    </w:p>
    <w:p w:rsidR="007B5942" w:rsidRPr="007B5942" w:rsidRDefault="007B5942" w:rsidP="007B5942">
      <w:pPr>
        <w:jc w:val="both"/>
        <w:rPr>
          <w:rFonts w:ascii="Times New Roman" w:hAnsi="Times New Roman"/>
          <w:sz w:val="28"/>
          <w:szCs w:val="28"/>
        </w:rPr>
      </w:pPr>
    </w:p>
    <w:p w:rsidR="007B5942" w:rsidRPr="007B5942" w:rsidRDefault="007B5942" w:rsidP="006F5A9E">
      <w:pPr>
        <w:spacing w:after="0" w:line="240" w:lineRule="auto"/>
        <w:ind w:firstLine="851"/>
        <w:jc w:val="both"/>
        <w:rPr>
          <w:rFonts w:ascii="Times New Roman" w:hAnsi="Times New Roman"/>
          <w:sz w:val="28"/>
          <w:szCs w:val="28"/>
        </w:rPr>
      </w:pPr>
      <w:r w:rsidRPr="007B5942">
        <w:rPr>
          <w:rFonts w:ascii="Times New Roman" w:hAnsi="Times New Roman"/>
          <w:sz w:val="28"/>
          <w:szCs w:val="28"/>
        </w:rPr>
        <w:t xml:space="preserve">В сравнение с предходните  две години са се увеличили получените  за изпълнение съдебните актове с наложено наказание лишаване от свобода, а е налице изразена тенденция на намаление на получените  за изпълнение съдебните актове с наложено наказание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 xml:space="preserve"> и обществено порицание.</w:t>
      </w:r>
    </w:p>
    <w:p w:rsidR="007B5942" w:rsidRPr="007B5942" w:rsidRDefault="007B5942" w:rsidP="006F5A9E">
      <w:pPr>
        <w:spacing w:after="0" w:line="240" w:lineRule="auto"/>
        <w:ind w:firstLine="851"/>
        <w:jc w:val="both"/>
        <w:rPr>
          <w:rFonts w:ascii="Times New Roman" w:hAnsi="Times New Roman"/>
          <w:sz w:val="28"/>
          <w:szCs w:val="28"/>
        </w:rPr>
      </w:pPr>
    </w:p>
    <w:p w:rsidR="007B5942" w:rsidRPr="007B5942" w:rsidRDefault="007B5942" w:rsidP="006F5A9E">
      <w:pPr>
        <w:spacing w:after="0" w:line="240" w:lineRule="auto"/>
        <w:ind w:firstLine="851"/>
        <w:jc w:val="both"/>
        <w:rPr>
          <w:rFonts w:ascii="Times New Roman" w:hAnsi="Times New Roman"/>
          <w:sz w:val="28"/>
          <w:szCs w:val="28"/>
        </w:rPr>
      </w:pPr>
    </w:p>
    <w:p w:rsidR="007B5942" w:rsidRPr="007B5942" w:rsidRDefault="007B5942" w:rsidP="006F5A9E">
      <w:pPr>
        <w:spacing w:after="0" w:line="240" w:lineRule="auto"/>
        <w:ind w:firstLine="851"/>
        <w:jc w:val="both"/>
        <w:rPr>
          <w:rFonts w:ascii="Times New Roman" w:hAnsi="Times New Roman"/>
          <w:sz w:val="28"/>
          <w:szCs w:val="28"/>
        </w:rPr>
      </w:pPr>
      <w:r w:rsidRPr="007B5942">
        <w:rPr>
          <w:rFonts w:ascii="Times New Roman" w:hAnsi="Times New Roman"/>
          <w:sz w:val="28"/>
          <w:szCs w:val="28"/>
          <w:u w:val="single"/>
        </w:rPr>
        <w:t>В Районна прокуратура – Кубрат</w:t>
      </w:r>
      <w:r w:rsidRPr="007B5942">
        <w:rPr>
          <w:rFonts w:ascii="Times New Roman" w:hAnsi="Times New Roman"/>
          <w:sz w:val="28"/>
          <w:szCs w:val="28"/>
        </w:rPr>
        <w:t xml:space="preserve"> от получените за изпълнение 88 присъди през 2019г. -  15 са били с наказание лишаване от свобода, 11 с наказание лишаване от права по чл. 37 ал. 1 т. 6-10 от НК, 46 - с наказание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 xml:space="preserve"> и  18 с наказание обществено порицание.</w:t>
      </w:r>
    </w:p>
    <w:p w:rsidR="007B5942" w:rsidRPr="007B5942" w:rsidRDefault="007B5942" w:rsidP="006F5A9E">
      <w:pPr>
        <w:spacing w:after="0" w:line="240" w:lineRule="auto"/>
        <w:ind w:firstLine="851"/>
        <w:jc w:val="both"/>
        <w:rPr>
          <w:rFonts w:ascii="Times New Roman" w:hAnsi="Times New Roman"/>
          <w:sz w:val="28"/>
          <w:szCs w:val="28"/>
        </w:rPr>
      </w:pPr>
      <w:r w:rsidRPr="007B5942">
        <w:rPr>
          <w:rFonts w:ascii="Times New Roman" w:hAnsi="Times New Roman"/>
          <w:sz w:val="28"/>
          <w:szCs w:val="28"/>
        </w:rPr>
        <w:t xml:space="preserve">През 2018г.  са били получени за изпълнение 85 присъди -  38 са били с наказание лишаване от свобода, 17 с наказание лишаване от права по чл. 37 ал. 1 т. 6-10 от НК, 27 - с наказание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 xml:space="preserve"> и  3 с наказание обществено порицание.</w:t>
      </w:r>
    </w:p>
    <w:p w:rsidR="007B5942" w:rsidRPr="007B5942" w:rsidRDefault="007B5942" w:rsidP="006F5A9E">
      <w:pPr>
        <w:spacing w:after="0" w:line="240" w:lineRule="auto"/>
        <w:ind w:firstLine="851"/>
        <w:jc w:val="both"/>
        <w:rPr>
          <w:rFonts w:ascii="Times New Roman" w:hAnsi="Times New Roman"/>
          <w:sz w:val="28"/>
          <w:szCs w:val="28"/>
        </w:rPr>
      </w:pPr>
      <w:r w:rsidRPr="007B5942">
        <w:rPr>
          <w:rFonts w:ascii="Times New Roman" w:hAnsi="Times New Roman"/>
          <w:sz w:val="28"/>
          <w:szCs w:val="28"/>
        </w:rPr>
        <w:t xml:space="preserve">През 2017г.  са били получени за изпълнение 73 присъди -  25 са били с наказание лишаване от свобода, 10 с наказание лишаване от права по чл. 37 ал. 1 т. 6-10 от НК, 31 - с наказание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 xml:space="preserve"> и  11 с наказание обществено порицание.</w:t>
      </w:r>
    </w:p>
    <w:p w:rsidR="007B5942" w:rsidRPr="007B5942" w:rsidRDefault="007B5942" w:rsidP="007B5942">
      <w:pPr>
        <w:jc w:val="both"/>
        <w:rPr>
          <w:rFonts w:ascii="Times New Roman" w:hAnsi="Times New Roman"/>
          <w:sz w:val="28"/>
          <w:szCs w:val="28"/>
        </w:rPr>
      </w:pPr>
    </w:p>
    <w:p w:rsidR="007B5942" w:rsidRPr="007B5942" w:rsidRDefault="007B5942" w:rsidP="007B5942">
      <w:pPr>
        <w:jc w:val="both"/>
        <w:rPr>
          <w:rFonts w:ascii="Times New Roman" w:hAnsi="Times New Roman"/>
          <w:sz w:val="28"/>
          <w:szCs w:val="28"/>
        </w:rPr>
      </w:pPr>
    </w:p>
    <w:p w:rsidR="007B5942" w:rsidRPr="007B5942" w:rsidRDefault="007B5942" w:rsidP="007B5942">
      <w:pPr>
        <w:jc w:val="both"/>
        <w:rPr>
          <w:rFonts w:ascii="Times New Roman" w:hAnsi="Times New Roman"/>
          <w:sz w:val="28"/>
          <w:szCs w:val="28"/>
        </w:rPr>
      </w:pPr>
      <w:r w:rsidRPr="007B5942">
        <w:rPr>
          <w:rFonts w:ascii="Times New Roman" w:hAnsi="Times New Roman"/>
          <w:noProof/>
          <w:sz w:val="28"/>
          <w:szCs w:val="28"/>
          <w:lang w:eastAsia="bg-BG"/>
        </w:rPr>
        <w:lastRenderedPageBreak/>
        <w:drawing>
          <wp:inline distT="0" distB="0" distL="0" distR="0" wp14:anchorId="10CCE300" wp14:editId="1F2D3438">
            <wp:extent cx="6010275" cy="2181225"/>
            <wp:effectExtent l="0" t="0" r="9525" b="9525"/>
            <wp:docPr id="39" name="Диагра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B5942" w:rsidRPr="007B5942" w:rsidRDefault="007B5942" w:rsidP="006F5A9E">
      <w:pPr>
        <w:ind w:firstLine="851"/>
        <w:jc w:val="both"/>
        <w:rPr>
          <w:rFonts w:ascii="Times New Roman" w:hAnsi="Times New Roman"/>
          <w:sz w:val="28"/>
          <w:szCs w:val="28"/>
        </w:rPr>
      </w:pPr>
      <w:r w:rsidRPr="007B5942">
        <w:rPr>
          <w:rFonts w:ascii="Times New Roman" w:hAnsi="Times New Roman"/>
          <w:sz w:val="28"/>
          <w:szCs w:val="28"/>
        </w:rPr>
        <w:t>Фиг.4</w:t>
      </w:r>
      <w:r w:rsidR="00280F5C">
        <w:rPr>
          <w:rFonts w:ascii="Times New Roman" w:hAnsi="Times New Roman"/>
          <w:sz w:val="28"/>
          <w:szCs w:val="28"/>
        </w:rPr>
        <w:t>4</w:t>
      </w:r>
      <w:r w:rsidRPr="007B5942">
        <w:rPr>
          <w:rFonts w:ascii="Times New Roman" w:hAnsi="Times New Roman"/>
          <w:sz w:val="28"/>
          <w:szCs w:val="28"/>
        </w:rPr>
        <w:t>. Получени за изпълнение присъди по видове наказания в Районна прокуратура – Кубрат.</w:t>
      </w:r>
    </w:p>
    <w:p w:rsidR="007B5942" w:rsidRPr="007B5942" w:rsidRDefault="007B5942" w:rsidP="00640A63">
      <w:pPr>
        <w:spacing w:after="0" w:line="240" w:lineRule="auto"/>
        <w:ind w:firstLine="851"/>
        <w:jc w:val="both"/>
        <w:rPr>
          <w:rFonts w:ascii="Times New Roman" w:hAnsi="Times New Roman"/>
          <w:sz w:val="28"/>
          <w:szCs w:val="28"/>
        </w:rPr>
      </w:pPr>
      <w:r w:rsidRPr="007B5942">
        <w:rPr>
          <w:rFonts w:ascii="Times New Roman" w:hAnsi="Times New Roman"/>
          <w:sz w:val="28"/>
          <w:szCs w:val="28"/>
        </w:rPr>
        <w:t xml:space="preserve">В сравнение с предходните  две години са се увеличили получените  за изпълнение съдебните актове с наложено наказание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 xml:space="preserve"> и обществено порицание, а има значително намаление на получените  за изпълнение съдебните актове с наложено наказание лишаване от свобода.</w:t>
      </w:r>
    </w:p>
    <w:p w:rsidR="007B5942" w:rsidRPr="007B5942" w:rsidRDefault="007B5942" w:rsidP="00640A63">
      <w:pPr>
        <w:spacing w:after="0" w:line="240" w:lineRule="auto"/>
        <w:ind w:firstLine="851"/>
        <w:jc w:val="both"/>
        <w:rPr>
          <w:rFonts w:ascii="Times New Roman" w:hAnsi="Times New Roman"/>
          <w:sz w:val="28"/>
          <w:szCs w:val="28"/>
        </w:rPr>
      </w:pPr>
    </w:p>
    <w:p w:rsidR="007B5942" w:rsidRPr="007B5942" w:rsidRDefault="007B5942" w:rsidP="00640A63">
      <w:pPr>
        <w:spacing w:after="0" w:line="240" w:lineRule="auto"/>
        <w:ind w:firstLine="851"/>
        <w:jc w:val="both"/>
        <w:rPr>
          <w:rFonts w:ascii="Times New Roman" w:hAnsi="Times New Roman"/>
          <w:sz w:val="28"/>
          <w:szCs w:val="28"/>
        </w:rPr>
      </w:pPr>
      <w:r w:rsidRPr="007B5942">
        <w:rPr>
          <w:rFonts w:ascii="Times New Roman" w:hAnsi="Times New Roman"/>
          <w:sz w:val="28"/>
          <w:szCs w:val="28"/>
        </w:rPr>
        <w:t>От получените за изпълнение през 2019г. в Разградски съдебен район 356 съдебни акта (по лица) с наложени наказания,  в изпълнение са приведени 324 (по лица), което е 91% от получените за изпълнение. Налице е известно понижение на този резултат в сравнение с предходните отчетни периоди – през 2018г.са били получени за изпълнение 355 съдебни акта, а в изпълнение са били приведени 328 ( по лица), което е 92,4%. През 2017г. са били получени за изпълнение 381 съдебни акта, а в изпълнение са били приведени 355 ( по лица), което е 93,2%. Данните за последните три години показват, че този показател бележи спад.</w:t>
      </w:r>
    </w:p>
    <w:p w:rsidR="007B5942" w:rsidRPr="007B5942" w:rsidRDefault="007B5942" w:rsidP="00640A63">
      <w:pPr>
        <w:spacing w:after="0" w:line="240" w:lineRule="auto"/>
        <w:ind w:firstLine="851"/>
        <w:jc w:val="both"/>
        <w:rPr>
          <w:rFonts w:ascii="Times New Roman" w:hAnsi="Times New Roman"/>
          <w:sz w:val="28"/>
          <w:szCs w:val="28"/>
        </w:rPr>
      </w:pPr>
    </w:p>
    <w:p w:rsidR="007B5942" w:rsidRPr="007B5942" w:rsidRDefault="007B5942" w:rsidP="00640A63">
      <w:pPr>
        <w:spacing w:after="0" w:line="240" w:lineRule="auto"/>
        <w:ind w:firstLine="851"/>
        <w:jc w:val="both"/>
        <w:rPr>
          <w:rFonts w:ascii="Times New Roman" w:hAnsi="Times New Roman"/>
          <w:sz w:val="28"/>
          <w:szCs w:val="28"/>
        </w:rPr>
      </w:pPr>
      <w:r w:rsidRPr="007B5942">
        <w:rPr>
          <w:rFonts w:ascii="Times New Roman" w:hAnsi="Times New Roman"/>
          <w:sz w:val="28"/>
          <w:szCs w:val="28"/>
        </w:rPr>
        <w:t xml:space="preserve">През 2019г. в Разградски съдебен район по отношение на 2 лица  е било отложено начало на изпълнение на наказанието на </w:t>
      </w:r>
      <w:proofErr w:type="spellStart"/>
      <w:r w:rsidRPr="007B5942">
        <w:rPr>
          <w:rFonts w:ascii="Times New Roman" w:hAnsi="Times New Roman"/>
          <w:sz w:val="28"/>
          <w:szCs w:val="28"/>
        </w:rPr>
        <w:t>осн</w:t>
      </w:r>
      <w:proofErr w:type="spellEnd"/>
      <w:r w:rsidRPr="007B5942">
        <w:rPr>
          <w:rFonts w:ascii="Times New Roman" w:hAnsi="Times New Roman"/>
          <w:sz w:val="28"/>
          <w:szCs w:val="28"/>
        </w:rPr>
        <w:t>.чл. 415 от НПК -  1 лице  в Районна прокуратура – Разград, с наложено наказание лишаване от свобода и 1 лице в Районна прокуратура – Кубрат.</w:t>
      </w:r>
    </w:p>
    <w:p w:rsidR="007B5942" w:rsidRPr="007B5942" w:rsidRDefault="007B5942" w:rsidP="00640A63">
      <w:pPr>
        <w:spacing w:after="0" w:line="240" w:lineRule="auto"/>
        <w:ind w:firstLine="851"/>
        <w:jc w:val="both"/>
        <w:rPr>
          <w:rFonts w:ascii="Times New Roman" w:hAnsi="Times New Roman"/>
          <w:sz w:val="28"/>
          <w:szCs w:val="28"/>
        </w:rPr>
      </w:pPr>
      <w:r w:rsidRPr="007B5942">
        <w:rPr>
          <w:rFonts w:ascii="Times New Roman" w:hAnsi="Times New Roman"/>
          <w:sz w:val="28"/>
          <w:szCs w:val="28"/>
        </w:rPr>
        <w:t>През 2018г. по отношение на 3 лица е било  отложено изпълнението на наказанието. През 2017г. не е имало отлагане на наказания.</w:t>
      </w:r>
    </w:p>
    <w:p w:rsidR="007B5942" w:rsidRPr="007B5942" w:rsidRDefault="007B5942" w:rsidP="00640A63">
      <w:pPr>
        <w:spacing w:after="0" w:line="240" w:lineRule="auto"/>
        <w:ind w:firstLine="851"/>
        <w:jc w:val="both"/>
        <w:rPr>
          <w:rFonts w:ascii="Times New Roman" w:hAnsi="Times New Roman"/>
          <w:sz w:val="28"/>
          <w:szCs w:val="28"/>
        </w:rPr>
      </w:pPr>
    </w:p>
    <w:p w:rsidR="007B5942" w:rsidRPr="007B5942" w:rsidRDefault="007B5942" w:rsidP="00640A63">
      <w:pPr>
        <w:spacing w:after="0" w:line="240" w:lineRule="auto"/>
        <w:ind w:firstLine="851"/>
        <w:jc w:val="both"/>
        <w:rPr>
          <w:rFonts w:ascii="Times New Roman" w:hAnsi="Times New Roman"/>
          <w:sz w:val="28"/>
          <w:szCs w:val="28"/>
        </w:rPr>
      </w:pPr>
      <w:r w:rsidRPr="007B5942">
        <w:rPr>
          <w:rFonts w:ascii="Times New Roman" w:hAnsi="Times New Roman"/>
          <w:sz w:val="28"/>
          <w:szCs w:val="28"/>
        </w:rPr>
        <w:t>Реално приведените присъди в изпълнение през отчетния период в Разградски съдебен район са по отношение на 310 лица, през 2018г.са били 299, през 2017г. – 324 лица.</w:t>
      </w:r>
    </w:p>
    <w:p w:rsidR="007B5942" w:rsidRPr="007B5942" w:rsidRDefault="007B5942" w:rsidP="00640A63">
      <w:pPr>
        <w:spacing w:after="0" w:line="240" w:lineRule="auto"/>
        <w:ind w:firstLine="851"/>
        <w:jc w:val="both"/>
        <w:rPr>
          <w:rFonts w:ascii="Times New Roman" w:hAnsi="Times New Roman"/>
          <w:sz w:val="28"/>
          <w:szCs w:val="28"/>
        </w:rPr>
      </w:pPr>
      <w:r w:rsidRPr="007B5942">
        <w:rPr>
          <w:rFonts w:ascii="Times New Roman" w:hAnsi="Times New Roman"/>
          <w:sz w:val="28"/>
          <w:szCs w:val="28"/>
        </w:rPr>
        <w:t>В Окръжна прокуратура – Разград реално приведените в изпълнение присъди /по лица/,  за които е получено потвърждение за начало на изпълнението на наложеното наказание, са по отношение на  17 лица. В сравнение с предходните две години се наблюдава ясно изразена тенденция на спад - през2018 г. същите  са  били по отношение на 32 лица, а през 2017 г. – по отношение на  36 лица.</w:t>
      </w:r>
    </w:p>
    <w:p w:rsidR="007B5942" w:rsidRPr="007B5942" w:rsidRDefault="007B5942" w:rsidP="00640A63">
      <w:pPr>
        <w:spacing w:after="0" w:line="240" w:lineRule="auto"/>
        <w:ind w:firstLine="851"/>
        <w:jc w:val="both"/>
        <w:rPr>
          <w:rFonts w:ascii="Times New Roman" w:hAnsi="Times New Roman"/>
          <w:sz w:val="28"/>
          <w:szCs w:val="28"/>
        </w:rPr>
      </w:pPr>
      <w:r w:rsidRPr="007B5942">
        <w:rPr>
          <w:rFonts w:ascii="Times New Roman" w:hAnsi="Times New Roman"/>
          <w:sz w:val="28"/>
          <w:szCs w:val="28"/>
        </w:rPr>
        <w:lastRenderedPageBreak/>
        <w:t>В Районна прокуратура – Разград реално приведените в изпълнение присъди /по лица/,  за които е получено потвърждение за начало на изпълнението на наложеното наказание, са по отношение на  131 лица, като техният брой е значително увеличен в сравнение с предходните 2 години – 2018 г. същите  са  били по отношение на 99 лица, а през 2017 г. – по отношение на  101 лица.</w:t>
      </w:r>
    </w:p>
    <w:p w:rsidR="007B5942" w:rsidRPr="007B5942" w:rsidRDefault="007B5942" w:rsidP="00640A63">
      <w:pPr>
        <w:spacing w:after="0" w:line="240" w:lineRule="auto"/>
        <w:ind w:firstLine="851"/>
        <w:jc w:val="both"/>
        <w:rPr>
          <w:rFonts w:ascii="Times New Roman" w:hAnsi="Times New Roman"/>
          <w:sz w:val="28"/>
          <w:szCs w:val="28"/>
        </w:rPr>
      </w:pPr>
      <w:r w:rsidRPr="007B5942">
        <w:rPr>
          <w:rFonts w:ascii="Times New Roman" w:hAnsi="Times New Roman"/>
          <w:sz w:val="28"/>
          <w:szCs w:val="28"/>
        </w:rPr>
        <w:t>В Районна прокуратура – Исперих реално приведените в изпълнение присъди /по лица/,  за които е получено потвърждение за начало на изпълнението на наложеното наказание, са по отношение на  75 лица. В сравнение с предходните две години се наблюдава ясно изразена тенденция на спад - през2018 г. същите  са  били по отношение на 86 лица, а през 2017 г. – по отношение на  112 лица.</w:t>
      </w:r>
    </w:p>
    <w:p w:rsidR="007B5942" w:rsidRPr="007B5942" w:rsidRDefault="007B5942" w:rsidP="00640A63">
      <w:pPr>
        <w:spacing w:after="0" w:line="240" w:lineRule="auto"/>
        <w:ind w:firstLine="851"/>
        <w:jc w:val="both"/>
        <w:rPr>
          <w:rFonts w:ascii="Times New Roman" w:hAnsi="Times New Roman"/>
          <w:sz w:val="28"/>
          <w:szCs w:val="28"/>
        </w:rPr>
      </w:pPr>
      <w:r w:rsidRPr="007B5942">
        <w:rPr>
          <w:rFonts w:ascii="Times New Roman" w:hAnsi="Times New Roman"/>
          <w:sz w:val="28"/>
          <w:szCs w:val="28"/>
        </w:rPr>
        <w:t>В Районна прокуратура – Кубрат реално приведените в изпълнение присъди /по лица/,  за които е получено потвърждение за начало на изпълнението на наложеното наказание, са по отношение на  87 лица. Налице е увеличение на броя на приведените в изпълнение присъди спрямо  предходните 2 години – през 2018г. са приведени в изпълнение 82 присъди, а през 2017г. са били приведени в изпълнение 74 присъди.</w:t>
      </w:r>
    </w:p>
    <w:p w:rsidR="007B5942" w:rsidRPr="007B5942" w:rsidRDefault="007B5942" w:rsidP="00640A63">
      <w:pPr>
        <w:spacing w:after="0" w:line="240" w:lineRule="auto"/>
        <w:ind w:firstLine="851"/>
        <w:jc w:val="both"/>
        <w:rPr>
          <w:rFonts w:ascii="Times New Roman" w:hAnsi="Times New Roman"/>
          <w:sz w:val="28"/>
          <w:szCs w:val="28"/>
        </w:rPr>
      </w:pPr>
    </w:p>
    <w:p w:rsidR="007B5942" w:rsidRPr="007B5942" w:rsidRDefault="007B5942" w:rsidP="00640A63">
      <w:pPr>
        <w:spacing w:after="0" w:line="240" w:lineRule="auto"/>
        <w:ind w:firstLine="851"/>
        <w:jc w:val="both"/>
        <w:rPr>
          <w:rFonts w:ascii="Times New Roman" w:hAnsi="Times New Roman"/>
          <w:sz w:val="28"/>
          <w:szCs w:val="28"/>
        </w:rPr>
      </w:pPr>
      <w:r w:rsidRPr="007B5942">
        <w:rPr>
          <w:rFonts w:ascii="Times New Roman" w:hAnsi="Times New Roman"/>
          <w:sz w:val="28"/>
          <w:szCs w:val="28"/>
        </w:rPr>
        <w:t>В края на 2019 година в Разградски съдебен район са останали неприведена присъда по отношение на 11 лица или 3% от общия брой на получените за изпълнение съдебни актове. През 2018г.и през 2017г. по отношение на 1 лице присъдата не е била приведена в изпълнение.</w:t>
      </w:r>
    </w:p>
    <w:p w:rsidR="007B5942" w:rsidRPr="007B5942" w:rsidRDefault="007B5942" w:rsidP="00640A63">
      <w:pPr>
        <w:spacing w:after="0" w:line="240" w:lineRule="auto"/>
        <w:ind w:firstLine="851"/>
        <w:jc w:val="both"/>
        <w:rPr>
          <w:rFonts w:ascii="Times New Roman" w:hAnsi="Times New Roman"/>
          <w:sz w:val="28"/>
          <w:szCs w:val="28"/>
        </w:rPr>
      </w:pPr>
      <w:r w:rsidRPr="007B5942">
        <w:rPr>
          <w:rFonts w:ascii="Times New Roman" w:hAnsi="Times New Roman"/>
          <w:sz w:val="28"/>
          <w:szCs w:val="28"/>
        </w:rPr>
        <w:t>В Окръжна прокуратура – гр.Разград няма неприведени присъди в изпълнение.</w:t>
      </w:r>
    </w:p>
    <w:p w:rsidR="007B5942" w:rsidRPr="007B5942" w:rsidRDefault="007B5942" w:rsidP="00640A63">
      <w:pPr>
        <w:spacing w:after="0" w:line="240" w:lineRule="auto"/>
        <w:ind w:firstLine="851"/>
        <w:jc w:val="both"/>
        <w:rPr>
          <w:rFonts w:ascii="Times New Roman" w:hAnsi="Times New Roman"/>
          <w:sz w:val="28"/>
          <w:szCs w:val="28"/>
        </w:rPr>
      </w:pPr>
      <w:r w:rsidRPr="007B5942">
        <w:rPr>
          <w:rFonts w:ascii="Times New Roman" w:hAnsi="Times New Roman"/>
          <w:sz w:val="28"/>
          <w:szCs w:val="28"/>
        </w:rPr>
        <w:t xml:space="preserve">В Районна прокуратура – Разград  са останали неприведени в изпълнение 4 присъди, като всички те са останали неприведени в изпълнение по обективни причини, независещи от прокурора (в края на 2018г.  е нямало неприведена в изпълнение присъда,а в края на 2017г. е имало една неприведена в изпълнение присъда). По три от неприведените през 2019г.присъди са внесени предложения до Районен съд – гр. Разград за определяне на общо наказание ( 1 присъда, </w:t>
      </w:r>
      <w:proofErr w:type="spellStart"/>
      <w:r w:rsidRPr="007B5942">
        <w:rPr>
          <w:rFonts w:ascii="Times New Roman" w:hAnsi="Times New Roman"/>
          <w:sz w:val="28"/>
          <w:szCs w:val="28"/>
        </w:rPr>
        <w:t>касаеща</w:t>
      </w:r>
      <w:proofErr w:type="spellEnd"/>
      <w:r w:rsidRPr="007B5942">
        <w:rPr>
          <w:rFonts w:ascii="Times New Roman" w:hAnsi="Times New Roman"/>
          <w:sz w:val="28"/>
          <w:szCs w:val="28"/>
        </w:rPr>
        <w:t xml:space="preserve"> наказание  „лишаване от свобода“ и 2 присъди, касаещи наказание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 xml:space="preserve">“ ). Една присъда, </w:t>
      </w:r>
      <w:proofErr w:type="spellStart"/>
      <w:r w:rsidRPr="007B5942">
        <w:rPr>
          <w:rFonts w:ascii="Times New Roman" w:hAnsi="Times New Roman"/>
          <w:sz w:val="28"/>
          <w:szCs w:val="28"/>
        </w:rPr>
        <w:t>касаеща</w:t>
      </w:r>
      <w:proofErr w:type="spellEnd"/>
      <w:r w:rsidRPr="007B5942">
        <w:rPr>
          <w:rFonts w:ascii="Times New Roman" w:hAnsi="Times New Roman"/>
          <w:sz w:val="28"/>
          <w:szCs w:val="28"/>
        </w:rPr>
        <w:t xml:space="preserve"> наказание „лишаване от право да управлява МПС“  не е приведена в изпълнение, тъй като все още няма произнасяне от Районен съд – гр. Разград във връзка с внесено предложение за тълкуване на съдебния акт.</w:t>
      </w:r>
    </w:p>
    <w:p w:rsidR="007B5942" w:rsidRPr="007B5942" w:rsidRDefault="007B5942" w:rsidP="00640A63">
      <w:pPr>
        <w:spacing w:after="0" w:line="240" w:lineRule="auto"/>
        <w:ind w:firstLine="851"/>
        <w:jc w:val="both"/>
        <w:rPr>
          <w:rFonts w:ascii="Times New Roman" w:hAnsi="Times New Roman"/>
          <w:sz w:val="28"/>
          <w:szCs w:val="28"/>
        </w:rPr>
      </w:pPr>
      <w:r w:rsidRPr="007B5942">
        <w:rPr>
          <w:rFonts w:ascii="Times New Roman" w:hAnsi="Times New Roman"/>
          <w:sz w:val="28"/>
          <w:szCs w:val="28"/>
        </w:rPr>
        <w:t>В Районна прокуратура – Исперих в края на отчетния период е останала неприведена 1 присъди с наложено наказание обществено порицание.</w:t>
      </w:r>
    </w:p>
    <w:p w:rsidR="007B5942" w:rsidRPr="007B5942" w:rsidRDefault="007B5942" w:rsidP="00640A63">
      <w:pPr>
        <w:spacing w:after="0" w:line="240" w:lineRule="auto"/>
        <w:ind w:firstLine="851"/>
        <w:jc w:val="both"/>
        <w:rPr>
          <w:rFonts w:ascii="Times New Roman" w:hAnsi="Times New Roman"/>
          <w:sz w:val="28"/>
          <w:szCs w:val="28"/>
        </w:rPr>
      </w:pPr>
      <w:r w:rsidRPr="007B5942">
        <w:rPr>
          <w:rFonts w:ascii="Times New Roman" w:hAnsi="Times New Roman"/>
          <w:sz w:val="28"/>
          <w:szCs w:val="28"/>
        </w:rPr>
        <w:t>В Районна прокуратура – гр. Кубрат по отношение на 6 лица се чака групиране на наказанията.</w:t>
      </w:r>
    </w:p>
    <w:p w:rsidR="007B5942" w:rsidRPr="007B5942" w:rsidRDefault="007B5942" w:rsidP="00640A63">
      <w:pPr>
        <w:spacing w:after="0" w:line="240" w:lineRule="auto"/>
        <w:ind w:firstLine="851"/>
        <w:jc w:val="both"/>
        <w:rPr>
          <w:rFonts w:ascii="Times New Roman" w:hAnsi="Times New Roman"/>
          <w:sz w:val="28"/>
          <w:szCs w:val="28"/>
          <w:lang w:val="en-US"/>
        </w:rPr>
      </w:pPr>
      <w:r w:rsidRPr="007B5942">
        <w:rPr>
          <w:rFonts w:ascii="Times New Roman" w:hAnsi="Times New Roman"/>
          <w:sz w:val="28"/>
          <w:szCs w:val="28"/>
        </w:rPr>
        <w:t xml:space="preserve">Както и в предходни години, </w:t>
      </w:r>
      <w:proofErr w:type="spellStart"/>
      <w:r w:rsidRPr="007B5942">
        <w:rPr>
          <w:rFonts w:ascii="Times New Roman" w:hAnsi="Times New Roman"/>
          <w:sz w:val="28"/>
          <w:szCs w:val="28"/>
        </w:rPr>
        <w:t>срочността</w:t>
      </w:r>
      <w:proofErr w:type="spellEnd"/>
      <w:r w:rsidRPr="007B5942">
        <w:rPr>
          <w:rFonts w:ascii="Times New Roman" w:hAnsi="Times New Roman"/>
          <w:sz w:val="28"/>
          <w:szCs w:val="28"/>
        </w:rPr>
        <w:t xml:space="preserve"> в привеждането в изпълнение в Разградски съдебен регион е на много добро ниво – в преобладаващите случаи постъпилите в прокуратурата присъди, определения и решения на съда се изпращат на изпълняващия орган в деня на получаването им, в тридневен или най-късно в петдневен срок.</w:t>
      </w:r>
    </w:p>
    <w:p w:rsidR="007B5942" w:rsidRPr="007B5942" w:rsidRDefault="007B5942" w:rsidP="00640A63">
      <w:pPr>
        <w:spacing w:after="0" w:line="240" w:lineRule="auto"/>
        <w:ind w:firstLine="851"/>
        <w:jc w:val="both"/>
        <w:rPr>
          <w:rFonts w:ascii="Times New Roman" w:hAnsi="Times New Roman"/>
          <w:sz w:val="28"/>
          <w:szCs w:val="28"/>
        </w:rPr>
      </w:pPr>
      <w:r w:rsidRPr="007B5942">
        <w:rPr>
          <w:rFonts w:ascii="Times New Roman" w:hAnsi="Times New Roman"/>
          <w:sz w:val="28"/>
          <w:szCs w:val="28"/>
        </w:rPr>
        <w:lastRenderedPageBreak/>
        <w:t>Забавяне се е налагало с оглед прилагане на актуална справка за съдимост, а в други случаи за произнасяне на съда на основание чл. 414 от НПК</w:t>
      </w:r>
    </w:p>
    <w:p w:rsidR="007B5942" w:rsidRPr="007B5942" w:rsidRDefault="007B5942" w:rsidP="007B5942">
      <w:pPr>
        <w:jc w:val="both"/>
        <w:rPr>
          <w:rFonts w:ascii="Times New Roman" w:hAnsi="Times New Roman"/>
          <w:b/>
          <w:sz w:val="28"/>
          <w:szCs w:val="28"/>
        </w:rPr>
      </w:pPr>
    </w:p>
    <w:p w:rsidR="007B5942" w:rsidRPr="007B5942" w:rsidRDefault="007B5942" w:rsidP="00280F5C">
      <w:pPr>
        <w:spacing w:after="0" w:line="240" w:lineRule="auto"/>
        <w:ind w:firstLine="851"/>
        <w:jc w:val="both"/>
        <w:rPr>
          <w:rFonts w:ascii="Times New Roman" w:hAnsi="Times New Roman"/>
          <w:b/>
          <w:sz w:val="28"/>
          <w:szCs w:val="28"/>
        </w:rPr>
      </w:pPr>
      <w:r w:rsidRPr="007B5942">
        <w:rPr>
          <w:rFonts w:ascii="Times New Roman" w:hAnsi="Times New Roman"/>
          <w:b/>
          <w:sz w:val="28"/>
          <w:szCs w:val="28"/>
        </w:rPr>
        <w:t>Контрол по изпълнение на присъдите – по лица. Принудителни мерки:</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За отчетната 2019г. прокуратурите в Разградски съдебен район са изготвили и внесли в съдилищата 44 предложения по чл.306 от НПК (през 2018г. са били 35; през 2017г. – 46). От тях в края на периода са уважени 25 (през 2018г. – 30; 2017г. – 39), три не са уважени (2018г. – 2; 2017г. – 1), а 16 са неразгледани (2018г. – 3; 2017г. – 6). Спрямо предходните две години тези предложения бележат ръст с 25,7% спрямо 2018г. и с 12,8% спрямо 2017г.</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През 2019г. прокурорите от Разградски съдебен район  не са изготвяли  предложения по чл.70 и чл. 71 от НК.</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Към 31.12.2019г. от получените през 2019г. за привеждане в изпълнение съдебни актове с  наложено наказание лишаване от свобода няма незадържани лица.</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 xml:space="preserve">Към 31.12.2019г. незадържаните лица в Разградски съдебен район с наложено наказание лишаване от свобода по получени през предходни години за изпълнение присъди са 17 - 5 лица по </w:t>
      </w:r>
      <w:proofErr w:type="spellStart"/>
      <w:r w:rsidRPr="007B5942">
        <w:rPr>
          <w:rFonts w:ascii="Times New Roman" w:hAnsi="Times New Roman"/>
          <w:sz w:val="28"/>
          <w:szCs w:val="28"/>
        </w:rPr>
        <w:t>присъдни</w:t>
      </w:r>
      <w:proofErr w:type="spellEnd"/>
      <w:r w:rsidRPr="007B5942">
        <w:rPr>
          <w:rFonts w:ascii="Times New Roman" w:hAnsi="Times New Roman"/>
          <w:sz w:val="28"/>
          <w:szCs w:val="28"/>
        </w:rPr>
        <w:t xml:space="preserve"> преписки на Окръжна прокуратура – Разград, 5 лица по </w:t>
      </w:r>
      <w:proofErr w:type="spellStart"/>
      <w:r w:rsidRPr="007B5942">
        <w:rPr>
          <w:rFonts w:ascii="Times New Roman" w:hAnsi="Times New Roman"/>
          <w:sz w:val="28"/>
          <w:szCs w:val="28"/>
        </w:rPr>
        <w:t>присъдни</w:t>
      </w:r>
      <w:proofErr w:type="spellEnd"/>
      <w:r w:rsidRPr="007B5942">
        <w:rPr>
          <w:rFonts w:ascii="Times New Roman" w:hAnsi="Times New Roman"/>
          <w:sz w:val="28"/>
          <w:szCs w:val="28"/>
        </w:rPr>
        <w:t xml:space="preserve"> преписки на Районна прокуратура - Разград, 5 лица по </w:t>
      </w:r>
      <w:proofErr w:type="spellStart"/>
      <w:r w:rsidRPr="007B5942">
        <w:rPr>
          <w:rFonts w:ascii="Times New Roman" w:hAnsi="Times New Roman"/>
          <w:sz w:val="28"/>
          <w:szCs w:val="28"/>
        </w:rPr>
        <w:t>присъдни</w:t>
      </w:r>
      <w:proofErr w:type="spellEnd"/>
      <w:r w:rsidRPr="007B5942">
        <w:rPr>
          <w:rFonts w:ascii="Times New Roman" w:hAnsi="Times New Roman"/>
          <w:sz w:val="28"/>
          <w:szCs w:val="28"/>
        </w:rPr>
        <w:t xml:space="preserve"> преписки на Районна прокуратура – Исперих и 2 лица по </w:t>
      </w:r>
      <w:proofErr w:type="spellStart"/>
      <w:r w:rsidRPr="007B5942">
        <w:rPr>
          <w:rFonts w:ascii="Times New Roman" w:hAnsi="Times New Roman"/>
          <w:sz w:val="28"/>
          <w:szCs w:val="28"/>
        </w:rPr>
        <w:t>присъдни</w:t>
      </w:r>
      <w:proofErr w:type="spellEnd"/>
      <w:r w:rsidRPr="007B5942">
        <w:rPr>
          <w:rFonts w:ascii="Times New Roman" w:hAnsi="Times New Roman"/>
          <w:sz w:val="28"/>
          <w:szCs w:val="28"/>
        </w:rPr>
        <w:t xml:space="preserve"> преписки на Районна прокуратура - Кубрат.</w:t>
      </w:r>
    </w:p>
    <w:p w:rsidR="007B5942" w:rsidRPr="007B5942" w:rsidRDefault="007B5942" w:rsidP="00280F5C">
      <w:pPr>
        <w:pStyle w:val="a9"/>
        <w:tabs>
          <w:tab w:val="left" w:pos="0"/>
          <w:tab w:val="left" w:pos="851"/>
        </w:tabs>
        <w:spacing w:after="0" w:line="240" w:lineRule="auto"/>
        <w:ind w:left="0" w:firstLine="851"/>
        <w:jc w:val="both"/>
        <w:rPr>
          <w:rFonts w:ascii="Times New Roman" w:hAnsi="Times New Roman"/>
          <w:sz w:val="28"/>
          <w:szCs w:val="28"/>
        </w:rPr>
      </w:pPr>
      <w:r w:rsidRPr="007B5942">
        <w:rPr>
          <w:rFonts w:ascii="Times New Roman" w:hAnsi="Times New Roman"/>
          <w:sz w:val="28"/>
          <w:szCs w:val="28"/>
        </w:rPr>
        <w:t>По отношение на шестнадесет лица има издадена Европейска заповед за арест. За едно лице (</w:t>
      </w:r>
      <w:proofErr w:type="spellStart"/>
      <w:r w:rsidRPr="007B5942">
        <w:rPr>
          <w:rFonts w:ascii="Times New Roman" w:hAnsi="Times New Roman"/>
          <w:sz w:val="28"/>
          <w:szCs w:val="28"/>
        </w:rPr>
        <w:t>присъдна</w:t>
      </w:r>
      <w:proofErr w:type="spellEnd"/>
      <w:r w:rsidRPr="007B5942">
        <w:rPr>
          <w:rFonts w:ascii="Times New Roman" w:hAnsi="Times New Roman"/>
          <w:sz w:val="28"/>
          <w:szCs w:val="28"/>
        </w:rPr>
        <w:t xml:space="preserve"> преписка DP-56/2011г. на Районна прокуратура - Разград) не се налага издаване на ЕЗА, защото наложеното наказание  лишаване от свобода е по-малко от четири месеца – 3 месеца и 15 дни.</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Прокуратурите в съдебния регион са издали 3 Европейски заповеди за арест във връзка с изпълнение на присъди лишаване от свобода, съответно Районна прокуратура Разград- 1,  Районна прокуратура Исперих – 1; Районна прокуратура Кубрат – 1.</w:t>
      </w:r>
    </w:p>
    <w:p w:rsidR="007B5942" w:rsidRPr="007B5942" w:rsidRDefault="007B5942" w:rsidP="00280F5C">
      <w:pPr>
        <w:pStyle w:val="a9"/>
        <w:tabs>
          <w:tab w:val="left" w:pos="0"/>
          <w:tab w:val="left" w:pos="851"/>
        </w:tabs>
        <w:spacing w:after="0" w:line="240" w:lineRule="auto"/>
        <w:ind w:left="0" w:firstLine="851"/>
        <w:jc w:val="both"/>
        <w:rPr>
          <w:rFonts w:ascii="Times New Roman" w:hAnsi="Times New Roman"/>
          <w:sz w:val="28"/>
          <w:szCs w:val="28"/>
        </w:rPr>
      </w:pPr>
      <w:r w:rsidRPr="007B5942">
        <w:rPr>
          <w:rFonts w:ascii="Times New Roman" w:hAnsi="Times New Roman"/>
          <w:sz w:val="28"/>
          <w:szCs w:val="28"/>
        </w:rPr>
        <w:t xml:space="preserve">През годината  прокурорите отговарящи за изпълнение на присъдите са изготвяли шестмесечни анализи на причините относно непривеждане на влезлите в сила съдебни актове, съгласно Заповед РД -04-71/19.02.2018г. на Главния прокурор на Република България. Основната причина за непривеждане на влезлите в сила съдебни актове, е че осъдените лица са напуснали постоянното си местоживеене, а в последствие и пределите на страната, като това е станало преди съдебния акт да е влязъл в сила. </w:t>
      </w:r>
    </w:p>
    <w:p w:rsidR="007B5942" w:rsidRPr="007B5942" w:rsidRDefault="007B5942" w:rsidP="00280F5C">
      <w:pPr>
        <w:tabs>
          <w:tab w:val="left" w:pos="0"/>
          <w:tab w:val="left" w:pos="851"/>
        </w:tabs>
        <w:spacing w:after="0" w:line="240" w:lineRule="auto"/>
        <w:ind w:firstLine="851"/>
        <w:jc w:val="both"/>
        <w:rPr>
          <w:rFonts w:ascii="Times New Roman" w:hAnsi="Times New Roman"/>
          <w:sz w:val="28"/>
          <w:szCs w:val="28"/>
        </w:rPr>
      </w:pPr>
      <w:r w:rsidRPr="007B5942">
        <w:rPr>
          <w:rFonts w:ascii="Times New Roman" w:hAnsi="Times New Roman"/>
          <w:sz w:val="28"/>
          <w:szCs w:val="28"/>
        </w:rPr>
        <w:t xml:space="preserve">За всички лица са предприети съответните </w:t>
      </w:r>
      <w:proofErr w:type="spellStart"/>
      <w:r w:rsidRPr="007B5942">
        <w:rPr>
          <w:rFonts w:ascii="Times New Roman" w:hAnsi="Times New Roman"/>
          <w:sz w:val="28"/>
          <w:szCs w:val="28"/>
        </w:rPr>
        <w:t>издирвателни</w:t>
      </w:r>
      <w:proofErr w:type="spellEnd"/>
      <w:r w:rsidRPr="007B5942">
        <w:rPr>
          <w:rFonts w:ascii="Times New Roman" w:hAnsi="Times New Roman"/>
          <w:sz w:val="28"/>
          <w:szCs w:val="28"/>
        </w:rPr>
        <w:t xml:space="preserve"> мероприятия. Лица са обявени за общодържавно и международно издирване с цел тяхното установяване. Издадени са ЕЗА.</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lastRenderedPageBreak/>
        <w:t>Лицата фигурират в списъците на ШИС, като в максимална степен е посочено местонахождението им в Европейския съюз и Република Турция.</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В малките населени места се провеждат беседи с кметовете и близките на осъдените.</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 xml:space="preserve">Периодично  се получава информация писмена информация от органите на МВР за предприетите действия и резултатите от </w:t>
      </w:r>
      <w:proofErr w:type="spellStart"/>
      <w:r w:rsidRPr="007B5942">
        <w:rPr>
          <w:rFonts w:ascii="Times New Roman" w:hAnsi="Times New Roman"/>
          <w:sz w:val="28"/>
          <w:szCs w:val="28"/>
        </w:rPr>
        <w:t>общоиздирвателните</w:t>
      </w:r>
      <w:proofErr w:type="spellEnd"/>
      <w:r w:rsidRPr="007B5942">
        <w:rPr>
          <w:rFonts w:ascii="Times New Roman" w:hAnsi="Times New Roman"/>
          <w:sz w:val="28"/>
          <w:szCs w:val="28"/>
        </w:rPr>
        <w:t xml:space="preserve"> мероприятия.</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В изпълнение на т. 3 от Разпореждане рег.№440/15.01.2018г. на Апелативна прокуратура – Варна, Окръжният прокурор провежда периодични работни съвещания с полицейските органи по издирване на укриващи се от изпълнението на наказанието им лишаване от свобода лица, на които се докладват извършените мероприятия и се обсъжда ефектът от взетите мерки. През 2019г. са  били проведени 5 работни съвещания, за които са съставени съответните протоколи.</w:t>
      </w:r>
    </w:p>
    <w:p w:rsidR="007B5942" w:rsidRPr="007B5942" w:rsidRDefault="007B5942" w:rsidP="00280F5C">
      <w:pPr>
        <w:spacing w:after="0" w:line="240" w:lineRule="auto"/>
        <w:ind w:firstLine="851"/>
        <w:jc w:val="both"/>
        <w:rPr>
          <w:rFonts w:ascii="Times New Roman" w:hAnsi="Times New Roman"/>
          <w:sz w:val="28"/>
          <w:szCs w:val="28"/>
          <w:lang w:bidi="bg-BG"/>
        </w:rPr>
      </w:pPr>
      <w:r w:rsidRPr="007B5942">
        <w:rPr>
          <w:rFonts w:ascii="Times New Roman" w:hAnsi="Times New Roman"/>
          <w:sz w:val="28"/>
          <w:szCs w:val="28"/>
          <w:lang w:bidi="bg-BG"/>
        </w:rPr>
        <w:t xml:space="preserve">В изпълнение на чл. 21 от </w:t>
      </w:r>
      <w:r w:rsidRPr="007B5942">
        <w:rPr>
          <w:rFonts w:ascii="Times New Roman" w:hAnsi="Times New Roman"/>
          <w:sz w:val="28"/>
          <w:szCs w:val="28"/>
        </w:rPr>
        <w:t>Указание за дейността на прокуратурата по надзора върху изпълнение на наказанията и други принудителни мерки,</w:t>
      </w:r>
      <w:r w:rsidRPr="007B5942">
        <w:rPr>
          <w:rFonts w:ascii="Times New Roman" w:hAnsi="Times New Roman"/>
          <w:sz w:val="28"/>
          <w:szCs w:val="28"/>
          <w:lang w:bidi="bg-BG"/>
        </w:rPr>
        <w:t xml:space="preserve"> е създадена организация за своевременно и пълно подаване на информация за осъдените лица с неприведени присъди с наказание лишаване от свобода чрез правилното попълване на необходимите данни в УИС-3, откъдето същите се извеждат в Електронния регистър на осъдените лица с неприведени в изпълнение присъди.</w:t>
      </w:r>
    </w:p>
    <w:p w:rsidR="007B5942" w:rsidRPr="007B5942" w:rsidRDefault="007B5942" w:rsidP="00280F5C">
      <w:pPr>
        <w:tabs>
          <w:tab w:val="left" w:pos="0"/>
          <w:tab w:val="left" w:pos="851"/>
        </w:tabs>
        <w:spacing w:after="0" w:line="240" w:lineRule="auto"/>
        <w:ind w:firstLine="851"/>
        <w:jc w:val="both"/>
        <w:rPr>
          <w:rFonts w:ascii="Times New Roman" w:hAnsi="Times New Roman"/>
          <w:sz w:val="28"/>
          <w:szCs w:val="28"/>
        </w:rPr>
      </w:pPr>
    </w:p>
    <w:p w:rsidR="007B5942" w:rsidRPr="007B5942" w:rsidRDefault="007B5942" w:rsidP="00280F5C">
      <w:pPr>
        <w:spacing w:after="0" w:line="240" w:lineRule="auto"/>
        <w:ind w:firstLine="851"/>
        <w:jc w:val="both"/>
        <w:rPr>
          <w:rFonts w:ascii="Times New Roman" w:eastAsia="Times New Roman" w:hAnsi="Times New Roman"/>
          <w:sz w:val="28"/>
          <w:szCs w:val="28"/>
          <w:lang w:eastAsia="bg-BG"/>
        </w:rPr>
      </w:pPr>
      <w:r w:rsidRPr="007B5942">
        <w:rPr>
          <w:rFonts w:ascii="Times New Roman" w:eastAsia="Times New Roman" w:hAnsi="Times New Roman"/>
          <w:sz w:val="28"/>
          <w:szCs w:val="28"/>
          <w:lang w:eastAsia="bg-BG"/>
        </w:rPr>
        <w:t>През 2019г. в прокуратурите от Разградски съдебен район няма незаконосъобразно приведени в изпълнение присъди.</w:t>
      </w:r>
    </w:p>
    <w:p w:rsidR="007B5942" w:rsidRPr="007B5942" w:rsidRDefault="007B5942" w:rsidP="00280F5C">
      <w:pPr>
        <w:spacing w:after="0" w:line="240" w:lineRule="auto"/>
        <w:ind w:firstLine="851"/>
        <w:jc w:val="both"/>
        <w:rPr>
          <w:rFonts w:ascii="Times New Roman" w:eastAsia="Times New Roman" w:hAnsi="Times New Roman"/>
          <w:sz w:val="28"/>
          <w:szCs w:val="28"/>
          <w:lang w:eastAsia="bg-BG"/>
        </w:rPr>
      </w:pPr>
      <w:r w:rsidRPr="007B5942">
        <w:rPr>
          <w:rFonts w:ascii="Times New Roman" w:eastAsia="Times New Roman" w:hAnsi="Times New Roman"/>
          <w:sz w:val="28"/>
          <w:szCs w:val="28"/>
          <w:lang w:eastAsia="bg-BG"/>
        </w:rPr>
        <w:t>През годината няма случаи на неоснователно задържане след срока на наложеното наказание.</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През 2019г. прокурорите от съдебния район са участвали в 53 производства във връзка с изпълнение на наказанията (през 2018г. – 58; през 2017г. – 76), а броя на съдебните заседания по тях е бил 74 (2018г. – 71; 2017г. – 82).</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 xml:space="preserve">През годината е осъществяван контрол и върху дейността по изпълнението на наказанието </w:t>
      </w:r>
      <w:proofErr w:type="spellStart"/>
      <w:r w:rsidRPr="007B5942">
        <w:rPr>
          <w:rFonts w:ascii="Times New Roman" w:hAnsi="Times New Roman"/>
          <w:sz w:val="28"/>
          <w:szCs w:val="28"/>
        </w:rPr>
        <w:t>пробация</w:t>
      </w:r>
      <w:proofErr w:type="spellEnd"/>
      <w:r w:rsidRPr="007B5942">
        <w:rPr>
          <w:rFonts w:ascii="Times New Roman" w:hAnsi="Times New Roman"/>
          <w:sz w:val="28"/>
          <w:szCs w:val="28"/>
        </w:rPr>
        <w:t xml:space="preserve">, чрез участие на прокурор от трите Районни прокуратури във всички проведени през годината </w:t>
      </w:r>
      <w:proofErr w:type="spellStart"/>
      <w:r w:rsidRPr="007B5942">
        <w:rPr>
          <w:rFonts w:ascii="Times New Roman" w:hAnsi="Times New Roman"/>
          <w:sz w:val="28"/>
          <w:szCs w:val="28"/>
        </w:rPr>
        <w:t>пробационни</w:t>
      </w:r>
      <w:proofErr w:type="spellEnd"/>
      <w:r w:rsidRPr="007B5942">
        <w:rPr>
          <w:rFonts w:ascii="Times New Roman" w:hAnsi="Times New Roman"/>
          <w:sz w:val="28"/>
          <w:szCs w:val="28"/>
        </w:rPr>
        <w:t xml:space="preserve"> съвети.</w:t>
      </w:r>
    </w:p>
    <w:p w:rsidR="007B5942" w:rsidRPr="007B5942" w:rsidRDefault="007B5942" w:rsidP="00280F5C">
      <w:pPr>
        <w:spacing w:after="0" w:line="240" w:lineRule="auto"/>
        <w:ind w:firstLine="851"/>
        <w:jc w:val="both"/>
        <w:rPr>
          <w:rFonts w:ascii="Times New Roman" w:hAnsi="Times New Roman"/>
          <w:sz w:val="28"/>
          <w:szCs w:val="28"/>
        </w:rPr>
      </w:pPr>
    </w:p>
    <w:p w:rsidR="007B5942" w:rsidRPr="007B5942" w:rsidRDefault="007B5942" w:rsidP="00280F5C">
      <w:pPr>
        <w:spacing w:after="0" w:line="240" w:lineRule="auto"/>
        <w:ind w:firstLine="851"/>
        <w:jc w:val="both"/>
        <w:rPr>
          <w:rFonts w:ascii="Times New Roman" w:hAnsi="Times New Roman"/>
          <w:b/>
          <w:sz w:val="28"/>
          <w:szCs w:val="28"/>
        </w:rPr>
      </w:pPr>
      <w:r w:rsidRPr="007B5942">
        <w:rPr>
          <w:rFonts w:ascii="Times New Roman" w:hAnsi="Times New Roman"/>
          <w:b/>
          <w:sz w:val="28"/>
          <w:szCs w:val="28"/>
        </w:rPr>
        <w:t>Принудителни мерки:</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През анализирания период в Разградски съдебен район са наблюдавани общо 53 (2018г. – 65; 2017г. – 66) преписки по прилагане на принудителни мерки, от които 48 новообразувани ( 2018г.-58; 2017г.-60). Налице е изразена тенденция на спад както на наблюдаваните, така и на новообразуваните преписки в  сравнение с предходните две години.</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 xml:space="preserve">Въз основа на работата по тези преписки прокурорите са изготвили и внесли в съда 19 предложения и искания за налагане на принудителни медицински мерки. Разгледани от съда са 19, от тях 10 уважени и 3 прекратени. През 2018г. са били внесени 23 предложения и искания, от тях  10 уважени и 5 прекратени. През 2017г. са били внесени 25 предложения и </w:t>
      </w:r>
      <w:r w:rsidRPr="007B5942">
        <w:rPr>
          <w:rFonts w:ascii="Times New Roman" w:hAnsi="Times New Roman"/>
          <w:sz w:val="28"/>
          <w:szCs w:val="28"/>
        </w:rPr>
        <w:lastRenderedPageBreak/>
        <w:t>искания, от тях  21 уважени и 4 прекратени. Налице е изразена тенденция на спад на внесените в съда предложения в  сравнение с предходните две години.</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 xml:space="preserve"> По внесените предложения и искания са проведени 37 съдебни заседания, през 2018г. са били 46, през 2017г. - 53. Налице е изразена тенденция на спад на съдебните заседания.</w:t>
      </w:r>
    </w:p>
    <w:p w:rsidR="007B5942" w:rsidRPr="007B5942" w:rsidRDefault="007B5942" w:rsidP="00280F5C">
      <w:pPr>
        <w:spacing w:after="0" w:line="240" w:lineRule="auto"/>
        <w:ind w:firstLine="851"/>
        <w:jc w:val="both"/>
        <w:rPr>
          <w:rFonts w:ascii="Times New Roman" w:hAnsi="Times New Roman"/>
          <w:sz w:val="28"/>
          <w:szCs w:val="28"/>
        </w:rPr>
      </w:pPr>
    </w:p>
    <w:p w:rsidR="007B5942" w:rsidRPr="007B5942" w:rsidRDefault="007B5942" w:rsidP="00280F5C">
      <w:pPr>
        <w:spacing w:after="0" w:line="240" w:lineRule="auto"/>
        <w:ind w:firstLine="851"/>
        <w:jc w:val="both"/>
        <w:rPr>
          <w:rFonts w:ascii="Times New Roman" w:hAnsi="Times New Roman"/>
          <w:b/>
          <w:sz w:val="28"/>
          <w:szCs w:val="28"/>
        </w:rPr>
      </w:pPr>
      <w:r w:rsidRPr="007B5942">
        <w:rPr>
          <w:rFonts w:ascii="Times New Roman" w:hAnsi="Times New Roman"/>
          <w:b/>
          <w:sz w:val="28"/>
          <w:szCs w:val="28"/>
        </w:rPr>
        <w:t>Дейност на прокурорите по надзора за законност в местата за лишаване от свобода и изпълнение на мярката за неотклонение „Задържане под стража“.</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На територията на Разградски съдебен регион има „Арести“ към РС „ИН“ Разград. Надзорът за законност в „Арести“ -Разград през 2019г. е осъществяван в съответствие с Указанието за дейността на прокуратурата по надзора върху изпълнение на наказанията и другите принудителни мерки, утвърдени със Заповед №РД-04-71/19.02.2018г. на Главния прокурор на Република България. Окръжният прокурор, който е и надзорен прокурор, е извършвал ежемесечни проверки в „Арести“ към РС „ИН“ Разград. Ежеседмично в Окръжна прокуратура –Разград се получава информация за задържаните и приведени в ареста лица. През отчетния период не са установени нарушения на правата на задържаните лица, нерегламентирани контакти на последните с длъжностни лица, с други задържани или външни лица. Медицинското обслужване в ареста се осъществява от назначен медицински фелдшер. Няма установени случаи на неоснователно задържане.</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 xml:space="preserve">През 2019 година следва да продължи работата на прокурорите по </w:t>
      </w:r>
      <w:proofErr w:type="spellStart"/>
      <w:r w:rsidRPr="007B5942">
        <w:rPr>
          <w:rFonts w:ascii="Times New Roman" w:hAnsi="Times New Roman"/>
          <w:sz w:val="28"/>
          <w:szCs w:val="28"/>
        </w:rPr>
        <w:t>присъдните</w:t>
      </w:r>
      <w:proofErr w:type="spellEnd"/>
      <w:r w:rsidRPr="007B5942">
        <w:rPr>
          <w:rFonts w:ascii="Times New Roman" w:hAnsi="Times New Roman"/>
          <w:sz w:val="28"/>
          <w:szCs w:val="28"/>
        </w:rPr>
        <w:t xml:space="preserve"> преписки, отнасящи се до останалите неприведени присъди от предходни години. Следва да се продължат съвместните действия с </w:t>
      </w:r>
      <w:proofErr w:type="spellStart"/>
      <w:r w:rsidRPr="007B5942">
        <w:rPr>
          <w:rFonts w:ascii="Times New Roman" w:hAnsi="Times New Roman"/>
          <w:sz w:val="28"/>
          <w:szCs w:val="28"/>
        </w:rPr>
        <w:t>издирвателните</w:t>
      </w:r>
      <w:proofErr w:type="spellEnd"/>
      <w:r w:rsidRPr="007B5942">
        <w:rPr>
          <w:rFonts w:ascii="Times New Roman" w:hAnsi="Times New Roman"/>
          <w:sz w:val="28"/>
          <w:szCs w:val="28"/>
        </w:rPr>
        <w:t xml:space="preserve"> служби на МВР, с цел издирването на осъдените лица, както на местно ниво, така и на обявените лица за международно издирване.</w:t>
      </w:r>
    </w:p>
    <w:p w:rsidR="007B5942" w:rsidRPr="007B5942" w:rsidRDefault="007B5942" w:rsidP="00280F5C">
      <w:pPr>
        <w:spacing w:after="0" w:line="240" w:lineRule="auto"/>
        <w:ind w:firstLine="851"/>
        <w:jc w:val="both"/>
        <w:rPr>
          <w:rFonts w:ascii="Times New Roman" w:hAnsi="Times New Roman"/>
          <w:sz w:val="28"/>
          <w:szCs w:val="28"/>
        </w:rPr>
      </w:pPr>
      <w:r w:rsidRPr="007B5942">
        <w:rPr>
          <w:rFonts w:ascii="Times New Roman" w:hAnsi="Times New Roman"/>
          <w:sz w:val="28"/>
          <w:szCs w:val="28"/>
        </w:rPr>
        <w:t>Общият извод от анализа за дейността на прокуратурите от Разградски съдебен район по НИНДПМ през 2019г. е, че същата е на много добро ниво. Надзорните прокурори спазват нормативната уредба, инициативни са, проявяват необходимата отговорност.</w:t>
      </w:r>
    </w:p>
    <w:p w:rsidR="007B5942" w:rsidRPr="007B5942" w:rsidRDefault="007B5942" w:rsidP="00280F5C">
      <w:pPr>
        <w:spacing w:after="0" w:line="240" w:lineRule="auto"/>
        <w:ind w:firstLine="851"/>
        <w:jc w:val="both"/>
        <w:rPr>
          <w:rFonts w:ascii="Times New Roman" w:hAnsi="Times New Roman"/>
          <w:sz w:val="28"/>
          <w:szCs w:val="28"/>
        </w:rPr>
      </w:pPr>
    </w:p>
    <w:p w:rsidR="007B5942" w:rsidRPr="007B5942" w:rsidRDefault="007B5942" w:rsidP="00280F5C">
      <w:pPr>
        <w:tabs>
          <w:tab w:val="left" w:pos="2520"/>
          <w:tab w:val="left" w:pos="3870"/>
        </w:tabs>
        <w:spacing w:after="0" w:line="240" w:lineRule="auto"/>
        <w:ind w:firstLine="851"/>
        <w:jc w:val="both"/>
        <w:rPr>
          <w:rFonts w:ascii="Times New Roman" w:hAnsi="Times New Roman"/>
          <w:sz w:val="28"/>
          <w:szCs w:val="28"/>
        </w:rPr>
      </w:pPr>
    </w:p>
    <w:p w:rsidR="007B5942" w:rsidRPr="007B5942" w:rsidRDefault="007B5942" w:rsidP="00280F5C">
      <w:pPr>
        <w:spacing w:after="0" w:line="240" w:lineRule="auto"/>
        <w:ind w:firstLine="851"/>
        <w:jc w:val="both"/>
        <w:rPr>
          <w:rFonts w:ascii="Times New Roman" w:hAnsi="Times New Roman"/>
          <w:b/>
          <w:sz w:val="28"/>
          <w:szCs w:val="28"/>
        </w:rPr>
      </w:pPr>
    </w:p>
    <w:p w:rsidR="007B5942" w:rsidRPr="007B5942" w:rsidRDefault="007B5942" w:rsidP="00280F5C">
      <w:pPr>
        <w:spacing w:after="0" w:line="240" w:lineRule="auto"/>
        <w:ind w:firstLine="851"/>
        <w:jc w:val="both"/>
        <w:rPr>
          <w:rFonts w:ascii="Times New Roman" w:hAnsi="Times New Roman"/>
          <w:b/>
          <w:sz w:val="28"/>
          <w:szCs w:val="28"/>
        </w:rPr>
      </w:pPr>
    </w:p>
    <w:p w:rsidR="007B5942" w:rsidRPr="007B5942" w:rsidRDefault="007B5942" w:rsidP="00280F5C">
      <w:pPr>
        <w:spacing w:after="0" w:line="240" w:lineRule="auto"/>
        <w:ind w:firstLine="851"/>
        <w:jc w:val="both"/>
        <w:rPr>
          <w:rFonts w:ascii="Times New Roman" w:hAnsi="Times New Roman"/>
          <w:b/>
          <w:sz w:val="28"/>
          <w:szCs w:val="28"/>
        </w:rPr>
      </w:pPr>
    </w:p>
    <w:p w:rsidR="007B5942" w:rsidRPr="007B5942" w:rsidRDefault="007B5942" w:rsidP="00280F5C">
      <w:pPr>
        <w:spacing w:after="0" w:line="240" w:lineRule="auto"/>
        <w:ind w:firstLine="851"/>
        <w:jc w:val="both"/>
        <w:rPr>
          <w:rFonts w:ascii="Times New Roman" w:hAnsi="Times New Roman"/>
          <w:b/>
          <w:sz w:val="28"/>
          <w:szCs w:val="28"/>
        </w:rPr>
      </w:pPr>
    </w:p>
    <w:p w:rsidR="007B5942" w:rsidRDefault="007B5942" w:rsidP="00280F5C">
      <w:pPr>
        <w:spacing w:after="0" w:line="240" w:lineRule="auto"/>
        <w:ind w:firstLine="851"/>
        <w:jc w:val="both"/>
        <w:rPr>
          <w:rFonts w:ascii="Times New Roman" w:hAnsi="Times New Roman"/>
          <w:b/>
          <w:sz w:val="28"/>
          <w:szCs w:val="28"/>
        </w:rPr>
      </w:pPr>
    </w:p>
    <w:p w:rsidR="007B5942" w:rsidRDefault="007B5942" w:rsidP="00280F5C">
      <w:pPr>
        <w:spacing w:after="0" w:line="240" w:lineRule="auto"/>
        <w:ind w:firstLine="851"/>
        <w:jc w:val="both"/>
        <w:rPr>
          <w:rFonts w:ascii="Times New Roman" w:hAnsi="Times New Roman"/>
          <w:b/>
          <w:sz w:val="28"/>
          <w:szCs w:val="28"/>
        </w:rPr>
      </w:pPr>
    </w:p>
    <w:p w:rsidR="007B5942" w:rsidRDefault="007B5942" w:rsidP="00280F5C">
      <w:pPr>
        <w:spacing w:after="0" w:line="240" w:lineRule="auto"/>
        <w:ind w:firstLine="851"/>
        <w:jc w:val="both"/>
        <w:rPr>
          <w:rFonts w:ascii="Times New Roman" w:hAnsi="Times New Roman"/>
          <w:b/>
          <w:sz w:val="28"/>
          <w:szCs w:val="28"/>
        </w:rPr>
      </w:pPr>
    </w:p>
    <w:p w:rsidR="007B5942" w:rsidRDefault="007B5942" w:rsidP="00DA0A59">
      <w:pPr>
        <w:spacing w:after="0" w:line="240" w:lineRule="auto"/>
        <w:ind w:firstLine="709"/>
        <w:jc w:val="both"/>
        <w:rPr>
          <w:rFonts w:ascii="Times New Roman" w:hAnsi="Times New Roman"/>
          <w:b/>
          <w:sz w:val="28"/>
          <w:szCs w:val="28"/>
        </w:rPr>
      </w:pPr>
    </w:p>
    <w:p w:rsidR="007B5942" w:rsidRDefault="007B5942" w:rsidP="00DA0A59">
      <w:pPr>
        <w:spacing w:after="0" w:line="240" w:lineRule="auto"/>
        <w:ind w:firstLine="709"/>
        <w:jc w:val="both"/>
        <w:rPr>
          <w:rFonts w:ascii="Times New Roman" w:hAnsi="Times New Roman"/>
          <w:b/>
          <w:sz w:val="28"/>
          <w:szCs w:val="28"/>
        </w:rPr>
      </w:pPr>
    </w:p>
    <w:p w:rsidR="00EA0714" w:rsidRDefault="00EA0714" w:rsidP="00DA0A59">
      <w:pPr>
        <w:spacing w:after="0" w:line="240" w:lineRule="auto"/>
        <w:ind w:firstLine="709"/>
        <w:jc w:val="both"/>
        <w:rPr>
          <w:rFonts w:ascii="Times New Roman" w:hAnsi="Times New Roman"/>
          <w:b/>
          <w:sz w:val="28"/>
          <w:szCs w:val="28"/>
        </w:rPr>
      </w:pPr>
    </w:p>
    <w:p w:rsidR="00EA0714" w:rsidRDefault="00EA0714" w:rsidP="00DA0A59">
      <w:pPr>
        <w:spacing w:after="0" w:line="240" w:lineRule="auto"/>
        <w:ind w:firstLine="709"/>
        <w:jc w:val="both"/>
        <w:rPr>
          <w:rFonts w:ascii="Times New Roman" w:hAnsi="Times New Roman"/>
          <w:b/>
          <w:sz w:val="28"/>
          <w:szCs w:val="28"/>
        </w:rPr>
      </w:pPr>
    </w:p>
    <w:p w:rsidR="00C16752" w:rsidRPr="00C16752" w:rsidRDefault="00C16752" w:rsidP="00C16752">
      <w:pPr>
        <w:spacing w:after="0" w:line="240" w:lineRule="auto"/>
        <w:ind w:firstLine="709"/>
        <w:jc w:val="both"/>
        <w:rPr>
          <w:rFonts w:ascii="Times New Roman" w:hAnsi="Times New Roman"/>
          <w:sz w:val="28"/>
          <w:szCs w:val="28"/>
        </w:rPr>
      </w:pPr>
      <w:r w:rsidRPr="00C16752">
        <w:rPr>
          <w:rFonts w:ascii="Times New Roman" w:hAnsi="Times New Roman"/>
          <w:sz w:val="28"/>
          <w:szCs w:val="28"/>
        </w:rPr>
        <w:lastRenderedPageBreak/>
        <w:tab/>
      </w:r>
      <w:r w:rsidRPr="00C16752">
        <w:rPr>
          <w:rFonts w:ascii="Times New Roman" w:hAnsi="Times New Roman"/>
          <w:sz w:val="28"/>
          <w:szCs w:val="28"/>
        </w:rPr>
        <w:tab/>
      </w:r>
    </w:p>
    <w:p w:rsidR="00C16752" w:rsidRPr="00C16752" w:rsidRDefault="00C16752" w:rsidP="00C16752">
      <w:pPr>
        <w:spacing w:after="0" w:line="240" w:lineRule="auto"/>
        <w:ind w:firstLine="709"/>
        <w:jc w:val="both"/>
        <w:rPr>
          <w:rFonts w:ascii="Times New Roman" w:hAnsi="Times New Roman"/>
          <w:b/>
          <w:sz w:val="28"/>
          <w:szCs w:val="28"/>
        </w:rPr>
      </w:pPr>
      <w:r w:rsidRPr="00C16752">
        <w:rPr>
          <w:rFonts w:ascii="Times New Roman" w:hAnsi="Times New Roman"/>
          <w:b/>
          <w:sz w:val="28"/>
          <w:szCs w:val="28"/>
        </w:rPr>
        <w:t>Раздел VІІ. Приоритети в дейността на прокуратурата и на разследващите органи.</w:t>
      </w:r>
    </w:p>
    <w:p w:rsidR="00C16752" w:rsidRPr="00C16752" w:rsidRDefault="00C16752" w:rsidP="00C16752">
      <w:pPr>
        <w:spacing w:after="0" w:line="240" w:lineRule="auto"/>
        <w:ind w:firstLine="709"/>
        <w:jc w:val="both"/>
        <w:rPr>
          <w:rFonts w:ascii="Times New Roman" w:hAnsi="Times New Roman"/>
          <w:sz w:val="28"/>
          <w:szCs w:val="28"/>
        </w:rPr>
      </w:pPr>
    </w:p>
    <w:p w:rsidR="00C16752" w:rsidRPr="00C16752" w:rsidRDefault="00C16752" w:rsidP="00C16752">
      <w:pPr>
        <w:numPr>
          <w:ilvl w:val="0"/>
          <w:numId w:val="14"/>
        </w:numPr>
        <w:spacing w:after="0" w:line="240" w:lineRule="auto"/>
        <w:ind w:left="0" w:firstLine="709"/>
        <w:contextualSpacing/>
        <w:jc w:val="both"/>
        <w:rPr>
          <w:rFonts w:ascii="Times New Roman" w:hAnsi="Times New Roman"/>
          <w:bCs/>
          <w:sz w:val="28"/>
          <w:szCs w:val="28"/>
        </w:rPr>
      </w:pPr>
      <w:r w:rsidRPr="00C16752">
        <w:rPr>
          <w:rFonts w:ascii="Times New Roman" w:hAnsi="Times New Roman"/>
          <w:sz w:val="28"/>
          <w:szCs w:val="28"/>
          <w:lang w:eastAsia="bg-BG"/>
        </w:rPr>
        <w:t xml:space="preserve">Подобряване </w:t>
      </w:r>
      <w:proofErr w:type="spellStart"/>
      <w:r w:rsidRPr="00C16752">
        <w:rPr>
          <w:rFonts w:ascii="Times New Roman" w:hAnsi="Times New Roman"/>
          <w:sz w:val="28"/>
          <w:szCs w:val="28"/>
          <w:lang w:eastAsia="bg-BG"/>
        </w:rPr>
        <w:t>срочността</w:t>
      </w:r>
      <w:proofErr w:type="spellEnd"/>
      <w:r w:rsidRPr="00C16752">
        <w:rPr>
          <w:rFonts w:ascii="Times New Roman" w:hAnsi="Times New Roman"/>
          <w:sz w:val="28"/>
          <w:szCs w:val="28"/>
          <w:lang w:eastAsia="bg-BG"/>
        </w:rPr>
        <w:t xml:space="preserve"> и качеството на работа на разследващите полицаи по досъдебните производства</w:t>
      </w:r>
      <w:r w:rsidRPr="00C16752">
        <w:rPr>
          <w:rFonts w:ascii="Times New Roman" w:hAnsi="Times New Roman"/>
          <w:bCs/>
          <w:sz w:val="28"/>
          <w:szCs w:val="28"/>
        </w:rPr>
        <w:t xml:space="preserve">, чрез </w:t>
      </w:r>
      <w:r w:rsidRPr="00C16752">
        <w:rPr>
          <w:rFonts w:ascii="Times New Roman" w:eastAsia="Times New Roman" w:hAnsi="Times New Roman"/>
          <w:sz w:val="28"/>
          <w:szCs w:val="28"/>
          <w:lang w:eastAsia="bg-BG"/>
        </w:rPr>
        <w:t>ефективен контрол от административните ръководители за спазване на сроковете за извършване на разследването и на сроковете за мерките за процесуална принуда чрез пълноценно използване на данните от електронните регистри касаещи работата по ДП; чрез недопускане на немотивирано и по субективни причини удължаване срока на разследване по чл.234 ал.3 НПК.</w:t>
      </w:r>
    </w:p>
    <w:p w:rsidR="00C16752" w:rsidRPr="00C16752" w:rsidRDefault="00C16752" w:rsidP="00C16752">
      <w:pPr>
        <w:numPr>
          <w:ilvl w:val="0"/>
          <w:numId w:val="14"/>
        </w:numPr>
        <w:spacing w:after="0" w:line="240" w:lineRule="auto"/>
        <w:ind w:left="0" w:firstLine="709"/>
        <w:contextualSpacing/>
        <w:jc w:val="both"/>
        <w:rPr>
          <w:rFonts w:ascii="Times New Roman" w:hAnsi="Times New Roman"/>
          <w:bCs/>
          <w:sz w:val="28"/>
          <w:szCs w:val="28"/>
        </w:rPr>
      </w:pPr>
      <w:r w:rsidRPr="00C16752">
        <w:rPr>
          <w:rFonts w:ascii="Times New Roman" w:eastAsia="Times New Roman" w:hAnsi="Times New Roman"/>
          <w:sz w:val="28"/>
          <w:szCs w:val="28"/>
          <w:lang w:eastAsia="bg-BG"/>
        </w:rPr>
        <w:t>Спазване на процесуалните срокове за извършване на предварителните проверки. Засилен контрол от страна на административните ръководители на прокуратурите в региона по упражняване на функциите им по контрол за спазване на тези срокове.</w:t>
      </w:r>
    </w:p>
    <w:p w:rsidR="00C16752" w:rsidRPr="00C16752" w:rsidRDefault="00C16752" w:rsidP="00C16752">
      <w:pPr>
        <w:numPr>
          <w:ilvl w:val="0"/>
          <w:numId w:val="14"/>
        </w:numPr>
        <w:spacing w:after="0" w:line="240" w:lineRule="auto"/>
        <w:ind w:left="0" w:firstLine="709"/>
        <w:contextualSpacing/>
        <w:jc w:val="both"/>
        <w:rPr>
          <w:rFonts w:ascii="Times New Roman" w:hAnsi="Times New Roman"/>
          <w:bCs/>
          <w:sz w:val="28"/>
          <w:szCs w:val="28"/>
        </w:rPr>
      </w:pPr>
      <w:r w:rsidRPr="00C16752">
        <w:rPr>
          <w:rFonts w:ascii="Times New Roman" w:hAnsi="Times New Roman"/>
          <w:sz w:val="28"/>
          <w:szCs w:val="28"/>
          <w:lang w:eastAsia="bg-BG"/>
        </w:rPr>
        <w:t>Вземане на мерки за бързото и законосъобразно приключване на ДП, образувани или водени срещу известен извършител преди 2016г., по които наказателното производство е било спряно.</w:t>
      </w:r>
    </w:p>
    <w:p w:rsidR="00C16752" w:rsidRPr="00C16752" w:rsidRDefault="00C16752" w:rsidP="00C16752">
      <w:pPr>
        <w:numPr>
          <w:ilvl w:val="0"/>
          <w:numId w:val="14"/>
        </w:numPr>
        <w:spacing w:after="0" w:line="240" w:lineRule="auto"/>
        <w:ind w:left="0" w:firstLine="709"/>
        <w:contextualSpacing/>
        <w:jc w:val="both"/>
        <w:rPr>
          <w:rFonts w:ascii="Times New Roman" w:hAnsi="Times New Roman"/>
          <w:bCs/>
          <w:sz w:val="28"/>
          <w:szCs w:val="28"/>
        </w:rPr>
      </w:pPr>
      <w:r w:rsidRPr="00C16752">
        <w:rPr>
          <w:rFonts w:ascii="Times New Roman" w:eastAsia="Times New Roman" w:hAnsi="Times New Roman"/>
          <w:sz w:val="28"/>
          <w:szCs w:val="28"/>
          <w:lang w:eastAsia="bg-BG"/>
        </w:rPr>
        <w:t xml:space="preserve">Повишаване ефективността в противодействие на престъпленията свързани с корупция и незаконен трафик на наркотици. </w:t>
      </w:r>
    </w:p>
    <w:p w:rsidR="00C16752" w:rsidRPr="00C16752" w:rsidRDefault="00C16752" w:rsidP="00C16752">
      <w:pPr>
        <w:numPr>
          <w:ilvl w:val="0"/>
          <w:numId w:val="14"/>
        </w:numPr>
        <w:spacing w:after="0" w:line="240" w:lineRule="auto"/>
        <w:ind w:left="0" w:firstLine="709"/>
        <w:contextualSpacing/>
        <w:jc w:val="both"/>
        <w:rPr>
          <w:rFonts w:ascii="Times New Roman" w:hAnsi="Times New Roman"/>
          <w:bCs/>
          <w:sz w:val="28"/>
          <w:szCs w:val="28"/>
        </w:rPr>
      </w:pPr>
      <w:r w:rsidRPr="00C16752">
        <w:rPr>
          <w:rFonts w:ascii="Times New Roman" w:hAnsi="Times New Roman"/>
          <w:bCs/>
          <w:sz w:val="28"/>
          <w:szCs w:val="28"/>
        </w:rPr>
        <w:t>Подобряване качеството на работата на прокурорите, относно намаляване броя на върнатите дела и оправдателните присъди.</w:t>
      </w:r>
    </w:p>
    <w:p w:rsidR="00C16752" w:rsidRPr="00C16752" w:rsidRDefault="00C16752" w:rsidP="00C16752">
      <w:pPr>
        <w:numPr>
          <w:ilvl w:val="0"/>
          <w:numId w:val="14"/>
        </w:numPr>
        <w:spacing w:after="0" w:line="240" w:lineRule="auto"/>
        <w:ind w:left="0" w:firstLine="709"/>
        <w:contextualSpacing/>
        <w:jc w:val="both"/>
        <w:rPr>
          <w:rFonts w:ascii="Times New Roman" w:hAnsi="Times New Roman"/>
          <w:sz w:val="28"/>
          <w:szCs w:val="28"/>
          <w:lang w:eastAsia="bg-BG"/>
        </w:rPr>
      </w:pPr>
      <w:r w:rsidRPr="00C16752">
        <w:rPr>
          <w:rFonts w:ascii="Times New Roman" w:hAnsi="Times New Roman"/>
          <w:sz w:val="28"/>
          <w:szCs w:val="28"/>
          <w:lang w:eastAsia="bg-BG"/>
        </w:rPr>
        <w:t>Повишаване квалификацията на специализираната администрация чрез участие в обучителни семинари.</w:t>
      </w:r>
    </w:p>
    <w:p w:rsidR="00C16752" w:rsidRPr="00C16752" w:rsidRDefault="00C16752" w:rsidP="00C16752">
      <w:pPr>
        <w:numPr>
          <w:ilvl w:val="0"/>
          <w:numId w:val="14"/>
        </w:numPr>
        <w:spacing w:after="0" w:line="240" w:lineRule="auto"/>
        <w:ind w:left="0" w:firstLine="709"/>
        <w:contextualSpacing/>
        <w:jc w:val="both"/>
        <w:rPr>
          <w:rFonts w:ascii="Times New Roman" w:hAnsi="Times New Roman"/>
          <w:sz w:val="28"/>
          <w:szCs w:val="28"/>
          <w:lang w:eastAsia="bg-BG"/>
        </w:rPr>
      </w:pPr>
      <w:r w:rsidRPr="00C16752">
        <w:rPr>
          <w:rFonts w:ascii="Times New Roman" w:hAnsi="Times New Roman"/>
          <w:sz w:val="28"/>
          <w:szCs w:val="28"/>
          <w:lang w:eastAsia="bg-BG"/>
        </w:rPr>
        <w:t>Повишаване квалификацията на прокурорите чрез участие в обучителни семинари.</w:t>
      </w:r>
    </w:p>
    <w:p w:rsidR="00C16752" w:rsidRPr="00C16752" w:rsidRDefault="00C16752" w:rsidP="00C16752">
      <w:pPr>
        <w:numPr>
          <w:ilvl w:val="0"/>
          <w:numId w:val="14"/>
        </w:numPr>
        <w:spacing w:after="0" w:line="240" w:lineRule="auto"/>
        <w:ind w:left="0" w:firstLine="709"/>
        <w:contextualSpacing/>
        <w:jc w:val="both"/>
        <w:rPr>
          <w:rFonts w:ascii="Times New Roman" w:hAnsi="Times New Roman"/>
          <w:sz w:val="28"/>
          <w:szCs w:val="28"/>
          <w:lang w:eastAsia="bg-BG"/>
        </w:rPr>
      </w:pPr>
      <w:r w:rsidRPr="00C16752">
        <w:rPr>
          <w:rFonts w:ascii="Times New Roman" w:hAnsi="Times New Roman"/>
          <w:sz w:val="28"/>
          <w:szCs w:val="28"/>
          <w:lang w:eastAsia="bg-BG"/>
        </w:rPr>
        <w:t>Предоставяне на своевременна и пълна информация на обществеността чрез пресаташето на Апелативна прокуратура Варна за работата на прокуратурата.</w:t>
      </w:r>
    </w:p>
    <w:p w:rsidR="00C16752" w:rsidRPr="00C16752" w:rsidRDefault="00C16752" w:rsidP="00C16752">
      <w:pPr>
        <w:numPr>
          <w:ilvl w:val="0"/>
          <w:numId w:val="14"/>
        </w:numPr>
        <w:spacing w:after="0" w:line="240" w:lineRule="auto"/>
        <w:ind w:left="0" w:firstLine="709"/>
        <w:contextualSpacing/>
        <w:jc w:val="both"/>
        <w:rPr>
          <w:rFonts w:ascii="Times New Roman" w:eastAsia="Times New Roman" w:hAnsi="Times New Roman"/>
          <w:sz w:val="28"/>
          <w:szCs w:val="28"/>
          <w:lang w:eastAsia="bg-BG"/>
        </w:rPr>
      </w:pPr>
      <w:r w:rsidRPr="00C16752">
        <w:rPr>
          <w:rFonts w:ascii="Times New Roman" w:eastAsia="Times New Roman" w:hAnsi="Times New Roman"/>
          <w:sz w:val="28"/>
          <w:szCs w:val="28"/>
          <w:lang w:eastAsia="bg-BG"/>
        </w:rPr>
        <w:t>Активна контролно-ревизионна дейност на Окръжна прокуратура Разград, целяща своевременно отстраняване на негативите в работата на Районна прокуратура Разград и ТО-Исперих и ТО-Кубрат към нея.</w:t>
      </w:r>
    </w:p>
    <w:p w:rsidR="00C16752" w:rsidRPr="00C16752" w:rsidRDefault="00C16752" w:rsidP="00C16752">
      <w:pPr>
        <w:numPr>
          <w:ilvl w:val="0"/>
          <w:numId w:val="14"/>
        </w:numPr>
        <w:spacing w:after="0" w:line="240" w:lineRule="auto"/>
        <w:ind w:left="0" w:firstLine="709"/>
        <w:contextualSpacing/>
        <w:jc w:val="both"/>
        <w:rPr>
          <w:rFonts w:ascii="Times New Roman" w:hAnsi="Times New Roman"/>
          <w:sz w:val="28"/>
          <w:szCs w:val="28"/>
          <w:lang w:eastAsia="bg-BG"/>
        </w:rPr>
      </w:pPr>
      <w:r w:rsidRPr="00C16752">
        <w:rPr>
          <w:rFonts w:ascii="Times New Roman" w:hAnsi="Times New Roman"/>
          <w:sz w:val="28"/>
          <w:szCs w:val="28"/>
          <w:lang w:eastAsia="bg-BG"/>
        </w:rPr>
        <w:t>Запазване и развиване на добрите професионални отношения и добрата съвместна работа с останалите държавни институции в съдебния район, имащи отношение към дейността на прокуратурата.</w:t>
      </w:r>
      <w:bookmarkStart w:id="0" w:name="_GoBack"/>
      <w:bookmarkEnd w:id="0"/>
    </w:p>
    <w:p w:rsidR="00C16752" w:rsidRPr="00C16752" w:rsidRDefault="00C16752" w:rsidP="00C16752">
      <w:pPr>
        <w:numPr>
          <w:ilvl w:val="0"/>
          <w:numId w:val="14"/>
        </w:numPr>
        <w:spacing w:after="0" w:line="240" w:lineRule="auto"/>
        <w:ind w:left="0" w:firstLine="709"/>
        <w:contextualSpacing/>
        <w:jc w:val="both"/>
        <w:rPr>
          <w:rFonts w:ascii="Times New Roman" w:hAnsi="Times New Roman"/>
          <w:sz w:val="28"/>
          <w:szCs w:val="28"/>
          <w:lang w:eastAsia="bg-BG"/>
        </w:rPr>
      </w:pPr>
      <w:r w:rsidRPr="00C16752">
        <w:rPr>
          <w:rFonts w:ascii="Times New Roman" w:hAnsi="Times New Roman"/>
          <w:sz w:val="28"/>
          <w:szCs w:val="28"/>
          <w:lang w:eastAsia="bg-BG"/>
        </w:rPr>
        <w:t>Провеждане на активна медийна политика, свързана с отразяване на работата на всички прокуратури в Разградски съдебен регион с оглед повишаване на общественото доверие в дейността на прокуратурата.</w:t>
      </w:r>
    </w:p>
    <w:p w:rsidR="00C16752" w:rsidRPr="00C16752" w:rsidRDefault="00C16752" w:rsidP="00C16752">
      <w:pPr>
        <w:spacing w:after="0" w:line="240" w:lineRule="auto"/>
        <w:ind w:firstLine="709"/>
        <w:jc w:val="both"/>
        <w:rPr>
          <w:rFonts w:ascii="Times New Roman" w:hAnsi="Times New Roman"/>
          <w:sz w:val="28"/>
          <w:szCs w:val="28"/>
          <w:lang w:eastAsia="bg-BG"/>
        </w:rPr>
      </w:pPr>
    </w:p>
    <w:p w:rsidR="00C16752" w:rsidRPr="00C16752" w:rsidRDefault="00C16752" w:rsidP="00C16752">
      <w:pPr>
        <w:spacing w:after="0" w:line="240" w:lineRule="auto"/>
        <w:jc w:val="both"/>
        <w:rPr>
          <w:rFonts w:ascii="Times New Roman" w:hAnsi="Times New Roman"/>
          <w:sz w:val="28"/>
          <w:szCs w:val="28"/>
          <w:lang w:eastAsia="bg-BG"/>
        </w:rPr>
      </w:pPr>
    </w:p>
    <w:p w:rsidR="00C16752" w:rsidRPr="00C16752" w:rsidRDefault="00C16752" w:rsidP="00C16752">
      <w:pPr>
        <w:spacing w:after="0" w:line="240" w:lineRule="auto"/>
        <w:ind w:firstLine="2552"/>
        <w:jc w:val="both"/>
        <w:rPr>
          <w:rFonts w:ascii="Times New Roman" w:hAnsi="Times New Roman"/>
          <w:b/>
          <w:sz w:val="28"/>
          <w:szCs w:val="28"/>
          <w:lang w:eastAsia="bg-BG"/>
        </w:rPr>
      </w:pPr>
      <w:r w:rsidRPr="00C16752">
        <w:rPr>
          <w:rFonts w:ascii="Times New Roman" w:hAnsi="Times New Roman"/>
          <w:b/>
          <w:sz w:val="28"/>
          <w:szCs w:val="28"/>
          <w:lang w:eastAsia="bg-BG"/>
        </w:rPr>
        <w:t>ОКРЪЖЕН ПРОКУРОР:</w:t>
      </w:r>
      <w:r w:rsidR="003265B8">
        <w:rPr>
          <w:rFonts w:ascii="Times New Roman" w:hAnsi="Times New Roman"/>
          <w:b/>
          <w:sz w:val="28"/>
          <w:szCs w:val="28"/>
          <w:lang w:eastAsia="bg-BG"/>
        </w:rPr>
        <w:t xml:space="preserve"> </w:t>
      </w:r>
      <w:r w:rsidR="003265B8" w:rsidRPr="003265B8">
        <w:rPr>
          <w:rFonts w:ascii="Times New Roman" w:hAnsi="Times New Roman"/>
          <w:b/>
          <w:i/>
          <w:sz w:val="28"/>
          <w:szCs w:val="28"/>
          <w:lang w:eastAsia="bg-BG"/>
        </w:rPr>
        <w:t>/ не се чете /</w:t>
      </w:r>
    </w:p>
    <w:p w:rsidR="00C16752" w:rsidRPr="00C16752" w:rsidRDefault="00C16752" w:rsidP="00C16752">
      <w:pPr>
        <w:spacing w:after="0" w:line="240" w:lineRule="auto"/>
        <w:ind w:firstLine="5812"/>
        <w:jc w:val="both"/>
        <w:rPr>
          <w:rFonts w:asciiTheme="minorHAnsi" w:eastAsiaTheme="minorHAnsi" w:hAnsiTheme="minorHAnsi" w:cstheme="minorBidi"/>
        </w:rPr>
      </w:pPr>
      <w:r w:rsidRPr="00C16752">
        <w:rPr>
          <w:rFonts w:ascii="Times New Roman" w:hAnsi="Times New Roman"/>
          <w:b/>
          <w:sz w:val="28"/>
          <w:szCs w:val="28"/>
          <w:lang w:eastAsia="bg-BG"/>
        </w:rPr>
        <w:t>/</w:t>
      </w:r>
      <w:r w:rsidR="00B30B1B">
        <w:rPr>
          <w:rFonts w:ascii="Times New Roman" w:hAnsi="Times New Roman"/>
          <w:b/>
          <w:sz w:val="28"/>
          <w:szCs w:val="28"/>
          <w:lang w:eastAsia="bg-BG"/>
        </w:rPr>
        <w:t xml:space="preserve"> </w:t>
      </w:r>
      <w:r w:rsidRPr="00C16752">
        <w:rPr>
          <w:rFonts w:ascii="Times New Roman" w:hAnsi="Times New Roman"/>
          <w:b/>
          <w:sz w:val="28"/>
          <w:szCs w:val="28"/>
          <w:lang w:eastAsia="bg-BG"/>
        </w:rPr>
        <w:t>Т.</w:t>
      </w:r>
      <w:r w:rsidR="00B30B1B">
        <w:rPr>
          <w:rFonts w:ascii="Times New Roman" w:hAnsi="Times New Roman"/>
          <w:b/>
          <w:sz w:val="28"/>
          <w:szCs w:val="28"/>
          <w:lang w:eastAsia="bg-BG"/>
        </w:rPr>
        <w:t xml:space="preserve"> </w:t>
      </w:r>
      <w:r w:rsidRPr="00C16752">
        <w:rPr>
          <w:rFonts w:ascii="Times New Roman" w:hAnsi="Times New Roman"/>
          <w:b/>
          <w:sz w:val="28"/>
          <w:szCs w:val="28"/>
          <w:lang w:eastAsia="bg-BG"/>
        </w:rPr>
        <w:t>ТОДОРОВ</w:t>
      </w:r>
      <w:r w:rsidR="00B30B1B">
        <w:rPr>
          <w:rFonts w:ascii="Times New Roman" w:hAnsi="Times New Roman"/>
          <w:b/>
          <w:sz w:val="28"/>
          <w:szCs w:val="28"/>
          <w:lang w:eastAsia="bg-BG"/>
        </w:rPr>
        <w:t xml:space="preserve"> </w:t>
      </w:r>
      <w:r w:rsidRPr="00C16752">
        <w:rPr>
          <w:rFonts w:ascii="Times New Roman" w:hAnsi="Times New Roman"/>
          <w:b/>
          <w:sz w:val="28"/>
          <w:szCs w:val="28"/>
          <w:lang w:eastAsia="bg-BG"/>
        </w:rPr>
        <w:t>/</w:t>
      </w:r>
    </w:p>
    <w:p w:rsidR="00626B1A" w:rsidRPr="00EE4D0D" w:rsidRDefault="00626B1A" w:rsidP="00C16752">
      <w:pPr>
        <w:spacing w:after="0" w:line="240" w:lineRule="auto"/>
        <w:ind w:firstLine="709"/>
        <w:jc w:val="both"/>
        <w:rPr>
          <w:rFonts w:ascii="Times New Roman" w:hAnsi="Times New Roman"/>
          <w:sz w:val="28"/>
          <w:szCs w:val="28"/>
        </w:rPr>
      </w:pPr>
    </w:p>
    <w:sectPr w:rsidR="00626B1A" w:rsidRPr="00EE4D0D" w:rsidSect="00EE4D0D">
      <w:footerReference w:type="even" r:id="rId54"/>
      <w:footerReference w:type="default" r:id="rId55"/>
      <w:headerReference w:type="first" r:id="rId56"/>
      <w:footerReference w:type="first" r:id="rId57"/>
      <w:pgSz w:w="11907" w:h="16840" w:code="9"/>
      <w:pgMar w:top="992" w:right="1275" w:bottom="709" w:left="144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2D" w:rsidRDefault="00912E2D" w:rsidP="00462246">
      <w:pPr>
        <w:spacing w:after="0" w:line="240" w:lineRule="auto"/>
      </w:pPr>
      <w:r>
        <w:separator/>
      </w:r>
    </w:p>
  </w:endnote>
  <w:endnote w:type="continuationSeparator" w:id="0">
    <w:p w:rsidR="00912E2D" w:rsidRDefault="00912E2D" w:rsidP="0046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2D" w:rsidRDefault="00912E2D">
    <w:pPr>
      <w:pStyle w:val="a5"/>
      <w:jc w:val="right"/>
    </w:pPr>
    <w:r>
      <w:fldChar w:fldCharType="begin"/>
    </w:r>
    <w:r>
      <w:instrText>PAGE   \* MERGEFORMAT</w:instrText>
    </w:r>
    <w:r>
      <w:fldChar w:fldCharType="separate"/>
    </w:r>
    <w:r w:rsidR="003265B8">
      <w:rPr>
        <w:noProof/>
      </w:rPr>
      <w:t>60</w:t>
    </w:r>
    <w:r>
      <w:fldChar w:fldCharType="end"/>
    </w:r>
  </w:p>
  <w:p w:rsidR="00912E2D" w:rsidRDefault="00912E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2D" w:rsidRDefault="00912E2D">
    <w:pPr>
      <w:pStyle w:val="a5"/>
      <w:jc w:val="right"/>
    </w:pPr>
    <w:r>
      <w:fldChar w:fldCharType="begin"/>
    </w:r>
    <w:r>
      <w:instrText>PAGE   \* MERGEFORMAT</w:instrText>
    </w:r>
    <w:r>
      <w:fldChar w:fldCharType="separate"/>
    </w:r>
    <w:r w:rsidR="003265B8">
      <w:rPr>
        <w:noProof/>
      </w:rPr>
      <w:t>61</w:t>
    </w:r>
    <w:r>
      <w:fldChar w:fldCharType="end"/>
    </w:r>
  </w:p>
  <w:p w:rsidR="00912E2D" w:rsidRDefault="00912E2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2D" w:rsidRDefault="00912E2D" w:rsidP="00AC620C">
    <w:pPr>
      <w:pStyle w:val="a5"/>
      <w:rPr>
        <w:rFonts w:ascii="Times New Roman" w:hAnsi="Times New Roman"/>
        <w:lang w:val="en-US"/>
      </w:rPr>
    </w:pPr>
    <w:r>
      <w:rPr>
        <w:noProof/>
        <w:lang w:eastAsia="bg-BG"/>
      </w:rPr>
      <mc:AlternateContent>
        <mc:Choice Requires="wps">
          <w:drawing>
            <wp:anchor distT="4294967295" distB="4294967295" distL="114300" distR="114300" simplePos="0" relativeHeight="251658752" behindDoc="0" locked="0" layoutInCell="0" allowOverlap="1">
              <wp:simplePos x="0" y="0"/>
              <wp:positionH relativeFrom="column">
                <wp:posOffset>28575</wp:posOffset>
              </wp:positionH>
              <wp:positionV relativeFrom="paragraph">
                <wp:posOffset>97789</wp:posOffset>
              </wp:positionV>
              <wp:extent cx="6029325" cy="0"/>
              <wp:effectExtent l="0" t="0" r="9525"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line">
                        <a:avLst/>
                      </a:prstGeom>
                      <a:noFill/>
                      <a:ln w="9525" cap="flat" cmpd="sng" algn="ctr">
                        <a:solidFill>
                          <a:sysClr val="windowText" lastClr="000000">
                            <a:shade val="95000"/>
                            <a:satMod val="105000"/>
                          </a:sys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7.7pt" to="4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" o:allowincell="f"/>
          </w:pict>
        </mc:Fallback>
      </mc:AlternateContent>
    </w:r>
  </w:p>
  <w:p w:rsidR="00912E2D" w:rsidRPr="00B710C4" w:rsidRDefault="00912E2D" w:rsidP="00AC620C">
    <w:pPr>
      <w:pStyle w:val="a5"/>
      <w:rPr>
        <w:rFonts w:ascii="Times New Roman" w:hAnsi="Times New Roman"/>
        <w:lang w:val="en-US"/>
      </w:rPr>
    </w:pPr>
    <w:r w:rsidRPr="00B710C4">
      <w:rPr>
        <w:rFonts w:ascii="Times New Roman" w:hAnsi="Times New Roman"/>
      </w:rPr>
      <w:t xml:space="preserve">гр.Разград 7200, ул.“Бели Лом“ № 33, тел:084/640 214, факс: 084/640 222; </w:t>
    </w:r>
    <w:r>
      <w:rPr>
        <w:rFonts w:ascii="Times New Roman" w:hAnsi="Times New Roman"/>
        <w:lang w:val="en-US"/>
      </w:rPr>
      <w:t>e-mail: op</w:t>
    </w:r>
    <w:r w:rsidRPr="00B710C4">
      <w:rPr>
        <w:rFonts w:ascii="Times New Roman" w:hAnsi="Times New Roman"/>
        <w:lang w:val="en-US"/>
      </w:rPr>
      <w:t>@rz.prb.bg</w:t>
    </w:r>
  </w:p>
  <w:p w:rsidR="00912E2D" w:rsidRDefault="00912E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2D" w:rsidRDefault="00912E2D" w:rsidP="00462246">
      <w:pPr>
        <w:spacing w:after="0" w:line="240" w:lineRule="auto"/>
      </w:pPr>
      <w:r>
        <w:separator/>
      </w:r>
    </w:p>
  </w:footnote>
  <w:footnote w:type="continuationSeparator" w:id="0">
    <w:p w:rsidR="00912E2D" w:rsidRDefault="00912E2D" w:rsidP="00462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2D" w:rsidRDefault="00912E2D" w:rsidP="00E857A7">
    <w:pPr>
      <w:pStyle w:val="a3"/>
      <w:ind w:left="1980" w:firstLine="0"/>
      <w:rPr>
        <w:rFonts w:ascii="Times New Roman" w:hAnsi="Times New Roman"/>
        <w:b/>
        <w:sz w:val="32"/>
        <w:szCs w:val="32"/>
        <w:lang w:val="en-US"/>
      </w:rPr>
    </w:pPr>
    <w:r>
      <w:rPr>
        <w:noProof/>
      </w:rPr>
      <w:drawing>
        <wp:anchor distT="0" distB="0" distL="114300" distR="114300" simplePos="0" relativeHeight="251656704" behindDoc="0" locked="0" layoutInCell="1" allowOverlap="1">
          <wp:simplePos x="0" y="0"/>
          <wp:positionH relativeFrom="column">
            <wp:posOffset>-62230</wp:posOffset>
          </wp:positionH>
          <wp:positionV relativeFrom="paragraph">
            <wp:posOffset>225425</wp:posOffset>
          </wp:positionV>
          <wp:extent cx="861695" cy="1000125"/>
          <wp:effectExtent l="0" t="0" r="0" b="9525"/>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E2D" w:rsidRPr="00CC100A" w:rsidRDefault="00912E2D" w:rsidP="00AC620C">
    <w:pPr>
      <w:pStyle w:val="a3"/>
      <w:rPr>
        <w:rFonts w:ascii="Times New Roman" w:hAnsi="Times New Roman"/>
        <w:b/>
        <w:sz w:val="32"/>
        <w:szCs w:val="32"/>
      </w:rPr>
    </w:pPr>
    <w:r>
      <w:rPr>
        <w:rFonts w:ascii="Times New Roman" w:hAnsi="Times New Roman"/>
        <w:b/>
        <w:sz w:val="32"/>
        <w:szCs w:val="32"/>
        <w:lang w:val="en-US"/>
      </w:rPr>
      <w:t xml:space="preserve">          </w:t>
    </w:r>
    <w:r w:rsidRPr="00CC100A">
      <w:rPr>
        <w:rFonts w:ascii="Times New Roman" w:hAnsi="Times New Roman"/>
        <w:b/>
        <w:sz w:val="32"/>
        <w:szCs w:val="32"/>
      </w:rPr>
      <w:t>ПРОКУРАТУРА НА РЕПУБЛИКА БЪЛГАРИЯ</w:t>
    </w:r>
  </w:p>
  <w:p w:rsidR="00912E2D" w:rsidRDefault="00912E2D" w:rsidP="00E857A7">
    <w:pPr>
      <w:pStyle w:val="a3"/>
      <w:ind w:left="1980"/>
      <w:jc w:val="center"/>
      <w:rPr>
        <w:b/>
        <w:sz w:val="20"/>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1011555</wp:posOffset>
              </wp:positionH>
              <wp:positionV relativeFrom="paragraph">
                <wp:posOffset>61594</wp:posOffset>
              </wp:positionV>
              <wp:extent cx="4429125" cy="0"/>
              <wp:effectExtent l="0" t="1905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65pt,4.85pt" to="428.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UUHQIAADc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" o:allowincell="f" strokeweight="2.25pt"/>
          </w:pict>
        </mc:Fallback>
      </mc:AlternateContent>
    </w:r>
  </w:p>
  <w:p w:rsidR="00912E2D" w:rsidRDefault="00912E2D" w:rsidP="00E857A7">
    <w:pPr>
      <w:pStyle w:val="a3"/>
      <w:ind w:left="1980" w:firstLine="5"/>
      <w:rPr>
        <w:rFonts w:ascii="Times New Roman" w:hAnsi="Times New Roman"/>
        <w:b/>
        <w:sz w:val="32"/>
        <w:szCs w:val="32"/>
      </w:rPr>
    </w:pPr>
    <w:r>
      <w:rPr>
        <w:rFonts w:ascii="Times New Roman" w:hAnsi="Times New Roman"/>
        <w:b/>
        <w:sz w:val="32"/>
        <w:szCs w:val="32"/>
      </w:rPr>
      <w:t xml:space="preserve">  ОКРЪЖНА</w:t>
    </w:r>
    <w:r w:rsidRPr="00CC100A">
      <w:rPr>
        <w:rFonts w:ascii="Times New Roman" w:hAnsi="Times New Roman"/>
        <w:b/>
        <w:sz w:val="32"/>
        <w:szCs w:val="32"/>
      </w:rPr>
      <w:t xml:space="preserve"> ПРОКУРАТУРА РАЗГРАД</w:t>
    </w:r>
    <w:r w:rsidRPr="00DE46EE">
      <w:rPr>
        <w:rFonts w:ascii="Times New Roman" w:hAnsi="Times New Roman"/>
        <w:b/>
        <w:sz w:val="32"/>
        <w:szCs w:val="32"/>
      </w:rPr>
      <w:t xml:space="preserve"> </w:t>
    </w:r>
  </w:p>
  <w:p w:rsidR="00912E2D" w:rsidRDefault="00912E2D" w:rsidP="00E857A7">
    <w:pPr>
      <w:pStyle w:val="a3"/>
    </w:pPr>
  </w:p>
  <w:p w:rsidR="00912E2D" w:rsidRPr="00E857A7" w:rsidRDefault="00912E2D">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148DBFC"/>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3BCFC74"/>
    <w:lvl w:ilvl="0">
      <w:start w:val="1"/>
      <w:numFmt w:val="bullet"/>
      <w:pStyle w:val="2"/>
      <w:lvlText w:val=""/>
      <w:lvlJc w:val="left"/>
      <w:pPr>
        <w:tabs>
          <w:tab w:val="num" w:pos="643"/>
        </w:tabs>
        <w:ind w:left="643" w:hanging="360"/>
      </w:pPr>
      <w:rPr>
        <w:rFonts w:ascii="Symbol" w:hAnsi="Symbol" w:hint="default"/>
      </w:rPr>
    </w:lvl>
  </w:abstractNum>
  <w:abstractNum w:abstractNumId="2">
    <w:nsid w:val="02DC4F1E"/>
    <w:multiLevelType w:val="hybridMultilevel"/>
    <w:tmpl w:val="DBEA30BC"/>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
    <w:nsid w:val="11954692"/>
    <w:multiLevelType w:val="multilevel"/>
    <w:tmpl w:val="29B8C014"/>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ascii="Calibri" w:eastAsia="Calibri" w:hAnsi="Calibri" w:hint="default"/>
        <w:sz w:val="22"/>
      </w:rPr>
    </w:lvl>
    <w:lvl w:ilvl="2">
      <w:start w:val="1"/>
      <w:numFmt w:val="decimal"/>
      <w:isLgl/>
      <w:lvlText w:val="%1.%2.%3."/>
      <w:lvlJc w:val="left"/>
      <w:pPr>
        <w:ind w:left="1429" w:hanging="720"/>
      </w:pPr>
      <w:rPr>
        <w:rFonts w:ascii="Calibri" w:eastAsia="Calibri" w:hAnsi="Calibri" w:hint="default"/>
        <w:sz w:val="22"/>
      </w:rPr>
    </w:lvl>
    <w:lvl w:ilvl="3">
      <w:start w:val="1"/>
      <w:numFmt w:val="decimal"/>
      <w:isLgl/>
      <w:lvlText w:val="%1.%2.%3.%4."/>
      <w:lvlJc w:val="left"/>
      <w:pPr>
        <w:ind w:left="1789" w:hanging="1080"/>
      </w:pPr>
      <w:rPr>
        <w:rFonts w:ascii="Calibri" w:eastAsia="Calibri" w:hAnsi="Calibri" w:hint="default"/>
        <w:sz w:val="22"/>
      </w:rPr>
    </w:lvl>
    <w:lvl w:ilvl="4">
      <w:start w:val="1"/>
      <w:numFmt w:val="decimal"/>
      <w:isLgl/>
      <w:lvlText w:val="%1.%2.%3.%4.%5."/>
      <w:lvlJc w:val="left"/>
      <w:pPr>
        <w:ind w:left="2149" w:hanging="1440"/>
      </w:pPr>
      <w:rPr>
        <w:rFonts w:ascii="Calibri" w:eastAsia="Calibri" w:hAnsi="Calibri" w:hint="default"/>
        <w:sz w:val="22"/>
      </w:rPr>
    </w:lvl>
    <w:lvl w:ilvl="5">
      <w:start w:val="1"/>
      <w:numFmt w:val="decimal"/>
      <w:isLgl/>
      <w:lvlText w:val="%1.%2.%3.%4.%5.%6."/>
      <w:lvlJc w:val="left"/>
      <w:pPr>
        <w:ind w:left="2149" w:hanging="1440"/>
      </w:pPr>
      <w:rPr>
        <w:rFonts w:ascii="Calibri" w:eastAsia="Calibri" w:hAnsi="Calibri" w:hint="default"/>
        <w:sz w:val="22"/>
      </w:rPr>
    </w:lvl>
    <w:lvl w:ilvl="6">
      <w:start w:val="1"/>
      <w:numFmt w:val="decimal"/>
      <w:isLgl/>
      <w:lvlText w:val="%1.%2.%3.%4.%5.%6.%7."/>
      <w:lvlJc w:val="left"/>
      <w:pPr>
        <w:ind w:left="2509" w:hanging="1800"/>
      </w:pPr>
      <w:rPr>
        <w:rFonts w:ascii="Calibri" w:eastAsia="Calibri" w:hAnsi="Calibri" w:hint="default"/>
        <w:sz w:val="22"/>
      </w:rPr>
    </w:lvl>
    <w:lvl w:ilvl="7">
      <w:start w:val="1"/>
      <w:numFmt w:val="decimal"/>
      <w:isLgl/>
      <w:lvlText w:val="%1.%2.%3.%4.%5.%6.%7.%8."/>
      <w:lvlJc w:val="left"/>
      <w:pPr>
        <w:ind w:left="2869" w:hanging="2160"/>
      </w:pPr>
      <w:rPr>
        <w:rFonts w:ascii="Calibri" w:eastAsia="Calibri" w:hAnsi="Calibri" w:hint="default"/>
        <w:sz w:val="22"/>
      </w:rPr>
    </w:lvl>
    <w:lvl w:ilvl="8">
      <w:start w:val="1"/>
      <w:numFmt w:val="decimal"/>
      <w:isLgl/>
      <w:lvlText w:val="%1.%2.%3.%4.%5.%6.%7.%8.%9."/>
      <w:lvlJc w:val="left"/>
      <w:pPr>
        <w:ind w:left="2869" w:hanging="2160"/>
      </w:pPr>
      <w:rPr>
        <w:rFonts w:ascii="Calibri" w:eastAsia="Calibri" w:hAnsi="Calibri" w:hint="default"/>
        <w:sz w:val="22"/>
      </w:rPr>
    </w:lvl>
  </w:abstractNum>
  <w:abstractNum w:abstractNumId="4">
    <w:nsid w:val="146B7BF7"/>
    <w:multiLevelType w:val="hybridMultilevel"/>
    <w:tmpl w:val="BA74901A"/>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5">
    <w:nsid w:val="1C3722FB"/>
    <w:multiLevelType w:val="hybridMultilevel"/>
    <w:tmpl w:val="AF74AB62"/>
    <w:lvl w:ilvl="0" w:tplc="72909020">
      <w:start w:val="1"/>
      <w:numFmt w:val="decimal"/>
      <w:lvlText w:val="%1."/>
      <w:lvlJc w:val="left"/>
      <w:pPr>
        <w:ind w:left="1744" w:hanging="103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1F012D4B"/>
    <w:multiLevelType w:val="hybridMultilevel"/>
    <w:tmpl w:val="5F1A007A"/>
    <w:lvl w:ilvl="0" w:tplc="39CEFBA4">
      <w:numFmt w:val="bullet"/>
      <w:lvlText w:val="-"/>
      <w:lvlJc w:val="left"/>
      <w:pPr>
        <w:ind w:left="1069" w:hanging="360"/>
      </w:pPr>
      <w:rPr>
        <w:rFonts w:ascii="Arial" w:eastAsia="Calibri" w:hAnsi="Arial" w:cs="Arial"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7">
    <w:nsid w:val="290F4EE5"/>
    <w:multiLevelType w:val="multilevel"/>
    <w:tmpl w:val="46162B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F010439"/>
    <w:multiLevelType w:val="hybridMultilevel"/>
    <w:tmpl w:val="EFBEF512"/>
    <w:lvl w:ilvl="0" w:tplc="7D42E0EA">
      <w:numFmt w:val="bullet"/>
      <w:lvlText w:val="-"/>
      <w:lvlJc w:val="left"/>
      <w:pPr>
        <w:ind w:left="1212" w:hanging="360"/>
      </w:pPr>
      <w:rPr>
        <w:rFonts w:ascii="Times New Roman" w:eastAsia="Times New Roman" w:hAnsi="Times New Roman" w:cs="Times New Roman" w:hint="default"/>
        <w:color w:val="auto"/>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9">
    <w:nsid w:val="30A96DA3"/>
    <w:multiLevelType w:val="hybridMultilevel"/>
    <w:tmpl w:val="647202B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F183CBF"/>
    <w:multiLevelType w:val="hybridMultilevel"/>
    <w:tmpl w:val="654EE3EC"/>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1">
    <w:nsid w:val="428D6DC2"/>
    <w:multiLevelType w:val="hybridMultilevel"/>
    <w:tmpl w:val="34E6D5AA"/>
    <w:lvl w:ilvl="0" w:tplc="3E964E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6EB034F0"/>
    <w:multiLevelType w:val="hybridMultilevel"/>
    <w:tmpl w:val="2FA657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1"/>
  </w:num>
  <w:num w:numId="5">
    <w:abstractNumId w:val="8"/>
  </w:num>
  <w:num w:numId="6">
    <w:abstractNumId w:val="10"/>
  </w:num>
  <w:num w:numId="7">
    <w:abstractNumId w:val="9"/>
  </w:num>
  <w:num w:numId="8">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2"/>
  </w:num>
  <w:num w:numId="12">
    <w:abstractNumId w:val="5"/>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evenAndOddHeaders/>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74"/>
    <w:rsid w:val="00000BBD"/>
    <w:rsid w:val="0000113A"/>
    <w:rsid w:val="00001643"/>
    <w:rsid w:val="00001B61"/>
    <w:rsid w:val="00001FFB"/>
    <w:rsid w:val="000027E2"/>
    <w:rsid w:val="00004023"/>
    <w:rsid w:val="00004238"/>
    <w:rsid w:val="00004729"/>
    <w:rsid w:val="00005F5B"/>
    <w:rsid w:val="00010E53"/>
    <w:rsid w:val="0001151F"/>
    <w:rsid w:val="00013B8B"/>
    <w:rsid w:val="00016274"/>
    <w:rsid w:val="00021478"/>
    <w:rsid w:val="00022403"/>
    <w:rsid w:val="00030123"/>
    <w:rsid w:val="00030913"/>
    <w:rsid w:val="00030A3B"/>
    <w:rsid w:val="000316CB"/>
    <w:rsid w:val="00034489"/>
    <w:rsid w:val="00035DFC"/>
    <w:rsid w:val="0003651D"/>
    <w:rsid w:val="00036CB5"/>
    <w:rsid w:val="00037956"/>
    <w:rsid w:val="0004289F"/>
    <w:rsid w:val="0004466F"/>
    <w:rsid w:val="00044683"/>
    <w:rsid w:val="00045598"/>
    <w:rsid w:val="00046AA7"/>
    <w:rsid w:val="0004757A"/>
    <w:rsid w:val="00047C63"/>
    <w:rsid w:val="00051153"/>
    <w:rsid w:val="00052778"/>
    <w:rsid w:val="0005370F"/>
    <w:rsid w:val="000546AD"/>
    <w:rsid w:val="00055125"/>
    <w:rsid w:val="00055B89"/>
    <w:rsid w:val="00055D3D"/>
    <w:rsid w:val="00056300"/>
    <w:rsid w:val="0005638B"/>
    <w:rsid w:val="00056885"/>
    <w:rsid w:val="00056E8B"/>
    <w:rsid w:val="00056FDA"/>
    <w:rsid w:val="000570FC"/>
    <w:rsid w:val="00057424"/>
    <w:rsid w:val="00057EAF"/>
    <w:rsid w:val="00060AF2"/>
    <w:rsid w:val="0006143C"/>
    <w:rsid w:val="00062886"/>
    <w:rsid w:val="000652BE"/>
    <w:rsid w:val="00066FCD"/>
    <w:rsid w:val="000700DB"/>
    <w:rsid w:val="000702C3"/>
    <w:rsid w:val="00070E8D"/>
    <w:rsid w:val="00071399"/>
    <w:rsid w:val="000717C5"/>
    <w:rsid w:val="00071E61"/>
    <w:rsid w:val="000729C1"/>
    <w:rsid w:val="00073A39"/>
    <w:rsid w:val="00074C6B"/>
    <w:rsid w:val="000759CC"/>
    <w:rsid w:val="00075E7C"/>
    <w:rsid w:val="00076AF1"/>
    <w:rsid w:val="000771BF"/>
    <w:rsid w:val="000807E7"/>
    <w:rsid w:val="00081143"/>
    <w:rsid w:val="000832FC"/>
    <w:rsid w:val="00084333"/>
    <w:rsid w:val="00084F7A"/>
    <w:rsid w:val="000854D0"/>
    <w:rsid w:val="0008572C"/>
    <w:rsid w:val="00085FEE"/>
    <w:rsid w:val="00086645"/>
    <w:rsid w:val="00086E09"/>
    <w:rsid w:val="00087400"/>
    <w:rsid w:val="00087ECD"/>
    <w:rsid w:val="00092DE6"/>
    <w:rsid w:val="000931A0"/>
    <w:rsid w:val="00094694"/>
    <w:rsid w:val="00094E54"/>
    <w:rsid w:val="0009505C"/>
    <w:rsid w:val="000965CF"/>
    <w:rsid w:val="00097571"/>
    <w:rsid w:val="000975E1"/>
    <w:rsid w:val="000976C4"/>
    <w:rsid w:val="000A0664"/>
    <w:rsid w:val="000A12CA"/>
    <w:rsid w:val="000A1631"/>
    <w:rsid w:val="000A2333"/>
    <w:rsid w:val="000A2577"/>
    <w:rsid w:val="000A3B8E"/>
    <w:rsid w:val="000B218F"/>
    <w:rsid w:val="000B5D2B"/>
    <w:rsid w:val="000B5E9D"/>
    <w:rsid w:val="000B5EF8"/>
    <w:rsid w:val="000B60D0"/>
    <w:rsid w:val="000B68A2"/>
    <w:rsid w:val="000C0D47"/>
    <w:rsid w:val="000C491E"/>
    <w:rsid w:val="000C6C0C"/>
    <w:rsid w:val="000D1871"/>
    <w:rsid w:val="000D2F99"/>
    <w:rsid w:val="000D5DE4"/>
    <w:rsid w:val="000D66B1"/>
    <w:rsid w:val="000D6E89"/>
    <w:rsid w:val="000D7499"/>
    <w:rsid w:val="000D7538"/>
    <w:rsid w:val="000E0CD7"/>
    <w:rsid w:val="000E186E"/>
    <w:rsid w:val="000E1B6F"/>
    <w:rsid w:val="000E20F5"/>
    <w:rsid w:val="000E2874"/>
    <w:rsid w:val="000E289D"/>
    <w:rsid w:val="000E2AC7"/>
    <w:rsid w:val="000E355D"/>
    <w:rsid w:val="000E3D1C"/>
    <w:rsid w:val="000E41D2"/>
    <w:rsid w:val="000E4CF7"/>
    <w:rsid w:val="000F2CAC"/>
    <w:rsid w:val="000F70D8"/>
    <w:rsid w:val="000F74FA"/>
    <w:rsid w:val="000F77F6"/>
    <w:rsid w:val="00100447"/>
    <w:rsid w:val="00100AA9"/>
    <w:rsid w:val="001012E7"/>
    <w:rsid w:val="00101480"/>
    <w:rsid w:val="0010353F"/>
    <w:rsid w:val="0010384D"/>
    <w:rsid w:val="00104F47"/>
    <w:rsid w:val="0010601D"/>
    <w:rsid w:val="00106DB9"/>
    <w:rsid w:val="00111BE6"/>
    <w:rsid w:val="001157A7"/>
    <w:rsid w:val="00115F31"/>
    <w:rsid w:val="00120C0A"/>
    <w:rsid w:val="001217E5"/>
    <w:rsid w:val="00121AA0"/>
    <w:rsid w:val="001220A9"/>
    <w:rsid w:val="00125581"/>
    <w:rsid w:val="001259F1"/>
    <w:rsid w:val="0012625C"/>
    <w:rsid w:val="00133028"/>
    <w:rsid w:val="001334FF"/>
    <w:rsid w:val="00137184"/>
    <w:rsid w:val="00140E92"/>
    <w:rsid w:val="0014104F"/>
    <w:rsid w:val="0014131F"/>
    <w:rsid w:val="00141F63"/>
    <w:rsid w:val="001441A0"/>
    <w:rsid w:val="0014426E"/>
    <w:rsid w:val="00144771"/>
    <w:rsid w:val="00144A10"/>
    <w:rsid w:val="001461CA"/>
    <w:rsid w:val="0014757B"/>
    <w:rsid w:val="00152006"/>
    <w:rsid w:val="0015426D"/>
    <w:rsid w:val="0015476A"/>
    <w:rsid w:val="00154A89"/>
    <w:rsid w:val="00155911"/>
    <w:rsid w:val="001560C2"/>
    <w:rsid w:val="001567AF"/>
    <w:rsid w:val="001654A4"/>
    <w:rsid w:val="00165924"/>
    <w:rsid w:val="00166889"/>
    <w:rsid w:val="001674B8"/>
    <w:rsid w:val="00167677"/>
    <w:rsid w:val="00167D5A"/>
    <w:rsid w:val="001704E7"/>
    <w:rsid w:val="00170F74"/>
    <w:rsid w:val="00172C60"/>
    <w:rsid w:val="0017308A"/>
    <w:rsid w:val="00173F9E"/>
    <w:rsid w:val="001741F5"/>
    <w:rsid w:val="001742BA"/>
    <w:rsid w:val="0017658D"/>
    <w:rsid w:val="00176A71"/>
    <w:rsid w:val="00181235"/>
    <w:rsid w:val="0018370A"/>
    <w:rsid w:val="00184AB4"/>
    <w:rsid w:val="0018528C"/>
    <w:rsid w:val="00185370"/>
    <w:rsid w:val="001859CA"/>
    <w:rsid w:val="0018644F"/>
    <w:rsid w:val="00186533"/>
    <w:rsid w:val="001866BE"/>
    <w:rsid w:val="00187624"/>
    <w:rsid w:val="00187849"/>
    <w:rsid w:val="00187B36"/>
    <w:rsid w:val="00190503"/>
    <w:rsid w:val="00194BC7"/>
    <w:rsid w:val="00194C83"/>
    <w:rsid w:val="001977A0"/>
    <w:rsid w:val="001A1436"/>
    <w:rsid w:val="001A1511"/>
    <w:rsid w:val="001A1D5D"/>
    <w:rsid w:val="001A2C48"/>
    <w:rsid w:val="001A3628"/>
    <w:rsid w:val="001A36F5"/>
    <w:rsid w:val="001A3B9C"/>
    <w:rsid w:val="001A4249"/>
    <w:rsid w:val="001A4524"/>
    <w:rsid w:val="001A6B73"/>
    <w:rsid w:val="001A72B9"/>
    <w:rsid w:val="001B0243"/>
    <w:rsid w:val="001B1D93"/>
    <w:rsid w:val="001B51EC"/>
    <w:rsid w:val="001C04E8"/>
    <w:rsid w:val="001C0741"/>
    <w:rsid w:val="001C29A1"/>
    <w:rsid w:val="001C2D40"/>
    <w:rsid w:val="001C4173"/>
    <w:rsid w:val="001C7A2B"/>
    <w:rsid w:val="001D23E9"/>
    <w:rsid w:val="001D2B6E"/>
    <w:rsid w:val="001D3DC0"/>
    <w:rsid w:val="001D3FBF"/>
    <w:rsid w:val="001D67FD"/>
    <w:rsid w:val="001D6CDA"/>
    <w:rsid w:val="001E01DB"/>
    <w:rsid w:val="001E089E"/>
    <w:rsid w:val="001E1320"/>
    <w:rsid w:val="001E260F"/>
    <w:rsid w:val="001E337D"/>
    <w:rsid w:val="001E3571"/>
    <w:rsid w:val="001E3728"/>
    <w:rsid w:val="001E5F5A"/>
    <w:rsid w:val="001E7F4C"/>
    <w:rsid w:val="001F0C96"/>
    <w:rsid w:val="001F11F3"/>
    <w:rsid w:val="001F2841"/>
    <w:rsid w:val="001F3780"/>
    <w:rsid w:val="001F4F6A"/>
    <w:rsid w:val="001F54EC"/>
    <w:rsid w:val="001F6CDC"/>
    <w:rsid w:val="002005B8"/>
    <w:rsid w:val="002015BB"/>
    <w:rsid w:val="002017DF"/>
    <w:rsid w:val="00202DDE"/>
    <w:rsid w:val="0020354B"/>
    <w:rsid w:val="002048F3"/>
    <w:rsid w:val="002052F8"/>
    <w:rsid w:val="002061C5"/>
    <w:rsid w:val="00207A6A"/>
    <w:rsid w:val="00207EC8"/>
    <w:rsid w:val="00210029"/>
    <w:rsid w:val="00210CAE"/>
    <w:rsid w:val="002115D1"/>
    <w:rsid w:val="00211977"/>
    <w:rsid w:val="00212118"/>
    <w:rsid w:val="00212A58"/>
    <w:rsid w:val="00212C78"/>
    <w:rsid w:val="0021406B"/>
    <w:rsid w:val="0021561B"/>
    <w:rsid w:val="00215D86"/>
    <w:rsid w:val="00216095"/>
    <w:rsid w:val="00216EBF"/>
    <w:rsid w:val="00220462"/>
    <w:rsid w:val="00220CA2"/>
    <w:rsid w:val="00220FC3"/>
    <w:rsid w:val="00221C08"/>
    <w:rsid w:val="00222A63"/>
    <w:rsid w:val="00222B9D"/>
    <w:rsid w:val="00224EE6"/>
    <w:rsid w:val="002265AD"/>
    <w:rsid w:val="00226648"/>
    <w:rsid w:val="0022680E"/>
    <w:rsid w:val="00226898"/>
    <w:rsid w:val="00226F48"/>
    <w:rsid w:val="002274F4"/>
    <w:rsid w:val="00227A6E"/>
    <w:rsid w:val="00230E1A"/>
    <w:rsid w:val="002311C6"/>
    <w:rsid w:val="00231CEB"/>
    <w:rsid w:val="00232818"/>
    <w:rsid w:val="0023665F"/>
    <w:rsid w:val="00237C05"/>
    <w:rsid w:val="002409CC"/>
    <w:rsid w:val="00241320"/>
    <w:rsid w:val="00242B28"/>
    <w:rsid w:val="0024378C"/>
    <w:rsid w:val="00243B91"/>
    <w:rsid w:val="00245684"/>
    <w:rsid w:val="00247415"/>
    <w:rsid w:val="00250E11"/>
    <w:rsid w:val="00251169"/>
    <w:rsid w:val="00253B61"/>
    <w:rsid w:val="00253CE8"/>
    <w:rsid w:val="00254B17"/>
    <w:rsid w:val="002567CF"/>
    <w:rsid w:val="00257421"/>
    <w:rsid w:val="00260726"/>
    <w:rsid w:val="002610AC"/>
    <w:rsid w:val="00261BF5"/>
    <w:rsid w:val="00261D35"/>
    <w:rsid w:val="00262955"/>
    <w:rsid w:val="0026338F"/>
    <w:rsid w:val="00263404"/>
    <w:rsid w:val="002657AA"/>
    <w:rsid w:val="00266243"/>
    <w:rsid w:val="0026652A"/>
    <w:rsid w:val="00266C7C"/>
    <w:rsid w:val="002700EB"/>
    <w:rsid w:val="002703A1"/>
    <w:rsid w:val="002711CF"/>
    <w:rsid w:val="00271459"/>
    <w:rsid w:val="002720AE"/>
    <w:rsid w:val="002724A5"/>
    <w:rsid w:val="0027288B"/>
    <w:rsid w:val="002735DA"/>
    <w:rsid w:val="002749EB"/>
    <w:rsid w:val="002758E2"/>
    <w:rsid w:val="002767E2"/>
    <w:rsid w:val="00280F5C"/>
    <w:rsid w:val="00281C94"/>
    <w:rsid w:val="00285215"/>
    <w:rsid w:val="00285DA0"/>
    <w:rsid w:val="002875F0"/>
    <w:rsid w:val="002907FD"/>
    <w:rsid w:val="0029084D"/>
    <w:rsid w:val="00290BC7"/>
    <w:rsid w:val="00291CBC"/>
    <w:rsid w:val="00294963"/>
    <w:rsid w:val="00294B68"/>
    <w:rsid w:val="0029520F"/>
    <w:rsid w:val="002952A3"/>
    <w:rsid w:val="00295AA8"/>
    <w:rsid w:val="002961AA"/>
    <w:rsid w:val="002A0BAE"/>
    <w:rsid w:val="002A1EC0"/>
    <w:rsid w:val="002A3AC7"/>
    <w:rsid w:val="002A4A08"/>
    <w:rsid w:val="002A58D9"/>
    <w:rsid w:val="002A58F9"/>
    <w:rsid w:val="002A7AB3"/>
    <w:rsid w:val="002A7F15"/>
    <w:rsid w:val="002B3731"/>
    <w:rsid w:val="002B4306"/>
    <w:rsid w:val="002B43FF"/>
    <w:rsid w:val="002B6750"/>
    <w:rsid w:val="002B7ED8"/>
    <w:rsid w:val="002C0E65"/>
    <w:rsid w:val="002C24CB"/>
    <w:rsid w:val="002C2A52"/>
    <w:rsid w:val="002C2BA7"/>
    <w:rsid w:val="002C3E60"/>
    <w:rsid w:val="002C4EC1"/>
    <w:rsid w:val="002C5966"/>
    <w:rsid w:val="002C5E7A"/>
    <w:rsid w:val="002C6040"/>
    <w:rsid w:val="002C71DD"/>
    <w:rsid w:val="002D24A2"/>
    <w:rsid w:val="002D2B39"/>
    <w:rsid w:val="002D395F"/>
    <w:rsid w:val="002D3B32"/>
    <w:rsid w:val="002D6D5C"/>
    <w:rsid w:val="002D7848"/>
    <w:rsid w:val="002E1AC1"/>
    <w:rsid w:val="002E2345"/>
    <w:rsid w:val="002E2738"/>
    <w:rsid w:val="002E3334"/>
    <w:rsid w:val="002E3745"/>
    <w:rsid w:val="002E4518"/>
    <w:rsid w:val="002E457F"/>
    <w:rsid w:val="002E5378"/>
    <w:rsid w:val="002E53F9"/>
    <w:rsid w:val="002E6092"/>
    <w:rsid w:val="002F06DA"/>
    <w:rsid w:val="002F0829"/>
    <w:rsid w:val="002F089D"/>
    <w:rsid w:val="002F17FA"/>
    <w:rsid w:val="002F2582"/>
    <w:rsid w:val="002F268A"/>
    <w:rsid w:val="002F3746"/>
    <w:rsid w:val="002F39CE"/>
    <w:rsid w:val="002F561B"/>
    <w:rsid w:val="002F5C94"/>
    <w:rsid w:val="002F657F"/>
    <w:rsid w:val="002F6CC9"/>
    <w:rsid w:val="002F72E2"/>
    <w:rsid w:val="003056FD"/>
    <w:rsid w:val="0030673A"/>
    <w:rsid w:val="00310452"/>
    <w:rsid w:val="00313BC0"/>
    <w:rsid w:val="00314551"/>
    <w:rsid w:val="003153D2"/>
    <w:rsid w:val="0031557C"/>
    <w:rsid w:val="003161BC"/>
    <w:rsid w:val="0031677E"/>
    <w:rsid w:val="00317321"/>
    <w:rsid w:val="003175E1"/>
    <w:rsid w:val="0032089B"/>
    <w:rsid w:val="00320A92"/>
    <w:rsid w:val="003220D0"/>
    <w:rsid w:val="00322157"/>
    <w:rsid w:val="003224F9"/>
    <w:rsid w:val="00322FDA"/>
    <w:rsid w:val="00323D2C"/>
    <w:rsid w:val="0032447C"/>
    <w:rsid w:val="00326331"/>
    <w:rsid w:val="003265B8"/>
    <w:rsid w:val="003265B9"/>
    <w:rsid w:val="00326BD8"/>
    <w:rsid w:val="003275EE"/>
    <w:rsid w:val="00332519"/>
    <w:rsid w:val="00332C11"/>
    <w:rsid w:val="00333419"/>
    <w:rsid w:val="00334768"/>
    <w:rsid w:val="00334B01"/>
    <w:rsid w:val="00334B0D"/>
    <w:rsid w:val="00335641"/>
    <w:rsid w:val="00335F48"/>
    <w:rsid w:val="00336A00"/>
    <w:rsid w:val="00336E78"/>
    <w:rsid w:val="00337173"/>
    <w:rsid w:val="00337699"/>
    <w:rsid w:val="003378A4"/>
    <w:rsid w:val="00340C14"/>
    <w:rsid w:val="00345960"/>
    <w:rsid w:val="00346170"/>
    <w:rsid w:val="00352397"/>
    <w:rsid w:val="00352E93"/>
    <w:rsid w:val="00352FA6"/>
    <w:rsid w:val="00353526"/>
    <w:rsid w:val="00353F1E"/>
    <w:rsid w:val="003545AE"/>
    <w:rsid w:val="003549B9"/>
    <w:rsid w:val="00356858"/>
    <w:rsid w:val="00357778"/>
    <w:rsid w:val="00357868"/>
    <w:rsid w:val="0035788B"/>
    <w:rsid w:val="00361DFE"/>
    <w:rsid w:val="0036341D"/>
    <w:rsid w:val="003636FA"/>
    <w:rsid w:val="00365BD6"/>
    <w:rsid w:val="00367A73"/>
    <w:rsid w:val="003706B2"/>
    <w:rsid w:val="003706EC"/>
    <w:rsid w:val="00370FF4"/>
    <w:rsid w:val="0037156B"/>
    <w:rsid w:val="00372732"/>
    <w:rsid w:val="00372FD8"/>
    <w:rsid w:val="003731C3"/>
    <w:rsid w:val="0037494B"/>
    <w:rsid w:val="003754D5"/>
    <w:rsid w:val="00375F96"/>
    <w:rsid w:val="00376B94"/>
    <w:rsid w:val="003801F3"/>
    <w:rsid w:val="00380654"/>
    <w:rsid w:val="003813F6"/>
    <w:rsid w:val="00381B95"/>
    <w:rsid w:val="00382F82"/>
    <w:rsid w:val="00382FFA"/>
    <w:rsid w:val="003853B6"/>
    <w:rsid w:val="0038679E"/>
    <w:rsid w:val="00386FDD"/>
    <w:rsid w:val="00387D59"/>
    <w:rsid w:val="0039004D"/>
    <w:rsid w:val="003903AE"/>
    <w:rsid w:val="0039155F"/>
    <w:rsid w:val="00391FFE"/>
    <w:rsid w:val="0039255C"/>
    <w:rsid w:val="003930F2"/>
    <w:rsid w:val="00393483"/>
    <w:rsid w:val="00393E8E"/>
    <w:rsid w:val="00394667"/>
    <w:rsid w:val="0039566D"/>
    <w:rsid w:val="00396501"/>
    <w:rsid w:val="0039773A"/>
    <w:rsid w:val="003A02C5"/>
    <w:rsid w:val="003A09DC"/>
    <w:rsid w:val="003A10F0"/>
    <w:rsid w:val="003A1BFA"/>
    <w:rsid w:val="003A224F"/>
    <w:rsid w:val="003A4C66"/>
    <w:rsid w:val="003A6505"/>
    <w:rsid w:val="003A6768"/>
    <w:rsid w:val="003A792F"/>
    <w:rsid w:val="003B1B57"/>
    <w:rsid w:val="003B1F3E"/>
    <w:rsid w:val="003B261D"/>
    <w:rsid w:val="003B3DCD"/>
    <w:rsid w:val="003B4060"/>
    <w:rsid w:val="003B4694"/>
    <w:rsid w:val="003B4AA0"/>
    <w:rsid w:val="003B5D62"/>
    <w:rsid w:val="003B5EE8"/>
    <w:rsid w:val="003B63F0"/>
    <w:rsid w:val="003B64BC"/>
    <w:rsid w:val="003B7E8A"/>
    <w:rsid w:val="003C0908"/>
    <w:rsid w:val="003C0FCF"/>
    <w:rsid w:val="003C1847"/>
    <w:rsid w:val="003C251B"/>
    <w:rsid w:val="003C2933"/>
    <w:rsid w:val="003C4729"/>
    <w:rsid w:val="003C58D1"/>
    <w:rsid w:val="003C59AD"/>
    <w:rsid w:val="003C6160"/>
    <w:rsid w:val="003C7B56"/>
    <w:rsid w:val="003D1207"/>
    <w:rsid w:val="003D1532"/>
    <w:rsid w:val="003D1D3E"/>
    <w:rsid w:val="003D2142"/>
    <w:rsid w:val="003D2729"/>
    <w:rsid w:val="003D34D1"/>
    <w:rsid w:val="003D3A43"/>
    <w:rsid w:val="003D3DD0"/>
    <w:rsid w:val="003D5664"/>
    <w:rsid w:val="003D65D3"/>
    <w:rsid w:val="003D68F7"/>
    <w:rsid w:val="003D7BC7"/>
    <w:rsid w:val="003E21E7"/>
    <w:rsid w:val="003E2574"/>
    <w:rsid w:val="003E2A2F"/>
    <w:rsid w:val="003E3A97"/>
    <w:rsid w:val="003E435E"/>
    <w:rsid w:val="003E4CD1"/>
    <w:rsid w:val="003E6552"/>
    <w:rsid w:val="003E78F7"/>
    <w:rsid w:val="003F173C"/>
    <w:rsid w:val="003F2D2F"/>
    <w:rsid w:val="003F5E17"/>
    <w:rsid w:val="003F6137"/>
    <w:rsid w:val="003F67EF"/>
    <w:rsid w:val="003F7156"/>
    <w:rsid w:val="00400AF2"/>
    <w:rsid w:val="004018C1"/>
    <w:rsid w:val="00405304"/>
    <w:rsid w:val="0040585F"/>
    <w:rsid w:val="00406D2E"/>
    <w:rsid w:val="004072CB"/>
    <w:rsid w:val="004073C5"/>
    <w:rsid w:val="004078A1"/>
    <w:rsid w:val="00407A74"/>
    <w:rsid w:val="00407C23"/>
    <w:rsid w:val="00411387"/>
    <w:rsid w:val="004116CA"/>
    <w:rsid w:val="0041224A"/>
    <w:rsid w:val="004129D7"/>
    <w:rsid w:val="004137CF"/>
    <w:rsid w:val="0041422A"/>
    <w:rsid w:val="004142F5"/>
    <w:rsid w:val="0041479C"/>
    <w:rsid w:val="00414B0E"/>
    <w:rsid w:val="00414B5A"/>
    <w:rsid w:val="0041528D"/>
    <w:rsid w:val="0041593D"/>
    <w:rsid w:val="00415F17"/>
    <w:rsid w:val="0041653F"/>
    <w:rsid w:val="004169C0"/>
    <w:rsid w:val="004210B6"/>
    <w:rsid w:val="004239D9"/>
    <w:rsid w:val="00426117"/>
    <w:rsid w:val="004261B8"/>
    <w:rsid w:val="0042651E"/>
    <w:rsid w:val="0042656E"/>
    <w:rsid w:val="00426ED4"/>
    <w:rsid w:val="00427E67"/>
    <w:rsid w:val="0043004E"/>
    <w:rsid w:val="004306FF"/>
    <w:rsid w:val="00433039"/>
    <w:rsid w:val="00433293"/>
    <w:rsid w:val="004338C2"/>
    <w:rsid w:val="004342E5"/>
    <w:rsid w:val="0043466A"/>
    <w:rsid w:val="00435B71"/>
    <w:rsid w:val="00435C40"/>
    <w:rsid w:val="00436FBA"/>
    <w:rsid w:val="004374ED"/>
    <w:rsid w:val="0044119F"/>
    <w:rsid w:val="0044230B"/>
    <w:rsid w:val="0044372B"/>
    <w:rsid w:val="00443C08"/>
    <w:rsid w:val="00444452"/>
    <w:rsid w:val="004447D1"/>
    <w:rsid w:val="00446238"/>
    <w:rsid w:val="0044665E"/>
    <w:rsid w:val="00447F85"/>
    <w:rsid w:val="00454754"/>
    <w:rsid w:val="00455B9B"/>
    <w:rsid w:val="00456CBF"/>
    <w:rsid w:val="0045733E"/>
    <w:rsid w:val="00460A79"/>
    <w:rsid w:val="00460B23"/>
    <w:rsid w:val="00460F1F"/>
    <w:rsid w:val="00462246"/>
    <w:rsid w:val="00462457"/>
    <w:rsid w:val="00464093"/>
    <w:rsid w:val="00464557"/>
    <w:rsid w:val="004662EE"/>
    <w:rsid w:val="004673EB"/>
    <w:rsid w:val="004679A5"/>
    <w:rsid w:val="00470196"/>
    <w:rsid w:val="004716A7"/>
    <w:rsid w:val="00473367"/>
    <w:rsid w:val="00476C19"/>
    <w:rsid w:val="00476E12"/>
    <w:rsid w:val="00477197"/>
    <w:rsid w:val="00477E91"/>
    <w:rsid w:val="004827B7"/>
    <w:rsid w:val="0048352E"/>
    <w:rsid w:val="004836DB"/>
    <w:rsid w:val="004839A8"/>
    <w:rsid w:val="00485582"/>
    <w:rsid w:val="00486574"/>
    <w:rsid w:val="00486950"/>
    <w:rsid w:val="00487142"/>
    <w:rsid w:val="004873DF"/>
    <w:rsid w:val="00487F20"/>
    <w:rsid w:val="00490151"/>
    <w:rsid w:val="00491067"/>
    <w:rsid w:val="00491C92"/>
    <w:rsid w:val="0049637C"/>
    <w:rsid w:val="00496B84"/>
    <w:rsid w:val="00496C0B"/>
    <w:rsid w:val="00497E58"/>
    <w:rsid w:val="00497F9D"/>
    <w:rsid w:val="004A091E"/>
    <w:rsid w:val="004A0FA6"/>
    <w:rsid w:val="004A1D7B"/>
    <w:rsid w:val="004A3232"/>
    <w:rsid w:val="004A388E"/>
    <w:rsid w:val="004A601F"/>
    <w:rsid w:val="004A63F2"/>
    <w:rsid w:val="004A6D90"/>
    <w:rsid w:val="004B1753"/>
    <w:rsid w:val="004B4DE5"/>
    <w:rsid w:val="004B524E"/>
    <w:rsid w:val="004B6605"/>
    <w:rsid w:val="004B71CB"/>
    <w:rsid w:val="004B7640"/>
    <w:rsid w:val="004B79AD"/>
    <w:rsid w:val="004C2DBB"/>
    <w:rsid w:val="004C3603"/>
    <w:rsid w:val="004C360D"/>
    <w:rsid w:val="004C4135"/>
    <w:rsid w:val="004C4EE2"/>
    <w:rsid w:val="004C641A"/>
    <w:rsid w:val="004C7BBC"/>
    <w:rsid w:val="004D14CD"/>
    <w:rsid w:val="004D1C93"/>
    <w:rsid w:val="004D232B"/>
    <w:rsid w:val="004D29A1"/>
    <w:rsid w:val="004D3F4B"/>
    <w:rsid w:val="004D53FB"/>
    <w:rsid w:val="004D59B4"/>
    <w:rsid w:val="004D5D5F"/>
    <w:rsid w:val="004D62F1"/>
    <w:rsid w:val="004D6DD3"/>
    <w:rsid w:val="004D778B"/>
    <w:rsid w:val="004D7D66"/>
    <w:rsid w:val="004D7F05"/>
    <w:rsid w:val="004E1F87"/>
    <w:rsid w:val="004E26B2"/>
    <w:rsid w:val="004E28BD"/>
    <w:rsid w:val="004E3946"/>
    <w:rsid w:val="004F1BCA"/>
    <w:rsid w:val="004F1F8D"/>
    <w:rsid w:val="004F2629"/>
    <w:rsid w:val="004F29A7"/>
    <w:rsid w:val="004F2C98"/>
    <w:rsid w:val="004F2E59"/>
    <w:rsid w:val="004F3161"/>
    <w:rsid w:val="004F6124"/>
    <w:rsid w:val="004F6B0D"/>
    <w:rsid w:val="004F7222"/>
    <w:rsid w:val="004F7B7B"/>
    <w:rsid w:val="00500A79"/>
    <w:rsid w:val="00501726"/>
    <w:rsid w:val="0050361F"/>
    <w:rsid w:val="00507DD7"/>
    <w:rsid w:val="00511625"/>
    <w:rsid w:val="0051286B"/>
    <w:rsid w:val="0051326F"/>
    <w:rsid w:val="00513968"/>
    <w:rsid w:val="0051530C"/>
    <w:rsid w:val="00516ACC"/>
    <w:rsid w:val="00517E3A"/>
    <w:rsid w:val="005214C4"/>
    <w:rsid w:val="0052595F"/>
    <w:rsid w:val="0052665D"/>
    <w:rsid w:val="00526D06"/>
    <w:rsid w:val="00527465"/>
    <w:rsid w:val="0053027D"/>
    <w:rsid w:val="00530A4C"/>
    <w:rsid w:val="00531F4A"/>
    <w:rsid w:val="00534D28"/>
    <w:rsid w:val="005401D9"/>
    <w:rsid w:val="00540E98"/>
    <w:rsid w:val="00542E70"/>
    <w:rsid w:val="00543513"/>
    <w:rsid w:val="00545819"/>
    <w:rsid w:val="00545E86"/>
    <w:rsid w:val="005462AE"/>
    <w:rsid w:val="00546698"/>
    <w:rsid w:val="00546D91"/>
    <w:rsid w:val="00547995"/>
    <w:rsid w:val="00547CFE"/>
    <w:rsid w:val="00547F9B"/>
    <w:rsid w:val="005502C4"/>
    <w:rsid w:val="0055193D"/>
    <w:rsid w:val="00551EB2"/>
    <w:rsid w:val="00552C80"/>
    <w:rsid w:val="00554787"/>
    <w:rsid w:val="00554D45"/>
    <w:rsid w:val="00555171"/>
    <w:rsid w:val="00555936"/>
    <w:rsid w:val="00556A0C"/>
    <w:rsid w:val="00557D23"/>
    <w:rsid w:val="00563F5A"/>
    <w:rsid w:val="00564281"/>
    <w:rsid w:val="00565ECD"/>
    <w:rsid w:val="005706E9"/>
    <w:rsid w:val="0057262E"/>
    <w:rsid w:val="00573DD4"/>
    <w:rsid w:val="005746FF"/>
    <w:rsid w:val="00574D11"/>
    <w:rsid w:val="005758E1"/>
    <w:rsid w:val="00576702"/>
    <w:rsid w:val="005777E5"/>
    <w:rsid w:val="00581594"/>
    <w:rsid w:val="00582215"/>
    <w:rsid w:val="00582BCF"/>
    <w:rsid w:val="00582D83"/>
    <w:rsid w:val="00584143"/>
    <w:rsid w:val="00585377"/>
    <w:rsid w:val="005870C4"/>
    <w:rsid w:val="00587815"/>
    <w:rsid w:val="00590495"/>
    <w:rsid w:val="00591788"/>
    <w:rsid w:val="0059489C"/>
    <w:rsid w:val="005967CE"/>
    <w:rsid w:val="00597796"/>
    <w:rsid w:val="005A0DBE"/>
    <w:rsid w:val="005A16B0"/>
    <w:rsid w:val="005A311B"/>
    <w:rsid w:val="005A46A1"/>
    <w:rsid w:val="005A4FEF"/>
    <w:rsid w:val="005A6C9C"/>
    <w:rsid w:val="005A7039"/>
    <w:rsid w:val="005A7C62"/>
    <w:rsid w:val="005A7FBB"/>
    <w:rsid w:val="005B0031"/>
    <w:rsid w:val="005B0B60"/>
    <w:rsid w:val="005B0C32"/>
    <w:rsid w:val="005B2BAB"/>
    <w:rsid w:val="005B30A2"/>
    <w:rsid w:val="005B4192"/>
    <w:rsid w:val="005B4602"/>
    <w:rsid w:val="005B485A"/>
    <w:rsid w:val="005B649D"/>
    <w:rsid w:val="005B6682"/>
    <w:rsid w:val="005B7E1E"/>
    <w:rsid w:val="005C0DB1"/>
    <w:rsid w:val="005C178E"/>
    <w:rsid w:val="005C2595"/>
    <w:rsid w:val="005C37DE"/>
    <w:rsid w:val="005C4073"/>
    <w:rsid w:val="005C4254"/>
    <w:rsid w:val="005C4BEC"/>
    <w:rsid w:val="005C54A2"/>
    <w:rsid w:val="005C6648"/>
    <w:rsid w:val="005D1976"/>
    <w:rsid w:val="005D223B"/>
    <w:rsid w:val="005D2BAC"/>
    <w:rsid w:val="005D3860"/>
    <w:rsid w:val="005D38CE"/>
    <w:rsid w:val="005D3AB9"/>
    <w:rsid w:val="005D42AD"/>
    <w:rsid w:val="005D4CFA"/>
    <w:rsid w:val="005D505A"/>
    <w:rsid w:val="005D5D00"/>
    <w:rsid w:val="005D6E22"/>
    <w:rsid w:val="005D71E8"/>
    <w:rsid w:val="005D7F4A"/>
    <w:rsid w:val="005E0284"/>
    <w:rsid w:val="005E2811"/>
    <w:rsid w:val="005E322C"/>
    <w:rsid w:val="005E4859"/>
    <w:rsid w:val="005E613F"/>
    <w:rsid w:val="005E643D"/>
    <w:rsid w:val="005F04C1"/>
    <w:rsid w:val="005F0900"/>
    <w:rsid w:val="005F0DF0"/>
    <w:rsid w:val="005F1AC2"/>
    <w:rsid w:val="005F3098"/>
    <w:rsid w:val="005F370C"/>
    <w:rsid w:val="005F6060"/>
    <w:rsid w:val="00600236"/>
    <w:rsid w:val="006039D6"/>
    <w:rsid w:val="00605750"/>
    <w:rsid w:val="00607B05"/>
    <w:rsid w:val="00610AA9"/>
    <w:rsid w:val="00613192"/>
    <w:rsid w:val="006144CE"/>
    <w:rsid w:val="00614B88"/>
    <w:rsid w:val="00615983"/>
    <w:rsid w:val="006161C7"/>
    <w:rsid w:val="00616A49"/>
    <w:rsid w:val="00616A94"/>
    <w:rsid w:val="00616BFC"/>
    <w:rsid w:val="0062252E"/>
    <w:rsid w:val="00622622"/>
    <w:rsid w:val="00623965"/>
    <w:rsid w:val="00624897"/>
    <w:rsid w:val="006252AB"/>
    <w:rsid w:val="00626B1A"/>
    <w:rsid w:val="00627567"/>
    <w:rsid w:val="00630178"/>
    <w:rsid w:val="0063031C"/>
    <w:rsid w:val="00631583"/>
    <w:rsid w:val="00631731"/>
    <w:rsid w:val="006318F6"/>
    <w:rsid w:val="00631A8D"/>
    <w:rsid w:val="00632CDD"/>
    <w:rsid w:val="00635618"/>
    <w:rsid w:val="00637324"/>
    <w:rsid w:val="00637EAB"/>
    <w:rsid w:val="00640565"/>
    <w:rsid w:val="00640A63"/>
    <w:rsid w:val="006421F5"/>
    <w:rsid w:val="00642214"/>
    <w:rsid w:val="006425C9"/>
    <w:rsid w:val="00643831"/>
    <w:rsid w:val="00644709"/>
    <w:rsid w:val="00644C03"/>
    <w:rsid w:val="00645FAA"/>
    <w:rsid w:val="00647900"/>
    <w:rsid w:val="006500C2"/>
    <w:rsid w:val="00650BF1"/>
    <w:rsid w:val="00651136"/>
    <w:rsid w:val="006530F2"/>
    <w:rsid w:val="00653324"/>
    <w:rsid w:val="00653506"/>
    <w:rsid w:val="006535BB"/>
    <w:rsid w:val="00654218"/>
    <w:rsid w:val="006558A9"/>
    <w:rsid w:val="0065599B"/>
    <w:rsid w:val="00656CE0"/>
    <w:rsid w:val="00656FB1"/>
    <w:rsid w:val="00661A8D"/>
    <w:rsid w:val="00662F91"/>
    <w:rsid w:val="00664420"/>
    <w:rsid w:val="00664B9E"/>
    <w:rsid w:val="00665148"/>
    <w:rsid w:val="006651D1"/>
    <w:rsid w:val="00665B2F"/>
    <w:rsid w:val="006673A5"/>
    <w:rsid w:val="00667A98"/>
    <w:rsid w:val="00667F4E"/>
    <w:rsid w:val="006704C1"/>
    <w:rsid w:val="00670F7C"/>
    <w:rsid w:val="006714D2"/>
    <w:rsid w:val="00671C8C"/>
    <w:rsid w:val="00672975"/>
    <w:rsid w:val="0067380E"/>
    <w:rsid w:val="00673937"/>
    <w:rsid w:val="00674332"/>
    <w:rsid w:val="00674C88"/>
    <w:rsid w:val="0067620C"/>
    <w:rsid w:val="0067702F"/>
    <w:rsid w:val="006820D6"/>
    <w:rsid w:val="00684A2A"/>
    <w:rsid w:val="00686E5D"/>
    <w:rsid w:val="0069061E"/>
    <w:rsid w:val="00690CFC"/>
    <w:rsid w:val="00690F17"/>
    <w:rsid w:val="00692E4E"/>
    <w:rsid w:val="00693016"/>
    <w:rsid w:val="00694165"/>
    <w:rsid w:val="0069459B"/>
    <w:rsid w:val="00697225"/>
    <w:rsid w:val="006978B6"/>
    <w:rsid w:val="006A0554"/>
    <w:rsid w:val="006A0B0C"/>
    <w:rsid w:val="006A2687"/>
    <w:rsid w:val="006A3119"/>
    <w:rsid w:val="006A6F81"/>
    <w:rsid w:val="006A75C5"/>
    <w:rsid w:val="006A7BF3"/>
    <w:rsid w:val="006A7C95"/>
    <w:rsid w:val="006B078E"/>
    <w:rsid w:val="006B2053"/>
    <w:rsid w:val="006B4367"/>
    <w:rsid w:val="006B66C4"/>
    <w:rsid w:val="006B73E0"/>
    <w:rsid w:val="006C04C6"/>
    <w:rsid w:val="006C109C"/>
    <w:rsid w:val="006C1FFC"/>
    <w:rsid w:val="006C3860"/>
    <w:rsid w:val="006C466D"/>
    <w:rsid w:val="006C4C0F"/>
    <w:rsid w:val="006C6645"/>
    <w:rsid w:val="006C708F"/>
    <w:rsid w:val="006C7756"/>
    <w:rsid w:val="006C7B50"/>
    <w:rsid w:val="006D18AD"/>
    <w:rsid w:val="006D1B0D"/>
    <w:rsid w:val="006D3080"/>
    <w:rsid w:val="006D5649"/>
    <w:rsid w:val="006D5D7A"/>
    <w:rsid w:val="006D7B83"/>
    <w:rsid w:val="006E0956"/>
    <w:rsid w:val="006E6E18"/>
    <w:rsid w:val="006E7313"/>
    <w:rsid w:val="006E7D6C"/>
    <w:rsid w:val="006F1F6F"/>
    <w:rsid w:val="006F3461"/>
    <w:rsid w:val="006F54CE"/>
    <w:rsid w:val="006F5A9E"/>
    <w:rsid w:val="006F69A5"/>
    <w:rsid w:val="006F6A94"/>
    <w:rsid w:val="006F7229"/>
    <w:rsid w:val="006F7464"/>
    <w:rsid w:val="006F7D57"/>
    <w:rsid w:val="00702B02"/>
    <w:rsid w:val="0070313F"/>
    <w:rsid w:val="00703F3E"/>
    <w:rsid w:val="00705E8D"/>
    <w:rsid w:val="0070644F"/>
    <w:rsid w:val="0070737C"/>
    <w:rsid w:val="00707AAE"/>
    <w:rsid w:val="00707DCB"/>
    <w:rsid w:val="007101D2"/>
    <w:rsid w:val="00710CE3"/>
    <w:rsid w:val="007122A1"/>
    <w:rsid w:val="00717563"/>
    <w:rsid w:val="00717A7E"/>
    <w:rsid w:val="00721111"/>
    <w:rsid w:val="007216CB"/>
    <w:rsid w:val="0072257A"/>
    <w:rsid w:val="00722DB2"/>
    <w:rsid w:val="00725625"/>
    <w:rsid w:val="00725E4C"/>
    <w:rsid w:val="00726258"/>
    <w:rsid w:val="00726AA7"/>
    <w:rsid w:val="00726EB8"/>
    <w:rsid w:val="007314EA"/>
    <w:rsid w:val="0073338D"/>
    <w:rsid w:val="00734A5D"/>
    <w:rsid w:val="0073522F"/>
    <w:rsid w:val="00735C20"/>
    <w:rsid w:val="007378C8"/>
    <w:rsid w:val="00737A99"/>
    <w:rsid w:val="00741052"/>
    <w:rsid w:val="00741115"/>
    <w:rsid w:val="00741B25"/>
    <w:rsid w:val="00741B30"/>
    <w:rsid w:val="00741DE7"/>
    <w:rsid w:val="007421A3"/>
    <w:rsid w:val="00744E27"/>
    <w:rsid w:val="00750171"/>
    <w:rsid w:val="0075018D"/>
    <w:rsid w:val="007503B6"/>
    <w:rsid w:val="007508C1"/>
    <w:rsid w:val="00750C3D"/>
    <w:rsid w:val="00751FCE"/>
    <w:rsid w:val="00755865"/>
    <w:rsid w:val="00756052"/>
    <w:rsid w:val="00756F67"/>
    <w:rsid w:val="00756F88"/>
    <w:rsid w:val="0075759F"/>
    <w:rsid w:val="00763540"/>
    <w:rsid w:val="00763A7B"/>
    <w:rsid w:val="00763D5A"/>
    <w:rsid w:val="00766ADB"/>
    <w:rsid w:val="00766B0E"/>
    <w:rsid w:val="00771E28"/>
    <w:rsid w:val="00772062"/>
    <w:rsid w:val="00773444"/>
    <w:rsid w:val="00780285"/>
    <w:rsid w:val="00781476"/>
    <w:rsid w:val="00782690"/>
    <w:rsid w:val="00783F9F"/>
    <w:rsid w:val="0078419B"/>
    <w:rsid w:val="00786F82"/>
    <w:rsid w:val="00790F43"/>
    <w:rsid w:val="00793C1B"/>
    <w:rsid w:val="0079422B"/>
    <w:rsid w:val="00794344"/>
    <w:rsid w:val="007957DC"/>
    <w:rsid w:val="00795FFC"/>
    <w:rsid w:val="00796523"/>
    <w:rsid w:val="0079756E"/>
    <w:rsid w:val="007A08A9"/>
    <w:rsid w:val="007A1126"/>
    <w:rsid w:val="007A3047"/>
    <w:rsid w:val="007A7A4B"/>
    <w:rsid w:val="007A7CC6"/>
    <w:rsid w:val="007B0FB3"/>
    <w:rsid w:val="007B1439"/>
    <w:rsid w:val="007B1574"/>
    <w:rsid w:val="007B1899"/>
    <w:rsid w:val="007B2E47"/>
    <w:rsid w:val="007B3210"/>
    <w:rsid w:val="007B3686"/>
    <w:rsid w:val="007B3898"/>
    <w:rsid w:val="007B3924"/>
    <w:rsid w:val="007B3DD9"/>
    <w:rsid w:val="007B5942"/>
    <w:rsid w:val="007B595A"/>
    <w:rsid w:val="007B7CE6"/>
    <w:rsid w:val="007C1150"/>
    <w:rsid w:val="007C26DB"/>
    <w:rsid w:val="007C7107"/>
    <w:rsid w:val="007D035C"/>
    <w:rsid w:val="007D0FE1"/>
    <w:rsid w:val="007D191D"/>
    <w:rsid w:val="007D2A89"/>
    <w:rsid w:val="007D359B"/>
    <w:rsid w:val="007D4B90"/>
    <w:rsid w:val="007E135C"/>
    <w:rsid w:val="007E7B8F"/>
    <w:rsid w:val="007F0267"/>
    <w:rsid w:val="007F1400"/>
    <w:rsid w:val="007F1706"/>
    <w:rsid w:val="007F1E41"/>
    <w:rsid w:val="007F234F"/>
    <w:rsid w:val="007F25E8"/>
    <w:rsid w:val="007F2A5C"/>
    <w:rsid w:val="007F3100"/>
    <w:rsid w:val="007F51E4"/>
    <w:rsid w:val="007F7DD3"/>
    <w:rsid w:val="00800305"/>
    <w:rsid w:val="00800FE5"/>
    <w:rsid w:val="00801596"/>
    <w:rsid w:val="0080193D"/>
    <w:rsid w:val="00802E2F"/>
    <w:rsid w:val="0080336C"/>
    <w:rsid w:val="00803448"/>
    <w:rsid w:val="00805A53"/>
    <w:rsid w:val="0080768C"/>
    <w:rsid w:val="00807FC5"/>
    <w:rsid w:val="00810495"/>
    <w:rsid w:val="00813965"/>
    <w:rsid w:val="00813AA9"/>
    <w:rsid w:val="008153D8"/>
    <w:rsid w:val="00815F78"/>
    <w:rsid w:val="00820DEA"/>
    <w:rsid w:val="00821C6F"/>
    <w:rsid w:val="00822F71"/>
    <w:rsid w:val="0082320A"/>
    <w:rsid w:val="00823299"/>
    <w:rsid w:val="00824A36"/>
    <w:rsid w:val="0082580E"/>
    <w:rsid w:val="00825C37"/>
    <w:rsid w:val="008271B2"/>
    <w:rsid w:val="0083035E"/>
    <w:rsid w:val="008323EC"/>
    <w:rsid w:val="00833436"/>
    <w:rsid w:val="00833976"/>
    <w:rsid w:val="00833D58"/>
    <w:rsid w:val="00835AFC"/>
    <w:rsid w:val="00836A09"/>
    <w:rsid w:val="00836AE4"/>
    <w:rsid w:val="00836C68"/>
    <w:rsid w:val="0083769A"/>
    <w:rsid w:val="00841A12"/>
    <w:rsid w:val="00842571"/>
    <w:rsid w:val="00842DBB"/>
    <w:rsid w:val="008437BE"/>
    <w:rsid w:val="00844232"/>
    <w:rsid w:val="0084702F"/>
    <w:rsid w:val="00847221"/>
    <w:rsid w:val="00847264"/>
    <w:rsid w:val="00847E68"/>
    <w:rsid w:val="0085074F"/>
    <w:rsid w:val="00850FE1"/>
    <w:rsid w:val="00851A88"/>
    <w:rsid w:val="00851E26"/>
    <w:rsid w:val="0085475B"/>
    <w:rsid w:val="00854B47"/>
    <w:rsid w:val="008554BA"/>
    <w:rsid w:val="00856A08"/>
    <w:rsid w:val="00856D0B"/>
    <w:rsid w:val="00856DBF"/>
    <w:rsid w:val="00857926"/>
    <w:rsid w:val="00857D9E"/>
    <w:rsid w:val="0086011A"/>
    <w:rsid w:val="00860546"/>
    <w:rsid w:val="00860F4B"/>
    <w:rsid w:val="008621EE"/>
    <w:rsid w:val="00862BBA"/>
    <w:rsid w:val="00862D6C"/>
    <w:rsid w:val="00863270"/>
    <w:rsid w:val="00863B0D"/>
    <w:rsid w:val="00863E28"/>
    <w:rsid w:val="00864E27"/>
    <w:rsid w:val="008654DA"/>
    <w:rsid w:val="00866137"/>
    <w:rsid w:val="00866A1F"/>
    <w:rsid w:val="00870EF8"/>
    <w:rsid w:val="00871B2F"/>
    <w:rsid w:val="00871B47"/>
    <w:rsid w:val="00871E70"/>
    <w:rsid w:val="00875FED"/>
    <w:rsid w:val="008814EA"/>
    <w:rsid w:val="00881BBE"/>
    <w:rsid w:val="00882344"/>
    <w:rsid w:val="008838C6"/>
    <w:rsid w:val="00883A53"/>
    <w:rsid w:val="0088459A"/>
    <w:rsid w:val="008863B6"/>
    <w:rsid w:val="00887D31"/>
    <w:rsid w:val="0089220D"/>
    <w:rsid w:val="00894520"/>
    <w:rsid w:val="00894DF4"/>
    <w:rsid w:val="008978BE"/>
    <w:rsid w:val="008A03AB"/>
    <w:rsid w:val="008A05A8"/>
    <w:rsid w:val="008A2788"/>
    <w:rsid w:val="008A51EB"/>
    <w:rsid w:val="008A56EC"/>
    <w:rsid w:val="008A72BB"/>
    <w:rsid w:val="008B21D5"/>
    <w:rsid w:val="008B25D1"/>
    <w:rsid w:val="008B3B29"/>
    <w:rsid w:val="008B4897"/>
    <w:rsid w:val="008B4C2A"/>
    <w:rsid w:val="008B5777"/>
    <w:rsid w:val="008B6D80"/>
    <w:rsid w:val="008B7DBA"/>
    <w:rsid w:val="008C1A38"/>
    <w:rsid w:val="008C2E70"/>
    <w:rsid w:val="008C3590"/>
    <w:rsid w:val="008C3CDE"/>
    <w:rsid w:val="008C4BC3"/>
    <w:rsid w:val="008C5853"/>
    <w:rsid w:val="008D014B"/>
    <w:rsid w:val="008D06F3"/>
    <w:rsid w:val="008D348A"/>
    <w:rsid w:val="008D3A0A"/>
    <w:rsid w:val="008D66A7"/>
    <w:rsid w:val="008E02B1"/>
    <w:rsid w:val="008E0AFB"/>
    <w:rsid w:val="008E23ED"/>
    <w:rsid w:val="008E2C16"/>
    <w:rsid w:val="008E325F"/>
    <w:rsid w:val="008E39A4"/>
    <w:rsid w:val="008E4801"/>
    <w:rsid w:val="008E4C4E"/>
    <w:rsid w:val="008E61AD"/>
    <w:rsid w:val="008F1B75"/>
    <w:rsid w:val="008F6E27"/>
    <w:rsid w:val="008F76C0"/>
    <w:rsid w:val="008F7A78"/>
    <w:rsid w:val="00901FE1"/>
    <w:rsid w:val="00902038"/>
    <w:rsid w:val="00903238"/>
    <w:rsid w:val="00903425"/>
    <w:rsid w:val="00903492"/>
    <w:rsid w:val="009035B8"/>
    <w:rsid w:val="00903ACB"/>
    <w:rsid w:val="00905053"/>
    <w:rsid w:val="009072ED"/>
    <w:rsid w:val="0091133E"/>
    <w:rsid w:val="00911555"/>
    <w:rsid w:val="00911599"/>
    <w:rsid w:val="00912DB0"/>
    <w:rsid w:val="00912E2D"/>
    <w:rsid w:val="0091307F"/>
    <w:rsid w:val="00913C0A"/>
    <w:rsid w:val="00914607"/>
    <w:rsid w:val="0091612A"/>
    <w:rsid w:val="00916344"/>
    <w:rsid w:val="0091646B"/>
    <w:rsid w:val="009168FA"/>
    <w:rsid w:val="009171F3"/>
    <w:rsid w:val="00917DAD"/>
    <w:rsid w:val="00920445"/>
    <w:rsid w:val="009208F3"/>
    <w:rsid w:val="00921F50"/>
    <w:rsid w:val="00922179"/>
    <w:rsid w:val="009231F3"/>
    <w:rsid w:val="009269CE"/>
    <w:rsid w:val="00926B67"/>
    <w:rsid w:val="00927868"/>
    <w:rsid w:val="00930678"/>
    <w:rsid w:val="00931669"/>
    <w:rsid w:val="00933A2F"/>
    <w:rsid w:val="009375EA"/>
    <w:rsid w:val="0093768D"/>
    <w:rsid w:val="00937F02"/>
    <w:rsid w:val="00940DDC"/>
    <w:rsid w:val="0094116B"/>
    <w:rsid w:val="00942325"/>
    <w:rsid w:val="0094372D"/>
    <w:rsid w:val="0094396B"/>
    <w:rsid w:val="00943C87"/>
    <w:rsid w:val="00944D0D"/>
    <w:rsid w:val="00945DE8"/>
    <w:rsid w:val="0094735F"/>
    <w:rsid w:val="009504B8"/>
    <w:rsid w:val="009504C2"/>
    <w:rsid w:val="00950CF8"/>
    <w:rsid w:val="009515CD"/>
    <w:rsid w:val="00951772"/>
    <w:rsid w:val="009523DA"/>
    <w:rsid w:val="00952F46"/>
    <w:rsid w:val="00953071"/>
    <w:rsid w:val="0095580C"/>
    <w:rsid w:val="00955E6B"/>
    <w:rsid w:val="0095624B"/>
    <w:rsid w:val="00960D0B"/>
    <w:rsid w:val="00960F9D"/>
    <w:rsid w:val="00961275"/>
    <w:rsid w:val="00961604"/>
    <w:rsid w:val="00962BB5"/>
    <w:rsid w:val="009634A6"/>
    <w:rsid w:val="00963DB5"/>
    <w:rsid w:val="00964B0F"/>
    <w:rsid w:val="00966053"/>
    <w:rsid w:val="009665A6"/>
    <w:rsid w:val="00970575"/>
    <w:rsid w:val="00971E5F"/>
    <w:rsid w:val="009720F7"/>
    <w:rsid w:val="0097589E"/>
    <w:rsid w:val="00977520"/>
    <w:rsid w:val="00977C04"/>
    <w:rsid w:val="00980795"/>
    <w:rsid w:val="009819E7"/>
    <w:rsid w:val="00981B11"/>
    <w:rsid w:val="0098399B"/>
    <w:rsid w:val="00983E09"/>
    <w:rsid w:val="00991CF7"/>
    <w:rsid w:val="00991F96"/>
    <w:rsid w:val="00992AA6"/>
    <w:rsid w:val="0099376E"/>
    <w:rsid w:val="00995487"/>
    <w:rsid w:val="0099593B"/>
    <w:rsid w:val="00995A46"/>
    <w:rsid w:val="00995F97"/>
    <w:rsid w:val="00997914"/>
    <w:rsid w:val="009A0074"/>
    <w:rsid w:val="009A0754"/>
    <w:rsid w:val="009A1E9B"/>
    <w:rsid w:val="009A292D"/>
    <w:rsid w:val="009A2ECF"/>
    <w:rsid w:val="009A5098"/>
    <w:rsid w:val="009A5E8B"/>
    <w:rsid w:val="009A61A2"/>
    <w:rsid w:val="009A7437"/>
    <w:rsid w:val="009A7DCC"/>
    <w:rsid w:val="009B0777"/>
    <w:rsid w:val="009B0A83"/>
    <w:rsid w:val="009B3502"/>
    <w:rsid w:val="009B4B36"/>
    <w:rsid w:val="009B4D50"/>
    <w:rsid w:val="009B5746"/>
    <w:rsid w:val="009B582B"/>
    <w:rsid w:val="009B7BF4"/>
    <w:rsid w:val="009C0F70"/>
    <w:rsid w:val="009C14A7"/>
    <w:rsid w:val="009C32AF"/>
    <w:rsid w:val="009C34E0"/>
    <w:rsid w:val="009C5CEA"/>
    <w:rsid w:val="009C6353"/>
    <w:rsid w:val="009C6EFF"/>
    <w:rsid w:val="009D03AD"/>
    <w:rsid w:val="009D07DE"/>
    <w:rsid w:val="009D518F"/>
    <w:rsid w:val="009D66E1"/>
    <w:rsid w:val="009D6F75"/>
    <w:rsid w:val="009D7318"/>
    <w:rsid w:val="009E0474"/>
    <w:rsid w:val="009E08E2"/>
    <w:rsid w:val="009E18B6"/>
    <w:rsid w:val="009E363A"/>
    <w:rsid w:val="009E5AB9"/>
    <w:rsid w:val="009E7113"/>
    <w:rsid w:val="009E7C2C"/>
    <w:rsid w:val="009F0B5E"/>
    <w:rsid w:val="009F265F"/>
    <w:rsid w:val="009F31CA"/>
    <w:rsid w:val="009F3496"/>
    <w:rsid w:val="009F3F00"/>
    <w:rsid w:val="009F3F9E"/>
    <w:rsid w:val="009F40DD"/>
    <w:rsid w:val="009F63DC"/>
    <w:rsid w:val="009F6B95"/>
    <w:rsid w:val="009F6BC4"/>
    <w:rsid w:val="009F6CF3"/>
    <w:rsid w:val="009F707E"/>
    <w:rsid w:val="009F7909"/>
    <w:rsid w:val="009F7A5E"/>
    <w:rsid w:val="00A02A64"/>
    <w:rsid w:val="00A0385C"/>
    <w:rsid w:val="00A03E69"/>
    <w:rsid w:val="00A03F9B"/>
    <w:rsid w:val="00A055A2"/>
    <w:rsid w:val="00A05BDD"/>
    <w:rsid w:val="00A07DA6"/>
    <w:rsid w:val="00A10D12"/>
    <w:rsid w:val="00A12702"/>
    <w:rsid w:val="00A13DB1"/>
    <w:rsid w:val="00A154C2"/>
    <w:rsid w:val="00A2122E"/>
    <w:rsid w:val="00A2184A"/>
    <w:rsid w:val="00A238DD"/>
    <w:rsid w:val="00A25536"/>
    <w:rsid w:val="00A25C10"/>
    <w:rsid w:val="00A27818"/>
    <w:rsid w:val="00A27CB5"/>
    <w:rsid w:val="00A31890"/>
    <w:rsid w:val="00A342CA"/>
    <w:rsid w:val="00A352ED"/>
    <w:rsid w:val="00A355A9"/>
    <w:rsid w:val="00A36888"/>
    <w:rsid w:val="00A437CE"/>
    <w:rsid w:val="00A44773"/>
    <w:rsid w:val="00A44CC4"/>
    <w:rsid w:val="00A4521F"/>
    <w:rsid w:val="00A4533A"/>
    <w:rsid w:val="00A46261"/>
    <w:rsid w:val="00A50F83"/>
    <w:rsid w:val="00A537DF"/>
    <w:rsid w:val="00A60A58"/>
    <w:rsid w:val="00A65D3F"/>
    <w:rsid w:val="00A677D9"/>
    <w:rsid w:val="00A67D9A"/>
    <w:rsid w:val="00A7175A"/>
    <w:rsid w:val="00A7190A"/>
    <w:rsid w:val="00A725CF"/>
    <w:rsid w:val="00A7268F"/>
    <w:rsid w:val="00A73F20"/>
    <w:rsid w:val="00A741B3"/>
    <w:rsid w:val="00A74DBC"/>
    <w:rsid w:val="00A75C6B"/>
    <w:rsid w:val="00A7666E"/>
    <w:rsid w:val="00A767A2"/>
    <w:rsid w:val="00A76B1D"/>
    <w:rsid w:val="00A80FF0"/>
    <w:rsid w:val="00A820A9"/>
    <w:rsid w:val="00A82D27"/>
    <w:rsid w:val="00A82F0E"/>
    <w:rsid w:val="00A83370"/>
    <w:rsid w:val="00A83729"/>
    <w:rsid w:val="00A837C5"/>
    <w:rsid w:val="00A87167"/>
    <w:rsid w:val="00A872EB"/>
    <w:rsid w:val="00A91389"/>
    <w:rsid w:val="00A9337B"/>
    <w:rsid w:val="00AA325F"/>
    <w:rsid w:val="00AA72A2"/>
    <w:rsid w:val="00AB0438"/>
    <w:rsid w:val="00AB1863"/>
    <w:rsid w:val="00AB4350"/>
    <w:rsid w:val="00AB43A0"/>
    <w:rsid w:val="00AB628E"/>
    <w:rsid w:val="00AB6D25"/>
    <w:rsid w:val="00AB6FE8"/>
    <w:rsid w:val="00AB72B9"/>
    <w:rsid w:val="00AC0A9C"/>
    <w:rsid w:val="00AC2485"/>
    <w:rsid w:val="00AC2BD8"/>
    <w:rsid w:val="00AC3075"/>
    <w:rsid w:val="00AC36D3"/>
    <w:rsid w:val="00AC620C"/>
    <w:rsid w:val="00AC7942"/>
    <w:rsid w:val="00AC7A93"/>
    <w:rsid w:val="00AD03C6"/>
    <w:rsid w:val="00AD1266"/>
    <w:rsid w:val="00AD262F"/>
    <w:rsid w:val="00AD46D8"/>
    <w:rsid w:val="00AD7182"/>
    <w:rsid w:val="00AE0628"/>
    <w:rsid w:val="00AE1AF4"/>
    <w:rsid w:val="00AE1C95"/>
    <w:rsid w:val="00AE31E0"/>
    <w:rsid w:val="00AE44B9"/>
    <w:rsid w:val="00AE4EAD"/>
    <w:rsid w:val="00AE6D91"/>
    <w:rsid w:val="00AF2BBB"/>
    <w:rsid w:val="00AF4C42"/>
    <w:rsid w:val="00AF4C5E"/>
    <w:rsid w:val="00AF6CA3"/>
    <w:rsid w:val="00B01121"/>
    <w:rsid w:val="00B027D0"/>
    <w:rsid w:val="00B05C6D"/>
    <w:rsid w:val="00B07474"/>
    <w:rsid w:val="00B10B66"/>
    <w:rsid w:val="00B11C0E"/>
    <w:rsid w:val="00B12BDA"/>
    <w:rsid w:val="00B16E74"/>
    <w:rsid w:val="00B21010"/>
    <w:rsid w:val="00B210EB"/>
    <w:rsid w:val="00B2148C"/>
    <w:rsid w:val="00B21EDE"/>
    <w:rsid w:val="00B22855"/>
    <w:rsid w:val="00B232F0"/>
    <w:rsid w:val="00B23E68"/>
    <w:rsid w:val="00B25255"/>
    <w:rsid w:val="00B30B1B"/>
    <w:rsid w:val="00B3120A"/>
    <w:rsid w:val="00B317F2"/>
    <w:rsid w:val="00B34153"/>
    <w:rsid w:val="00B34F24"/>
    <w:rsid w:val="00B376E8"/>
    <w:rsid w:val="00B413A7"/>
    <w:rsid w:val="00B41426"/>
    <w:rsid w:val="00B420A7"/>
    <w:rsid w:val="00B42315"/>
    <w:rsid w:val="00B434C5"/>
    <w:rsid w:val="00B459D0"/>
    <w:rsid w:val="00B459DA"/>
    <w:rsid w:val="00B459EA"/>
    <w:rsid w:val="00B45DF2"/>
    <w:rsid w:val="00B47B65"/>
    <w:rsid w:val="00B502EA"/>
    <w:rsid w:val="00B50BF4"/>
    <w:rsid w:val="00B52C27"/>
    <w:rsid w:val="00B53CC2"/>
    <w:rsid w:val="00B54971"/>
    <w:rsid w:val="00B56DC1"/>
    <w:rsid w:val="00B57C80"/>
    <w:rsid w:val="00B61199"/>
    <w:rsid w:val="00B61A74"/>
    <w:rsid w:val="00B63B0F"/>
    <w:rsid w:val="00B649BF"/>
    <w:rsid w:val="00B64B4F"/>
    <w:rsid w:val="00B66241"/>
    <w:rsid w:val="00B710C4"/>
    <w:rsid w:val="00B722E4"/>
    <w:rsid w:val="00B72D9B"/>
    <w:rsid w:val="00B7398F"/>
    <w:rsid w:val="00B74A28"/>
    <w:rsid w:val="00B77C7D"/>
    <w:rsid w:val="00B77EB4"/>
    <w:rsid w:val="00B81567"/>
    <w:rsid w:val="00B84CC6"/>
    <w:rsid w:val="00B84E38"/>
    <w:rsid w:val="00B8527B"/>
    <w:rsid w:val="00B86639"/>
    <w:rsid w:val="00B8721D"/>
    <w:rsid w:val="00B90318"/>
    <w:rsid w:val="00B9119D"/>
    <w:rsid w:val="00B9158F"/>
    <w:rsid w:val="00B922C6"/>
    <w:rsid w:val="00B92D15"/>
    <w:rsid w:val="00B946C3"/>
    <w:rsid w:val="00B9484C"/>
    <w:rsid w:val="00B96E2B"/>
    <w:rsid w:val="00B97198"/>
    <w:rsid w:val="00BA0784"/>
    <w:rsid w:val="00BA1C32"/>
    <w:rsid w:val="00BA2407"/>
    <w:rsid w:val="00BA3459"/>
    <w:rsid w:val="00BA3BE8"/>
    <w:rsid w:val="00BA521C"/>
    <w:rsid w:val="00BA734E"/>
    <w:rsid w:val="00BB0184"/>
    <w:rsid w:val="00BB0363"/>
    <w:rsid w:val="00BB12C7"/>
    <w:rsid w:val="00BB3836"/>
    <w:rsid w:val="00BB521D"/>
    <w:rsid w:val="00BC125E"/>
    <w:rsid w:val="00BC189A"/>
    <w:rsid w:val="00BC241B"/>
    <w:rsid w:val="00BC37BE"/>
    <w:rsid w:val="00BC7CCE"/>
    <w:rsid w:val="00BD0818"/>
    <w:rsid w:val="00BD11BF"/>
    <w:rsid w:val="00BD2654"/>
    <w:rsid w:val="00BD3560"/>
    <w:rsid w:val="00BD3B8C"/>
    <w:rsid w:val="00BD4109"/>
    <w:rsid w:val="00BD4F32"/>
    <w:rsid w:val="00BD5BF7"/>
    <w:rsid w:val="00BD6F58"/>
    <w:rsid w:val="00BD7E06"/>
    <w:rsid w:val="00BE01D1"/>
    <w:rsid w:val="00BE0248"/>
    <w:rsid w:val="00BE0DC9"/>
    <w:rsid w:val="00BE15D0"/>
    <w:rsid w:val="00BE27E0"/>
    <w:rsid w:val="00BE3D83"/>
    <w:rsid w:val="00BE47EC"/>
    <w:rsid w:val="00BE4E21"/>
    <w:rsid w:val="00BF0245"/>
    <w:rsid w:val="00BF2B28"/>
    <w:rsid w:val="00BF34F8"/>
    <w:rsid w:val="00BF3C9B"/>
    <w:rsid w:val="00BF4DA7"/>
    <w:rsid w:val="00BF6287"/>
    <w:rsid w:val="00BF798B"/>
    <w:rsid w:val="00BF7BD9"/>
    <w:rsid w:val="00C012B7"/>
    <w:rsid w:val="00C030F1"/>
    <w:rsid w:val="00C045E6"/>
    <w:rsid w:val="00C0499E"/>
    <w:rsid w:val="00C053BB"/>
    <w:rsid w:val="00C05ABB"/>
    <w:rsid w:val="00C06D1F"/>
    <w:rsid w:val="00C10FD7"/>
    <w:rsid w:val="00C141F2"/>
    <w:rsid w:val="00C16752"/>
    <w:rsid w:val="00C1686B"/>
    <w:rsid w:val="00C17373"/>
    <w:rsid w:val="00C1738F"/>
    <w:rsid w:val="00C20230"/>
    <w:rsid w:val="00C208E3"/>
    <w:rsid w:val="00C21D37"/>
    <w:rsid w:val="00C2239A"/>
    <w:rsid w:val="00C25720"/>
    <w:rsid w:val="00C27F4B"/>
    <w:rsid w:val="00C3043B"/>
    <w:rsid w:val="00C30D33"/>
    <w:rsid w:val="00C3249A"/>
    <w:rsid w:val="00C32AC9"/>
    <w:rsid w:val="00C33E2A"/>
    <w:rsid w:val="00C36A40"/>
    <w:rsid w:val="00C37B87"/>
    <w:rsid w:val="00C4158F"/>
    <w:rsid w:val="00C45FDA"/>
    <w:rsid w:val="00C51545"/>
    <w:rsid w:val="00C51957"/>
    <w:rsid w:val="00C5437F"/>
    <w:rsid w:val="00C5519C"/>
    <w:rsid w:val="00C560A3"/>
    <w:rsid w:val="00C6072C"/>
    <w:rsid w:val="00C6113E"/>
    <w:rsid w:val="00C6242D"/>
    <w:rsid w:val="00C63586"/>
    <w:rsid w:val="00C63835"/>
    <w:rsid w:val="00C646F8"/>
    <w:rsid w:val="00C65450"/>
    <w:rsid w:val="00C65DEB"/>
    <w:rsid w:val="00C66EF4"/>
    <w:rsid w:val="00C67587"/>
    <w:rsid w:val="00C679AC"/>
    <w:rsid w:val="00C67F20"/>
    <w:rsid w:val="00C70402"/>
    <w:rsid w:val="00C71774"/>
    <w:rsid w:val="00C72DD4"/>
    <w:rsid w:val="00C7361A"/>
    <w:rsid w:val="00C736FC"/>
    <w:rsid w:val="00C7400A"/>
    <w:rsid w:val="00C74325"/>
    <w:rsid w:val="00C75E8A"/>
    <w:rsid w:val="00C76A34"/>
    <w:rsid w:val="00C82321"/>
    <w:rsid w:val="00C83049"/>
    <w:rsid w:val="00C83E99"/>
    <w:rsid w:val="00C90AA4"/>
    <w:rsid w:val="00C91B0E"/>
    <w:rsid w:val="00C92F06"/>
    <w:rsid w:val="00C930C6"/>
    <w:rsid w:val="00C9396B"/>
    <w:rsid w:val="00C9451C"/>
    <w:rsid w:val="00C95DA8"/>
    <w:rsid w:val="00C96174"/>
    <w:rsid w:val="00C97C0E"/>
    <w:rsid w:val="00C97F68"/>
    <w:rsid w:val="00CA0148"/>
    <w:rsid w:val="00CA15C7"/>
    <w:rsid w:val="00CA2469"/>
    <w:rsid w:val="00CA5BFB"/>
    <w:rsid w:val="00CA5C61"/>
    <w:rsid w:val="00CA74B9"/>
    <w:rsid w:val="00CA7B46"/>
    <w:rsid w:val="00CB02A6"/>
    <w:rsid w:val="00CB082E"/>
    <w:rsid w:val="00CB2D65"/>
    <w:rsid w:val="00CB3461"/>
    <w:rsid w:val="00CB3ED0"/>
    <w:rsid w:val="00CB4B84"/>
    <w:rsid w:val="00CB75C3"/>
    <w:rsid w:val="00CC051B"/>
    <w:rsid w:val="00CC09F6"/>
    <w:rsid w:val="00CC165C"/>
    <w:rsid w:val="00CC1A92"/>
    <w:rsid w:val="00CC1E16"/>
    <w:rsid w:val="00CC4C59"/>
    <w:rsid w:val="00CC59CA"/>
    <w:rsid w:val="00CC7298"/>
    <w:rsid w:val="00CC752F"/>
    <w:rsid w:val="00CD1AE2"/>
    <w:rsid w:val="00CD1E59"/>
    <w:rsid w:val="00CD3BE8"/>
    <w:rsid w:val="00CD638F"/>
    <w:rsid w:val="00CD63CC"/>
    <w:rsid w:val="00CD71A4"/>
    <w:rsid w:val="00CD7B45"/>
    <w:rsid w:val="00CE3E78"/>
    <w:rsid w:val="00CE6F47"/>
    <w:rsid w:val="00CE6F4E"/>
    <w:rsid w:val="00CE7346"/>
    <w:rsid w:val="00CE7AA4"/>
    <w:rsid w:val="00CF207C"/>
    <w:rsid w:val="00CF345A"/>
    <w:rsid w:val="00CF3C35"/>
    <w:rsid w:val="00CF6117"/>
    <w:rsid w:val="00D00B96"/>
    <w:rsid w:val="00D02E6C"/>
    <w:rsid w:val="00D0394B"/>
    <w:rsid w:val="00D0414B"/>
    <w:rsid w:val="00D062AE"/>
    <w:rsid w:val="00D07D9E"/>
    <w:rsid w:val="00D07F79"/>
    <w:rsid w:val="00D10C46"/>
    <w:rsid w:val="00D119E5"/>
    <w:rsid w:val="00D11E67"/>
    <w:rsid w:val="00D12706"/>
    <w:rsid w:val="00D13FCB"/>
    <w:rsid w:val="00D140F3"/>
    <w:rsid w:val="00D15686"/>
    <w:rsid w:val="00D15759"/>
    <w:rsid w:val="00D15F3B"/>
    <w:rsid w:val="00D15F84"/>
    <w:rsid w:val="00D17024"/>
    <w:rsid w:val="00D175FE"/>
    <w:rsid w:val="00D17B05"/>
    <w:rsid w:val="00D21372"/>
    <w:rsid w:val="00D22331"/>
    <w:rsid w:val="00D22883"/>
    <w:rsid w:val="00D22F96"/>
    <w:rsid w:val="00D23636"/>
    <w:rsid w:val="00D23F2A"/>
    <w:rsid w:val="00D24768"/>
    <w:rsid w:val="00D25A29"/>
    <w:rsid w:val="00D271E3"/>
    <w:rsid w:val="00D32813"/>
    <w:rsid w:val="00D32A84"/>
    <w:rsid w:val="00D32FF2"/>
    <w:rsid w:val="00D334AF"/>
    <w:rsid w:val="00D35E1E"/>
    <w:rsid w:val="00D35E5A"/>
    <w:rsid w:val="00D37220"/>
    <w:rsid w:val="00D401C6"/>
    <w:rsid w:val="00D41A66"/>
    <w:rsid w:val="00D43550"/>
    <w:rsid w:val="00D43BE9"/>
    <w:rsid w:val="00D46CA4"/>
    <w:rsid w:val="00D47B4F"/>
    <w:rsid w:val="00D5181D"/>
    <w:rsid w:val="00D52CDA"/>
    <w:rsid w:val="00D52F02"/>
    <w:rsid w:val="00D5360E"/>
    <w:rsid w:val="00D555C5"/>
    <w:rsid w:val="00D56765"/>
    <w:rsid w:val="00D56C67"/>
    <w:rsid w:val="00D57845"/>
    <w:rsid w:val="00D57C8E"/>
    <w:rsid w:val="00D600BA"/>
    <w:rsid w:val="00D61159"/>
    <w:rsid w:val="00D61D95"/>
    <w:rsid w:val="00D61F6D"/>
    <w:rsid w:val="00D633BE"/>
    <w:rsid w:val="00D63FEC"/>
    <w:rsid w:val="00D642B8"/>
    <w:rsid w:val="00D667E9"/>
    <w:rsid w:val="00D7087D"/>
    <w:rsid w:val="00D71D62"/>
    <w:rsid w:val="00D72AC3"/>
    <w:rsid w:val="00D73072"/>
    <w:rsid w:val="00D73299"/>
    <w:rsid w:val="00D752EB"/>
    <w:rsid w:val="00D75C53"/>
    <w:rsid w:val="00D76CD7"/>
    <w:rsid w:val="00D82B2E"/>
    <w:rsid w:val="00D82BB7"/>
    <w:rsid w:val="00D83A76"/>
    <w:rsid w:val="00D847BD"/>
    <w:rsid w:val="00D84B06"/>
    <w:rsid w:val="00D85065"/>
    <w:rsid w:val="00D859FD"/>
    <w:rsid w:val="00D873BB"/>
    <w:rsid w:val="00D917B4"/>
    <w:rsid w:val="00D92205"/>
    <w:rsid w:val="00D939DF"/>
    <w:rsid w:val="00D93A53"/>
    <w:rsid w:val="00D94EF8"/>
    <w:rsid w:val="00D95FE4"/>
    <w:rsid w:val="00D96610"/>
    <w:rsid w:val="00DA0A59"/>
    <w:rsid w:val="00DA108C"/>
    <w:rsid w:val="00DA134C"/>
    <w:rsid w:val="00DA4653"/>
    <w:rsid w:val="00DA4C6A"/>
    <w:rsid w:val="00DA62C1"/>
    <w:rsid w:val="00DA75FD"/>
    <w:rsid w:val="00DA7AAE"/>
    <w:rsid w:val="00DB026D"/>
    <w:rsid w:val="00DB1C41"/>
    <w:rsid w:val="00DB304F"/>
    <w:rsid w:val="00DB5809"/>
    <w:rsid w:val="00DB60CB"/>
    <w:rsid w:val="00DC0816"/>
    <w:rsid w:val="00DC273C"/>
    <w:rsid w:val="00DC47BD"/>
    <w:rsid w:val="00DC63A0"/>
    <w:rsid w:val="00DC7926"/>
    <w:rsid w:val="00DD0B76"/>
    <w:rsid w:val="00DD0BA2"/>
    <w:rsid w:val="00DD16C5"/>
    <w:rsid w:val="00DD57CA"/>
    <w:rsid w:val="00DD59B1"/>
    <w:rsid w:val="00DE05CA"/>
    <w:rsid w:val="00DE0F84"/>
    <w:rsid w:val="00DE10A3"/>
    <w:rsid w:val="00DE46EE"/>
    <w:rsid w:val="00DE6D73"/>
    <w:rsid w:val="00DF078F"/>
    <w:rsid w:val="00DF1585"/>
    <w:rsid w:val="00DF1A40"/>
    <w:rsid w:val="00DF23EF"/>
    <w:rsid w:val="00DF2414"/>
    <w:rsid w:val="00DF27E8"/>
    <w:rsid w:val="00DF3CE3"/>
    <w:rsid w:val="00DF44EA"/>
    <w:rsid w:val="00DF49D6"/>
    <w:rsid w:val="00DF4D84"/>
    <w:rsid w:val="00DF7492"/>
    <w:rsid w:val="00DF7704"/>
    <w:rsid w:val="00DF7910"/>
    <w:rsid w:val="00E0082F"/>
    <w:rsid w:val="00E016E8"/>
    <w:rsid w:val="00E02F21"/>
    <w:rsid w:val="00E03085"/>
    <w:rsid w:val="00E03618"/>
    <w:rsid w:val="00E03AE6"/>
    <w:rsid w:val="00E043C3"/>
    <w:rsid w:val="00E04453"/>
    <w:rsid w:val="00E0495E"/>
    <w:rsid w:val="00E04B2C"/>
    <w:rsid w:val="00E05185"/>
    <w:rsid w:val="00E0703A"/>
    <w:rsid w:val="00E07B10"/>
    <w:rsid w:val="00E153FA"/>
    <w:rsid w:val="00E16837"/>
    <w:rsid w:val="00E20703"/>
    <w:rsid w:val="00E228D9"/>
    <w:rsid w:val="00E2322B"/>
    <w:rsid w:val="00E243ED"/>
    <w:rsid w:val="00E24EFF"/>
    <w:rsid w:val="00E26A00"/>
    <w:rsid w:val="00E270B9"/>
    <w:rsid w:val="00E31223"/>
    <w:rsid w:val="00E319B9"/>
    <w:rsid w:val="00E32F14"/>
    <w:rsid w:val="00E33DD7"/>
    <w:rsid w:val="00E34A04"/>
    <w:rsid w:val="00E34C5E"/>
    <w:rsid w:val="00E34DD8"/>
    <w:rsid w:val="00E35038"/>
    <w:rsid w:val="00E3535F"/>
    <w:rsid w:val="00E36322"/>
    <w:rsid w:val="00E36454"/>
    <w:rsid w:val="00E3722B"/>
    <w:rsid w:val="00E37B17"/>
    <w:rsid w:val="00E41D78"/>
    <w:rsid w:val="00E439C9"/>
    <w:rsid w:val="00E439F8"/>
    <w:rsid w:val="00E43ABD"/>
    <w:rsid w:val="00E46124"/>
    <w:rsid w:val="00E4618E"/>
    <w:rsid w:val="00E4686A"/>
    <w:rsid w:val="00E475C4"/>
    <w:rsid w:val="00E47FBD"/>
    <w:rsid w:val="00E51124"/>
    <w:rsid w:val="00E51605"/>
    <w:rsid w:val="00E51B11"/>
    <w:rsid w:val="00E531F7"/>
    <w:rsid w:val="00E54427"/>
    <w:rsid w:val="00E56EAB"/>
    <w:rsid w:val="00E60265"/>
    <w:rsid w:val="00E63334"/>
    <w:rsid w:val="00E64DA5"/>
    <w:rsid w:val="00E65916"/>
    <w:rsid w:val="00E6646A"/>
    <w:rsid w:val="00E67226"/>
    <w:rsid w:val="00E673EC"/>
    <w:rsid w:val="00E700E6"/>
    <w:rsid w:val="00E70652"/>
    <w:rsid w:val="00E71846"/>
    <w:rsid w:val="00E730D9"/>
    <w:rsid w:val="00E74804"/>
    <w:rsid w:val="00E804CE"/>
    <w:rsid w:val="00E806AF"/>
    <w:rsid w:val="00E8294F"/>
    <w:rsid w:val="00E832C2"/>
    <w:rsid w:val="00E84062"/>
    <w:rsid w:val="00E84B25"/>
    <w:rsid w:val="00E857A7"/>
    <w:rsid w:val="00E86CB0"/>
    <w:rsid w:val="00E90E78"/>
    <w:rsid w:val="00E91AED"/>
    <w:rsid w:val="00E92C2B"/>
    <w:rsid w:val="00E9527E"/>
    <w:rsid w:val="00E95CA3"/>
    <w:rsid w:val="00E971A4"/>
    <w:rsid w:val="00E97E7C"/>
    <w:rsid w:val="00EA0110"/>
    <w:rsid w:val="00EA0714"/>
    <w:rsid w:val="00EA2003"/>
    <w:rsid w:val="00EA2B20"/>
    <w:rsid w:val="00EA358B"/>
    <w:rsid w:val="00EA378D"/>
    <w:rsid w:val="00EA3B33"/>
    <w:rsid w:val="00EA4BBF"/>
    <w:rsid w:val="00EA59B7"/>
    <w:rsid w:val="00EA5B8A"/>
    <w:rsid w:val="00EA5D0A"/>
    <w:rsid w:val="00EA6F2D"/>
    <w:rsid w:val="00EA6F9C"/>
    <w:rsid w:val="00EA768E"/>
    <w:rsid w:val="00EA7F35"/>
    <w:rsid w:val="00EB015D"/>
    <w:rsid w:val="00EB177E"/>
    <w:rsid w:val="00EB53A1"/>
    <w:rsid w:val="00EB5941"/>
    <w:rsid w:val="00EC0420"/>
    <w:rsid w:val="00EC291B"/>
    <w:rsid w:val="00EC5986"/>
    <w:rsid w:val="00EC6996"/>
    <w:rsid w:val="00EC753E"/>
    <w:rsid w:val="00EC7DE2"/>
    <w:rsid w:val="00ED273D"/>
    <w:rsid w:val="00ED2FC7"/>
    <w:rsid w:val="00ED4C39"/>
    <w:rsid w:val="00ED6139"/>
    <w:rsid w:val="00ED6456"/>
    <w:rsid w:val="00ED6C2C"/>
    <w:rsid w:val="00EE1522"/>
    <w:rsid w:val="00EE1B3B"/>
    <w:rsid w:val="00EE4966"/>
    <w:rsid w:val="00EE4D0D"/>
    <w:rsid w:val="00EE4ECB"/>
    <w:rsid w:val="00EE6715"/>
    <w:rsid w:val="00EF0A18"/>
    <w:rsid w:val="00EF0CDE"/>
    <w:rsid w:val="00EF0DCE"/>
    <w:rsid w:val="00EF1054"/>
    <w:rsid w:val="00EF3A39"/>
    <w:rsid w:val="00EF5176"/>
    <w:rsid w:val="00EF68DE"/>
    <w:rsid w:val="00EF7337"/>
    <w:rsid w:val="00EF7439"/>
    <w:rsid w:val="00F003EC"/>
    <w:rsid w:val="00F0268B"/>
    <w:rsid w:val="00F04582"/>
    <w:rsid w:val="00F04AD4"/>
    <w:rsid w:val="00F069CD"/>
    <w:rsid w:val="00F10FA6"/>
    <w:rsid w:val="00F14EA1"/>
    <w:rsid w:val="00F15308"/>
    <w:rsid w:val="00F20B26"/>
    <w:rsid w:val="00F21FC4"/>
    <w:rsid w:val="00F24D6B"/>
    <w:rsid w:val="00F25DBC"/>
    <w:rsid w:val="00F2611A"/>
    <w:rsid w:val="00F262FD"/>
    <w:rsid w:val="00F26A3D"/>
    <w:rsid w:val="00F26ECF"/>
    <w:rsid w:val="00F27170"/>
    <w:rsid w:val="00F27F78"/>
    <w:rsid w:val="00F31C85"/>
    <w:rsid w:val="00F331AF"/>
    <w:rsid w:val="00F37BB7"/>
    <w:rsid w:val="00F422B1"/>
    <w:rsid w:val="00F42B19"/>
    <w:rsid w:val="00F4693B"/>
    <w:rsid w:val="00F46AFC"/>
    <w:rsid w:val="00F4771B"/>
    <w:rsid w:val="00F51701"/>
    <w:rsid w:val="00F51B1C"/>
    <w:rsid w:val="00F51CE3"/>
    <w:rsid w:val="00F52B17"/>
    <w:rsid w:val="00F53393"/>
    <w:rsid w:val="00F54F9B"/>
    <w:rsid w:val="00F558CE"/>
    <w:rsid w:val="00F56C80"/>
    <w:rsid w:val="00F60D35"/>
    <w:rsid w:val="00F62BFE"/>
    <w:rsid w:val="00F63CD2"/>
    <w:rsid w:val="00F64524"/>
    <w:rsid w:val="00F654FF"/>
    <w:rsid w:val="00F659D3"/>
    <w:rsid w:val="00F669C0"/>
    <w:rsid w:val="00F675D5"/>
    <w:rsid w:val="00F70322"/>
    <w:rsid w:val="00F7242B"/>
    <w:rsid w:val="00F73D9F"/>
    <w:rsid w:val="00F742A2"/>
    <w:rsid w:val="00F76259"/>
    <w:rsid w:val="00F76475"/>
    <w:rsid w:val="00F77563"/>
    <w:rsid w:val="00F8056F"/>
    <w:rsid w:val="00F80D1B"/>
    <w:rsid w:val="00F8162D"/>
    <w:rsid w:val="00F817A5"/>
    <w:rsid w:val="00F82001"/>
    <w:rsid w:val="00F82305"/>
    <w:rsid w:val="00F83AD3"/>
    <w:rsid w:val="00F8564F"/>
    <w:rsid w:val="00F8757E"/>
    <w:rsid w:val="00F8788F"/>
    <w:rsid w:val="00F90306"/>
    <w:rsid w:val="00F90454"/>
    <w:rsid w:val="00F90C16"/>
    <w:rsid w:val="00F91587"/>
    <w:rsid w:val="00F91EA1"/>
    <w:rsid w:val="00F91ED7"/>
    <w:rsid w:val="00F93A2E"/>
    <w:rsid w:val="00F93E52"/>
    <w:rsid w:val="00F95D1E"/>
    <w:rsid w:val="00F979D9"/>
    <w:rsid w:val="00FA04E8"/>
    <w:rsid w:val="00FA0614"/>
    <w:rsid w:val="00FA1720"/>
    <w:rsid w:val="00FA23E8"/>
    <w:rsid w:val="00FA295A"/>
    <w:rsid w:val="00FA71FD"/>
    <w:rsid w:val="00FA7B25"/>
    <w:rsid w:val="00FB0077"/>
    <w:rsid w:val="00FB18EF"/>
    <w:rsid w:val="00FB2BF6"/>
    <w:rsid w:val="00FB37F4"/>
    <w:rsid w:val="00FB3E03"/>
    <w:rsid w:val="00FB3FAB"/>
    <w:rsid w:val="00FB6B4E"/>
    <w:rsid w:val="00FB6C6E"/>
    <w:rsid w:val="00FB77AC"/>
    <w:rsid w:val="00FB7BAB"/>
    <w:rsid w:val="00FC11FA"/>
    <w:rsid w:val="00FC15BF"/>
    <w:rsid w:val="00FC18F5"/>
    <w:rsid w:val="00FC2861"/>
    <w:rsid w:val="00FC412D"/>
    <w:rsid w:val="00FC57C8"/>
    <w:rsid w:val="00FC5E28"/>
    <w:rsid w:val="00FC5E5D"/>
    <w:rsid w:val="00FC67BF"/>
    <w:rsid w:val="00FC70FD"/>
    <w:rsid w:val="00FD0ABF"/>
    <w:rsid w:val="00FD31D5"/>
    <w:rsid w:val="00FD3B46"/>
    <w:rsid w:val="00FD3CF3"/>
    <w:rsid w:val="00FD46B3"/>
    <w:rsid w:val="00FD59A6"/>
    <w:rsid w:val="00FD5F10"/>
    <w:rsid w:val="00FD61F2"/>
    <w:rsid w:val="00FD759A"/>
    <w:rsid w:val="00FD7BA0"/>
    <w:rsid w:val="00FE0551"/>
    <w:rsid w:val="00FE0A48"/>
    <w:rsid w:val="00FE10F1"/>
    <w:rsid w:val="00FE2D59"/>
    <w:rsid w:val="00FE32B0"/>
    <w:rsid w:val="00FE32E2"/>
    <w:rsid w:val="00FE3FE6"/>
    <w:rsid w:val="00FE596C"/>
    <w:rsid w:val="00FE6104"/>
    <w:rsid w:val="00FE6CC8"/>
    <w:rsid w:val="00FE7211"/>
    <w:rsid w:val="00FF1338"/>
    <w:rsid w:val="00FF133A"/>
    <w:rsid w:val="00FF13C5"/>
    <w:rsid w:val="00FF4FF7"/>
    <w:rsid w:val="00FF57A6"/>
    <w:rsid w:val="00FF5A19"/>
    <w:rsid w:val="00FF7C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07"/>
    <w:pPr>
      <w:spacing w:after="200" w:line="276" w:lineRule="auto"/>
    </w:pPr>
    <w:rPr>
      <w:sz w:val="22"/>
      <w:szCs w:val="22"/>
      <w:lang w:eastAsia="en-US"/>
    </w:rPr>
  </w:style>
  <w:style w:type="paragraph" w:styleId="1">
    <w:name w:val="heading 1"/>
    <w:basedOn w:val="a"/>
    <w:next w:val="a"/>
    <w:link w:val="10"/>
    <w:uiPriority w:val="9"/>
    <w:qFormat/>
    <w:rsid w:val="00224EE6"/>
    <w:pPr>
      <w:keepNext/>
      <w:spacing w:after="0" w:line="240" w:lineRule="auto"/>
      <w:jc w:val="center"/>
      <w:outlineLvl w:val="0"/>
    </w:pPr>
    <w:rPr>
      <w:rFonts w:ascii="Tahoma" w:eastAsia="Times New Roman" w:hAnsi="Tahoma"/>
      <w:b/>
      <w:sz w:val="28"/>
      <w:szCs w:val="20"/>
      <w:lang w:eastAsia="x-none"/>
    </w:rPr>
  </w:style>
  <w:style w:type="paragraph" w:styleId="20">
    <w:name w:val="heading 2"/>
    <w:basedOn w:val="a"/>
    <w:next w:val="a"/>
    <w:link w:val="21"/>
    <w:uiPriority w:val="9"/>
    <w:unhideWhenUsed/>
    <w:qFormat/>
    <w:rsid w:val="004A388E"/>
    <w:pPr>
      <w:keepNext/>
      <w:spacing w:before="240" w:after="60" w:line="240" w:lineRule="auto"/>
      <w:outlineLvl w:val="1"/>
    </w:pPr>
    <w:rPr>
      <w:rFonts w:ascii="Cambria" w:eastAsia="Times New Roman" w:hAnsi="Cambria"/>
      <w:b/>
      <w:bCs/>
      <w:i/>
      <w:iCs/>
      <w:sz w:val="28"/>
      <w:szCs w:val="28"/>
      <w:lang w:val="x-none" w:eastAsia="x-none"/>
    </w:rPr>
  </w:style>
  <w:style w:type="paragraph" w:styleId="30">
    <w:name w:val="heading 3"/>
    <w:basedOn w:val="a"/>
    <w:next w:val="a"/>
    <w:link w:val="31"/>
    <w:uiPriority w:val="9"/>
    <w:semiHidden/>
    <w:unhideWhenUsed/>
    <w:qFormat/>
    <w:rsid w:val="004A388E"/>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uiPriority w:val="9"/>
    <w:semiHidden/>
    <w:unhideWhenUsed/>
    <w:qFormat/>
    <w:rsid w:val="004A388E"/>
    <w:pPr>
      <w:keepNext/>
      <w:spacing w:before="240" w:after="60" w:line="240" w:lineRule="auto"/>
      <w:outlineLvl w:val="3"/>
    </w:pPr>
    <w:rPr>
      <w:rFonts w:eastAsia="Times New Roman"/>
      <w:b/>
      <w:bCs/>
      <w:sz w:val="28"/>
      <w:szCs w:val="28"/>
      <w:lang w:val="x-none" w:eastAsia="x-none"/>
    </w:rPr>
  </w:style>
  <w:style w:type="paragraph" w:styleId="5">
    <w:name w:val="heading 5"/>
    <w:basedOn w:val="a"/>
    <w:next w:val="a"/>
    <w:link w:val="50"/>
    <w:uiPriority w:val="9"/>
    <w:semiHidden/>
    <w:unhideWhenUsed/>
    <w:qFormat/>
    <w:rsid w:val="004A388E"/>
    <w:pPr>
      <w:spacing w:before="240" w:after="60" w:line="240" w:lineRule="auto"/>
      <w:outlineLvl w:val="4"/>
    </w:pPr>
    <w:rPr>
      <w:rFonts w:eastAsia="Times New Roman"/>
      <w:b/>
      <w:bCs/>
      <w:i/>
      <w:iCs/>
      <w:sz w:val="26"/>
      <w:szCs w:val="26"/>
      <w:lang w:val="x-none" w:eastAsia="x-none"/>
    </w:rPr>
  </w:style>
  <w:style w:type="paragraph" w:styleId="6">
    <w:name w:val="heading 6"/>
    <w:basedOn w:val="a"/>
    <w:next w:val="a"/>
    <w:link w:val="60"/>
    <w:uiPriority w:val="9"/>
    <w:semiHidden/>
    <w:unhideWhenUsed/>
    <w:qFormat/>
    <w:rsid w:val="004A388E"/>
    <w:pPr>
      <w:spacing w:before="240" w:after="60" w:line="240" w:lineRule="auto"/>
      <w:outlineLvl w:val="5"/>
    </w:pPr>
    <w:rPr>
      <w:rFonts w:eastAsia="Times New Roman"/>
      <w:b/>
      <w:bCs/>
      <w:sz w:val="20"/>
      <w:szCs w:val="20"/>
      <w:lang w:val="x-none" w:eastAsia="x-none"/>
    </w:rPr>
  </w:style>
  <w:style w:type="paragraph" w:styleId="7">
    <w:name w:val="heading 7"/>
    <w:basedOn w:val="a"/>
    <w:next w:val="a"/>
    <w:link w:val="70"/>
    <w:uiPriority w:val="9"/>
    <w:semiHidden/>
    <w:unhideWhenUsed/>
    <w:qFormat/>
    <w:rsid w:val="004A388E"/>
    <w:pPr>
      <w:spacing w:before="240" w:after="60" w:line="240" w:lineRule="auto"/>
      <w:outlineLvl w:val="6"/>
    </w:pPr>
    <w:rPr>
      <w:rFonts w:eastAsia="Times New Roman"/>
      <w:sz w:val="24"/>
      <w:szCs w:val="24"/>
      <w:lang w:val="x-none" w:eastAsia="x-none"/>
    </w:rPr>
  </w:style>
  <w:style w:type="paragraph" w:styleId="8">
    <w:name w:val="heading 8"/>
    <w:basedOn w:val="a"/>
    <w:next w:val="a"/>
    <w:link w:val="80"/>
    <w:uiPriority w:val="9"/>
    <w:semiHidden/>
    <w:unhideWhenUsed/>
    <w:qFormat/>
    <w:rsid w:val="004A388E"/>
    <w:pPr>
      <w:spacing w:before="240" w:after="60" w:line="240" w:lineRule="auto"/>
      <w:outlineLvl w:val="7"/>
    </w:pPr>
    <w:rPr>
      <w:rFonts w:eastAsia="Times New Roman"/>
      <w:i/>
      <w:iCs/>
      <w:sz w:val="24"/>
      <w:szCs w:val="24"/>
      <w:lang w:val="x-none" w:eastAsia="x-none"/>
    </w:rPr>
  </w:style>
  <w:style w:type="paragraph" w:styleId="9">
    <w:name w:val="heading 9"/>
    <w:basedOn w:val="a"/>
    <w:next w:val="a"/>
    <w:link w:val="90"/>
    <w:uiPriority w:val="9"/>
    <w:semiHidden/>
    <w:unhideWhenUsed/>
    <w:qFormat/>
    <w:rsid w:val="004A388E"/>
    <w:pPr>
      <w:spacing w:before="240" w:after="60" w:line="240" w:lineRule="auto"/>
      <w:outlineLvl w:val="8"/>
    </w:pPr>
    <w:rPr>
      <w:rFonts w:ascii="Cambria" w:eastAsia="Times New Roman"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7474"/>
    <w:pPr>
      <w:tabs>
        <w:tab w:val="center" w:pos="4320"/>
        <w:tab w:val="right" w:pos="8640"/>
      </w:tabs>
      <w:spacing w:after="0" w:line="240" w:lineRule="auto"/>
      <w:ind w:firstLine="709"/>
      <w:jc w:val="both"/>
    </w:pPr>
    <w:rPr>
      <w:rFonts w:ascii="Arial" w:eastAsia="Times New Roman" w:hAnsi="Arial"/>
      <w:sz w:val="28"/>
      <w:szCs w:val="28"/>
      <w:lang w:eastAsia="bg-BG"/>
    </w:rPr>
  </w:style>
  <w:style w:type="character" w:customStyle="1" w:styleId="a4">
    <w:name w:val="Горен колонтитул Знак"/>
    <w:link w:val="a3"/>
    <w:rsid w:val="00B07474"/>
    <w:rPr>
      <w:rFonts w:ascii="Arial" w:eastAsia="Times New Roman" w:hAnsi="Arial" w:cs="Times New Roman"/>
      <w:sz w:val="28"/>
      <w:szCs w:val="28"/>
      <w:lang w:val="bg-BG" w:eastAsia="bg-BG"/>
    </w:rPr>
  </w:style>
  <w:style w:type="paragraph" w:customStyle="1" w:styleId="Style">
    <w:name w:val="Style"/>
    <w:rsid w:val="00903425"/>
    <w:pPr>
      <w:widowControl w:val="0"/>
      <w:autoSpaceDE w:val="0"/>
      <w:autoSpaceDN w:val="0"/>
      <w:adjustRightInd w:val="0"/>
    </w:pPr>
    <w:rPr>
      <w:rFonts w:ascii="Times New Roman" w:eastAsia="Times New Roman" w:hAnsi="Times New Roman"/>
      <w:sz w:val="24"/>
      <w:szCs w:val="24"/>
    </w:rPr>
  </w:style>
  <w:style w:type="character" w:customStyle="1" w:styleId="22">
    <w:name w:val="Основен текст (2)_"/>
    <w:link w:val="210"/>
    <w:rsid w:val="00903425"/>
    <w:rPr>
      <w:rFonts w:ascii="Arial" w:eastAsia="Courier New" w:hAnsi="Arial" w:cs="Arial"/>
      <w:sz w:val="26"/>
      <w:szCs w:val="26"/>
      <w:shd w:val="clear" w:color="auto" w:fill="FFFFFF"/>
      <w:lang w:val="bg-BG" w:eastAsia="bg-BG"/>
    </w:rPr>
  </w:style>
  <w:style w:type="paragraph" w:customStyle="1" w:styleId="210">
    <w:name w:val="Основен текст (2)1"/>
    <w:basedOn w:val="a"/>
    <w:link w:val="22"/>
    <w:rsid w:val="00903425"/>
    <w:pPr>
      <w:widowControl w:val="0"/>
      <w:shd w:val="clear" w:color="auto" w:fill="FFFFFF"/>
      <w:spacing w:after="0" w:line="310" w:lineRule="exact"/>
    </w:pPr>
    <w:rPr>
      <w:rFonts w:ascii="Arial" w:eastAsia="Courier New" w:hAnsi="Arial"/>
      <w:sz w:val="26"/>
      <w:szCs w:val="26"/>
      <w:lang w:eastAsia="bg-BG"/>
    </w:rPr>
  </w:style>
  <w:style w:type="paragraph" w:styleId="a5">
    <w:name w:val="footer"/>
    <w:basedOn w:val="a"/>
    <w:link w:val="a6"/>
    <w:uiPriority w:val="99"/>
    <w:unhideWhenUsed/>
    <w:rsid w:val="00462246"/>
    <w:pPr>
      <w:tabs>
        <w:tab w:val="center" w:pos="4703"/>
        <w:tab w:val="right" w:pos="9406"/>
      </w:tabs>
      <w:spacing w:after="0" w:line="240" w:lineRule="auto"/>
    </w:pPr>
    <w:rPr>
      <w:sz w:val="20"/>
      <w:szCs w:val="20"/>
      <w:lang w:eastAsia="x-none"/>
    </w:rPr>
  </w:style>
  <w:style w:type="character" w:customStyle="1" w:styleId="a6">
    <w:name w:val="Долен колонтитул Знак"/>
    <w:link w:val="a5"/>
    <w:uiPriority w:val="99"/>
    <w:rsid w:val="00462246"/>
    <w:rPr>
      <w:lang w:val="bg-BG"/>
    </w:rPr>
  </w:style>
  <w:style w:type="paragraph" w:styleId="a7">
    <w:name w:val="Balloon Text"/>
    <w:basedOn w:val="a"/>
    <w:link w:val="a8"/>
    <w:unhideWhenUsed/>
    <w:rsid w:val="00462246"/>
    <w:pPr>
      <w:spacing w:after="0" w:line="240" w:lineRule="auto"/>
    </w:pPr>
    <w:rPr>
      <w:rFonts w:ascii="Tahoma" w:hAnsi="Tahoma"/>
      <w:sz w:val="16"/>
      <w:szCs w:val="16"/>
      <w:lang w:eastAsia="x-none"/>
    </w:rPr>
  </w:style>
  <w:style w:type="character" w:customStyle="1" w:styleId="a8">
    <w:name w:val="Изнесен текст Знак"/>
    <w:link w:val="a7"/>
    <w:rsid w:val="00462246"/>
    <w:rPr>
      <w:rFonts w:ascii="Tahoma" w:hAnsi="Tahoma" w:cs="Tahoma"/>
      <w:sz w:val="16"/>
      <w:szCs w:val="16"/>
      <w:lang w:val="bg-BG"/>
    </w:rPr>
  </w:style>
  <w:style w:type="paragraph" w:styleId="a9">
    <w:name w:val="List Paragraph"/>
    <w:basedOn w:val="a"/>
    <w:uiPriority w:val="34"/>
    <w:qFormat/>
    <w:rsid w:val="00AE1AF4"/>
    <w:pPr>
      <w:ind w:left="720"/>
      <w:contextualSpacing/>
    </w:pPr>
  </w:style>
  <w:style w:type="character" w:customStyle="1" w:styleId="32">
    <w:name w:val="Основен текст (3)_"/>
    <w:link w:val="33"/>
    <w:locked/>
    <w:rsid w:val="00AB628E"/>
    <w:rPr>
      <w:rFonts w:ascii="Arial" w:eastAsia="Arial" w:hAnsi="Arial" w:cs="Arial"/>
      <w:shd w:val="clear" w:color="auto" w:fill="FFFFFF"/>
    </w:rPr>
  </w:style>
  <w:style w:type="paragraph" w:customStyle="1" w:styleId="33">
    <w:name w:val="Основен текст (3)"/>
    <w:basedOn w:val="a"/>
    <w:link w:val="32"/>
    <w:rsid w:val="00AB628E"/>
    <w:pPr>
      <w:widowControl w:val="0"/>
      <w:shd w:val="clear" w:color="auto" w:fill="FFFFFF"/>
      <w:spacing w:after="0" w:line="379" w:lineRule="exact"/>
      <w:jc w:val="both"/>
    </w:pPr>
    <w:rPr>
      <w:rFonts w:ascii="Arial" w:eastAsia="Arial" w:hAnsi="Arial"/>
      <w:sz w:val="20"/>
      <w:szCs w:val="20"/>
      <w:lang w:val="x-none" w:eastAsia="x-none"/>
    </w:rPr>
  </w:style>
  <w:style w:type="paragraph" w:customStyle="1" w:styleId="23">
    <w:name w:val="Основен текст (2)"/>
    <w:basedOn w:val="a"/>
    <w:rsid w:val="00AB628E"/>
    <w:pPr>
      <w:widowControl w:val="0"/>
      <w:shd w:val="clear" w:color="auto" w:fill="FFFFFF"/>
      <w:spacing w:before="1140" w:after="0" w:line="379" w:lineRule="exact"/>
      <w:jc w:val="both"/>
    </w:pPr>
    <w:rPr>
      <w:rFonts w:ascii="Arial" w:eastAsia="Arial" w:hAnsi="Arial" w:cs="Arial"/>
      <w:lang w:val="en-US"/>
    </w:rPr>
  </w:style>
  <w:style w:type="paragraph" w:styleId="24">
    <w:name w:val="Body Text Indent 2"/>
    <w:basedOn w:val="a"/>
    <w:link w:val="25"/>
    <w:semiHidden/>
    <w:unhideWhenUsed/>
    <w:rsid w:val="003F67EF"/>
    <w:pPr>
      <w:spacing w:after="0" w:line="360" w:lineRule="auto"/>
      <w:ind w:firstLine="540"/>
      <w:jc w:val="both"/>
    </w:pPr>
    <w:rPr>
      <w:rFonts w:ascii="Arial" w:eastAsia="Times New Roman" w:hAnsi="Arial"/>
      <w:sz w:val="28"/>
      <w:szCs w:val="28"/>
      <w:lang w:eastAsia="bg-BG"/>
    </w:rPr>
  </w:style>
  <w:style w:type="character" w:customStyle="1" w:styleId="25">
    <w:name w:val="Основен текст с отстъп 2 Знак"/>
    <w:link w:val="24"/>
    <w:semiHidden/>
    <w:rsid w:val="003F67EF"/>
    <w:rPr>
      <w:rFonts w:ascii="Arial" w:eastAsia="Times New Roman" w:hAnsi="Arial" w:cs="Arial"/>
      <w:sz w:val="28"/>
      <w:szCs w:val="28"/>
      <w:lang w:val="bg-BG" w:eastAsia="bg-BG"/>
    </w:rPr>
  </w:style>
  <w:style w:type="character" w:styleId="aa">
    <w:name w:val="Hyperlink"/>
    <w:unhideWhenUsed/>
    <w:rsid w:val="006978B6"/>
    <w:rPr>
      <w:color w:val="0000FF"/>
      <w:u w:val="single"/>
    </w:rPr>
  </w:style>
  <w:style w:type="paragraph" w:styleId="ab">
    <w:name w:val="Body Text"/>
    <w:basedOn w:val="a"/>
    <w:link w:val="ac"/>
    <w:unhideWhenUsed/>
    <w:rsid w:val="006978B6"/>
    <w:pPr>
      <w:spacing w:after="120" w:line="240" w:lineRule="auto"/>
      <w:ind w:firstLine="709"/>
      <w:jc w:val="both"/>
    </w:pPr>
    <w:rPr>
      <w:rFonts w:ascii="Arial" w:eastAsia="Times New Roman" w:hAnsi="Arial"/>
      <w:sz w:val="28"/>
      <w:szCs w:val="28"/>
      <w:lang w:eastAsia="bg-BG"/>
    </w:rPr>
  </w:style>
  <w:style w:type="character" w:customStyle="1" w:styleId="ac">
    <w:name w:val="Основен текст Знак"/>
    <w:link w:val="ab"/>
    <w:rsid w:val="006978B6"/>
    <w:rPr>
      <w:rFonts w:ascii="Arial" w:eastAsia="Times New Roman" w:hAnsi="Arial" w:cs="Times New Roman"/>
      <w:sz w:val="28"/>
      <w:szCs w:val="28"/>
      <w:lang w:val="bg-BG" w:eastAsia="bg-BG"/>
    </w:rPr>
  </w:style>
  <w:style w:type="character" w:customStyle="1" w:styleId="10">
    <w:name w:val="Заглавие 1 Знак"/>
    <w:link w:val="1"/>
    <w:uiPriority w:val="9"/>
    <w:rsid w:val="00224EE6"/>
    <w:rPr>
      <w:rFonts w:ascii="Tahoma" w:eastAsia="Times New Roman" w:hAnsi="Tahoma" w:cs="Times New Roman"/>
      <w:b/>
      <w:sz w:val="28"/>
      <w:szCs w:val="20"/>
      <w:lang w:val="bg-BG"/>
    </w:rPr>
  </w:style>
  <w:style w:type="paragraph" w:styleId="ad">
    <w:name w:val="Body Text Indent"/>
    <w:basedOn w:val="a"/>
    <w:link w:val="ae"/>
    <w:uiPriority w:val="99"/>
    <w:unhideWhenUsed/>
    <w:rsid w:val="0095580C"/>
    <w:pPr>
      <w:spacing w:after="120"/>
      <w:ind w:left="283"/>
    </w:pPr>
    <w:rPr>
      <w:sz w:val="20"/>
      <w:szCs w:val="20"/>
      <w:lang w:eastAsia="x-none"/>
    </w:rPr>
  </w:style>
  <w:style w:type="character" w:customStyle="1" w:styleId="ae">
    <w:name w:val="Основен текст с отстъп Знак"/>
    <w:link w:val="ad"/>
    <w:uiPriority w:val="99"/>
    <w:rsid w:val="0095580C"/>
    <w:rPr>
      <w:lang w:val="bg-BG"/>
    </w:rPr>
  </w:style>
  <w:style w:type="table" w:customStyle="1" w:styleId="11">
    <w:name w:val="Мрежа в таблица1"/>
    <w:basedOn w:val="a1"/>
    <w:next w:val="af"/>
    <w:rsid w:val="0083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83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лавие 2 Знак"/>
    <w:link w:val="20"/>
    <w:uiPriority w:val="9"/>
    <w:rsid w:val="004A388E"/>
    <w:rPr>
      <w:rFonts w:ascii="Cambria" w:eastAsia="Times New Roman" w:hAnsi="Cambria" w:cs="Times New Roman"/>
      <w:b/>
      <w:bCs/>
      <w:i/>
      <w:iCs/>
      <w:sz w:val="28"/>
      <w:szCs w:val="28"/>
    </w:rPr>
  </w:style>
  <w:style w:type="character" w:customStyle="1" w:styleId="31">
    <w:name w:val="Заглавие 3 Знак"/>
    <w:link w:val="30"/>
    <w:uiPriority w:val="9"/>
    <w:semiHidden/>
    <w:rsid w:val="004A388E"/>
    <w:rPr>
      <w:rFonts w:ascii="Cambria" w:eastAsia="Times New Roman" w:hAnsi="Cambria" w:cs="Times New Roman"/>
      <w:b/>
      <w:bCs/>
      <w:sz w:val="26"/>
      <w:szCs w:val="26"/>
    </w:rPr>
  </w:style>
  <w:style w:type="character" w:customStyle="1" w:styleId="40">
    <w:name w:val="Заглавие 4 Знак"/>
    <w:link w:val="4"/>
    <w:uiPriority w:val="9"/>
    <w:semiHidden/>
    <w:rsid w:val="004A388E"/>
    <w:rPr>
      <w:rFonts w:eastAsia="Times New Roman" w:cs="Times New Roman"/>
      <w:b/>
      <w:bCs/>
      <w:sz w:val="28"/>
      <w:szCs w:val="28"/>
    </w:rPr>
  </w:style>
  <w:style w:type="character" w:customStyle="1" w:styleId="50">
    <w:name w:val="Заглавие 5 Знак"/>
    <w:link w:val="5"/>
    <w:uiPriority w:val="9"/>
    <w:semiHidden/>
    <w:rsid w:val="004A388E"/>
    <w:rPr>
      <w:rFonts w:eastAsia="Times New Roman" w:cs="Times New Roman"/>
      <w:b/>
      <w:bCs/>
      <w:i/>
      <w:iCs/>
      <w:sz w:val="26"/>
      <w:szCs w:val="26"/>
    </w:rPr>
  </w:style>
  <w:style w:type="character" w:customStyle="1" w:styleId="60">
    <w:name w:val="Заглавие 6 Знак"/>
    <w:link w:val="6"/>
    <w:uiPriority w:val="9"/>
    <w:semiHidden/>
    <w:rsid w:val="004A388E"/>
    <w:rPr>
      <w:rFonts w:eastAsia="Times New Roman" w:cs="Times New Roman"/>
      <w:b/>
      <w:bCs/>
    </w:rPr>
  </w:style>
  <w:style w:type="character" w:customStyle="1" w:styleId="70">
    <w:name w:val="Заглавие 7 Знак"/>
    <w:link w:val="7"/>
    <w:uiPriority w:val="9"/>
    <w:semiHidden/>
    <w:rsid w:val="004A388E"/>
    <w:rPr>
      <w:rFonts w:eastAsia="Times New Roman" w:cs="Times New Roman"/>
      <w:sz w:val="24"/>
      <w:szCs w:val="24"/>
    </w:rPr>
  </w:style>
  <w:style w:type="character" w:customStyle="1" w:styleId="80">
    <w:name w:val="Заглавие 8 Знак"/>
    <w:link w:val="8"/>
    <w:uiPriority w:val="9"/>
    <w:semiHidden/>
    <w:rsid w:val="004A388E"/>
    <w:rPr>
      <w:rFonts w:eastAsia="Times New Roman" w:cs="Times New Roman"/>
      <w:i/>
      <w:iCs/>
      <w:sz w:val="24"/>
      <w:szCs w:val="24"/>
    </w:rPr>
  </w:style>
  <w:style w:type="character" w:customStyle="1" w:styleId="90">
    <w:name w:val="Заглавие 9 Знак"/>
    <w:link w:val="9"/>
    <w:uiPriority w:val="9"/>
    <w:semiHidden/>
    <w:rsid w:val="004A388E"/>
    <w:rPr>
      <w:rFonts w:ascii="Cambria" w:eastAsia="Times New Roman" w:hAnsi="Cambria" w:cs="Times New Roman"/>
    </w:rPr>
  </w:style>
  <w:style w:type="numbering" w:customStyle="1" w:styleId="12">
    <w:name w:val="Без списък1"/>
    <w:next w:val="a2"/>
    <w:uiPriority w:val="99"/>
    <w:semiHidden/>
    <w:unhideWhenUsed/>
    <w:rsid w:val="004A388E"/>
  </w:style>
  <w:style w:type="table" w:customStyle="1" w:styleId="26">
    <w:name w:val="Мрежа в таблица2"/>
    <w:basedOn w:val="a1"/>
    <w:next w:val="af"/>
    <w:rsid w:val="004A38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
    <w:rsid w:val="004A388E"/>
    <w:pPr>
      <w:widowControl w:val="0"/>
      <w:autoSpaceDE w:val="0"/>
      <w:autoSpaceDN w:val="0"/>
      <w:adjustRightInd w:val="0"/>
    </w:pPr>
    <w:rPr>
      <w:rFonts w:ascii="Times New Roman" w:eastAsia="Times New Roman" w:hAnsi="Times New Roman"/>
      <w:sz w:val="24"/>
      <w:szCs w:val="24"/>
    </w:rPr>
  </w:style>
  <w:style w:type="paragraph" w:styleId="af1">
    <w:name w:val="Title"/>
    <w:basedOn w:val="a"/>
    <w:next w:val="a"/>
    <w:link w:val="af2"/>
    <w:uiPriority w:val="10"/>
    <w:qFormat/>
    <w:rsid w:val="004A388E"/>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af2">
    <w:name w:val="Заглавие Знак"/>
    <w:link w:val="af1"/>
    <w:uiPriority w:val="10"/>
    <w:rsid w:val="004A388E"/>
    <w:rPr>
      <w:rFonts w:ascii="Cambria" w:eastAsia="Times New Roman" w:hAnsi="Cambria" w:cs="Times New Roman"/>
      <w:b/>
      <w:bCs/>
      <w:kern w:val="28"/>
      <w:sz w:val="32"/>
      <w:szCs w:val="32"/>
    </w:rPr>
  </w:style>
  <w:style w:type="paragraph" w:styleId="af3">
    <w:name w:val="Subtitle"/>
    <w:basedOn w:val="a"/>
    <w:next w:val="a"/>
    <w:link w:val="af4"/>
    <w:uiPriority w:val="11"/>
    <w:qFormat/>
    <w:rsid w:val="004A388E"/>
    <w:pPr>
      <w:spacing w:after="60" w:line="240" w:lineRule="auto"/>
      <w:jc w:val="center"/>
      <w:outlineLvl w:val="1"/>
    </w:pPr>
    <w:rPr>
      <w:rFonts w:ascii="Cambria" w:eastAsia="Times New Roman" w:hAnsi="Cambria"/>
      <w:sz w:val="24"/>
      <w:szCs w:val="24"/>
      <w:lang w:val="x-none" w:eastAsia="x-none"/>
    </w:rPr>
  </w:style>
  <w:style w:type="character" w:customStyle="1" w:styleId="af4">
    <w:name w:val="Подзаглавие Знак"/>
    <w:link w:val="af3"/>
    <w:uiPriority w:val="11"/>
    <w:rsid w:val="004A388E"/>
    <w:rPr>
      <w:rFonts w:ascii="Cambria" w:eastAsia="Times New Roman" w:hAnsi="Cambria" w:cs="Times New Roman"/>
      <w:sz w:val="24"/>
      <w:szCs w:val="24"/>
    </w:rPr>
  </w:style>
  <w:style w:type="character" w:styleId="af5">
    <w:name w:val="Strong"/>
    <w:uiPriority w:val="22"/>
    <w:qFormat/>
    <w:rsid w:val="004A388E"/>
    <w:rPr>
      <w:b/>
      <w:bCs/>
    </w:rPr>
  </w:style>
  <w:style w:type="character" w:styleId="af6">
    <w:name w:val="Emphasis"/>
    <w:uiPriority w:val="20"/>
    <w:qFormat/>
    <w:rsid w:val="004A388E"/>
    <w:rPr>
      <w:rFonts w:ascii="Calibri" w:hAnsi="Calibri"/>
      <w:b/>
      <w:i/>
      <w:iCs/>
    </w:rPr>
  </w:style>
  <w:style w:type="paragraph" w:styleId="af7">
    <w:name w:val="No Spacing"/>
    <w:basedOn w:val="a"/>
    <w:uiPriority w:val="1"/>
    <w:qFormat/>
    <w:rsid w:val="004A388E"/>
    <w:pPr>
      <w:spacing w:after="0" w:line="240" w:lineRule="auto"/>
    </w:pPr>
    <w:rPr>
      <w:rFonts w:eastAsia="Times New Roman"/>
      <w:sz w:val="24"/>
      <w:szCs w:val="32"/>
      <w:lang w:val="en-US"/>
    </w:rPr>
  </w:style>
  <w:style w:type="paragraph" w:styleId="af8">
    <w:name w:val="Quote"/>
    <w:basedOn w:val="a"/>
    <w:next w:val="a"/>
    <w:link w:val="af9"/>
    <w:uiPriority w:val="29"/>
    <w:qFormat/>
    <w:rsid w:val="004A388E"/>
    <w:pPr>
      <w:spacing w:after="0" w:line="240" w:lineRule="auto"/>
    </w:pPr>
    <w:rPr>
      <w:rFonts w:eastAsia="Times New Roman"/>
      <w:i/>
      <w:sz w:val="24"/>
      <w:szCs w:val="24"/>
      <w:lang w:val="x-none" w:eastAsia="x-none"/>
    </w:rPr>
  </w:style>
  <w:style w:type="character" w:customStyle="1" w:styleId="af9">
    <w:name w:val="Цитат Знак"/>
    <w:link w:val="af8"/>
    <w:uiPriority w:val="29"/>
    <w:rsid w:val="004A388E"/>
    <w:rPr>
      <w:rFonts w:eastAsia="Times New Roman" w:cs="Times New Roman"/>
      <w:i/>
      <w:sz w:val="24"/>
      <w:szCs w:val="24"/>
    </w:rPr>
  </w:style>
  <w:style w:type="paragraph" w:styleId="afa">
    <w:name w:val="Intense Quote"/>
    <w:basedOn w:val="a"/>
    <w:next w:val="a"/>
    <w:link w:val="afb"/>
    <w:uiPriority w:val="30"/>
    <w:qFormat/>
    <w:rsid w:val="004A388E"/>
    <w:pPr>
      <w:spacing w:after="0" w:line="240" w:lineRule="auto"/>
      <w:ind w:left="720" w:right="720"/>
    </w:pPr>
    <w:rPr>
      <w:rFonts w:eastAsia="Times New Roman"/>
      <w:b/>
      <w:i/>
      <w:sz w:val="24"/>
      <w:szCs w:val="20"/>
      <w:lang w:val="x-none" w:eastAsia="x-none"/>
    </w:rPr>
  </w:style>
  <w:style w:type="character" w:customStyle="1" w:styleId="afb">
    <w:name w:val="Интензивно цитиране Знак"/>
    <w:link w:val="afa"/>
    <w:uiPriority w:val="30"/>
    <w:rsid w:val="004A388E"/>
    <w:rPr>
      <w:rFonts w:eastAsia="Times New Roman" w:cs="Times New Roman"/>
      <w:b/>
      <w:i/>
      <w:sz w:val="24"/>
    </w:rPr>
  </w:style>
  <w:style w:type="character" w:styleId="afc">
    <w:name w:val="Subtle Emphasis"/>
    <w:uiPriority w:val="19"/>
    <w:qFormat/>
    <w:rsid w:val="004A388E"/>
    <w:rPr>
      <w:i/>
      <w:color w:val="5A5A5A"/>
    </w:rPr>
  </w:style>
  <w:style w:type="character" w:styleId="afd">
    <w:name w:val="Intense Emphasis"/>
    <w:uiPriority w:val="21"/>
    <w:qFormat/>
    <w:rsid w:val="004A388E"/>
    <w:rPr>
      <w:b/>
      <w:i/>
      <w:sz w:val="24"/>
      <w:szCs w:val="24"/>
      <w:u w:val="single"/>
    </w:rPr>
  </w:style>
  <w:style w:type="character" w:styleId="afe">
    <w:name w:val="Subtle Reference"/>
    <w:uiPriority w:val="31"/>
    <w:qFormat/>
    <w:rsid w:val="004A388E"/>
    <w:rPr>
      <w:sz w:val="24"/>
      <w:szCs w:val="24"/>
      <w:u w:val="single"/>
    </w:rPr>
  </w:style>
  <w:style w:type="character" w:styleId="aff">
    <w:name w:val="Intense Reference"/>
    <w:uiPriority w:val="32"/>
    <w:qFormat/>
    <w:rsid w:val="004A388E"/>
    <w:rPr>
      <w:b/>
      <w:sz w:val="24"/>
      <w:u w:val="single"/>
    </w:rPr>
  </w:style>
  <w:style w:type="character" w:styleId="aff0">
    <w:name w:val="Book Title"/>
    <w:uiPriority w:val="33"/>
    <w:qFormat/>
    <w:rsid w:val="004A388E"/>
    <w:rPr>
      <w:rFonts w:ascii="Cambria" w:eastAsia="Times New Roman" w:hAnsi="Cambria"/>
      <w:b/>
      <w:i/>
      <w:sz w:val="24"/>
      <w:szCs w:val="24"/>
    </w:rPr>
  </w:style>
  <w:style w:type="paragraph" w:styleId="aff1">
    <w:name w:val="TOC Heading"/>
    <w:basedOn w:val="1"/>
    <w:next w:val="a"/>
    <w:uiPriority w:val="39"/>
    <w:semiHidden/>
    <w:unhideWhenUsed/>
    <w:qFormat/>
    <w:rsid w:val="004A388E"/>
    <w:pPr>
      <w:spacing w:before="240" w:after="60"/>
      <w:jc w:val="left"/>
      <w:outlineLvl w:val="9"/>
    </w:pPr>
    <w:rPr>
      <w:rFonts w:ascii="Cambria" w:hAnsi="Cambria"/>
      <w:bCs/>
      <w:kern w:val="32"/>
      <w:sz w:val="32"/>
      <w:szCs w:val="32"/>
      <w:lang w:val="en-US"/>
    </w:rPr>
  </w:style>
  <w:style w:type="table" w:customStyle="1" w:styleId="34">
    <w:name w:val="Мрежа в таблица3"/>
    <w:basedOn w:val="a1"/>
    <w:next w:val="af"/>
    <w:rsid w:val="0062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f"/>
    <w:rsid w:val="0088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нак Знак5"/>
    <w:basedOn w:val="a"/>
    <w:rsid w:val="00486950"/>
    <w:pPr>
      <w:tabs>
        <w:tab w:val="left" w:pos="709"/>
      </w:tabs>
      <w:spacing w:after="0" w:line="240" w:lineRule="auto"/>
    </w:pPr>
    <w:rPr>
      <w:rFonts w:ascii="Tahoma" w:eastAsia="Times New Roman" w:hAnsi="Tahoma" w:cs="Tahoma"/>
      <w:sz w:val="24"/>
      <w:szCs w:val="24"/>
      <w:lang w:val="pl-PL" w:eastAsia="pl-PL"/>
    </w:rPr>
  </w:style>
  <w:style w:type="paragraph" w:styleId="aff2">
    <w:name w:val="caption"/>
    <w:basedOn w:val="a"/>
    <w:next w:val="a"/>
    <w:uiPriority w:val="35"/>
    <w:unhideWhenUsed/>
    <w:qFormat/>
    <w:rsid w:val="005D42AD"/>
    <w:pPr>
      <w:spacing w:line="240" w:lineRule="auto"/>
    </w:pPr>
    <w:rPr>
      <w:b/>
      <w:bCs/>
      <w:color w:val="4F81BD"/>
      <w:sz w:val="18"/>
      <w:szCs w:val="18"/>
    </w:rPr>
  </w:style>
  <w:style w:type="character" w:customStyle="1" w:styleId="aff3">
    <w:name w:val="Заглавие на изображение_"/>
    <w:link w:val="aff4"/>
    <w:rsid w:val="00627567"/>
    <w:rPr>
      <w:rFonts w:eastAsia="Times New Roman"/>
      <w:b/>
      <w:bCs/>
      <w:sz w:val="26"/>
      <w:szCs w:val="26"/>
      <w:shd w:val="clear" w:color="auto" w:fill="FFFFFF"/>
    </w:rPr>
  </w:style>
  <w:style w:type="paragraph" w:customStyle="1" w:styleId="aff4">
    <w:name w:val="Заглавие на изображение"/>
    <w:basedOn w:val="a"/>
    <w:link w:val="aff3"/>
    <w:rsid w:val="00627567"/>
    <w:pPr>
      <w:widowControl w:val="0"/>
      <w:shd w:val="clear" w:color="auto" w:fill="FFFFFF"/>
      <w:spacing w:after="0" w:line="240" w:lineRule="auto"/>
      <w:jc w:val="both"/>
    </w:pPr>
    <w:rPr>
      <w:rFonts w:eastAsia="Times New Roman"/>
      <w:b/>
      <w:bCs/>
      <w:sz w:val="26"/>
      <w:szCs w:val="26"/>
      <w:lang w:val="x-none" w:eastAsia="x-none"/>
    </w:rPr>
  </w:style>
  <w:style w:type="paragraph" w:styleId="27">
    <w:name w:val="List 2"/>
    <w:basedOn w:val="a"/>
    <w:uiPriority w:val="99"/>
    <w:unhideWhenUsed/>
    <w:rsid w:val="008D014B"/>
    <w:pPr>
      <w:ind w:left="566" w:hanging="283"/>
      <w:contextualSpacing/>
    </w:pPr>
    <w:rPr>
      <w:rFonts w:asciiTheme="minorHAnsi" w:eastAsiaTheme="minorHAnsi" w:hAnsiTheme="minorHAnsi" w:cstheme="minorBidi"/>
    </w:rPr>
  </w:style>
  <w:style w:type="paragraph" w:styleId="35">
    <w:name w:val="List 3"/>
    <w:basedOn w:val="a"/>
    <w:uiPriority w:val="99"/>
    <w:unhideWhenUsed/>
    <w:rsid w:val="008D014B"/>
    <w:pPr>
      <w:ind w:left="849" w:hanging="283"/>
      <w:contextualSpacing/>
    </w:pPr>
    <w:rPr>
      <w:rFonts w:asciiTheme="minorHAnsi" w:eastAsiaTheme="minorHAnsi" w:hAnsiTheme="minorHAnsi" w:cstheme="minorBidi"/>
    </w:rPr>
  </w:style>
  <w:style w:type="paragraph" w:styleId="2">
    <w:name w:val="List Bullet 2"/>
    <w:basedOn w:val="a"/>
    <w:uiPriority w:val="99"/>
    <w:unhideWhenUsed/>
    <w:rsid w:val="008D014B"/>
    <w:pPr>
      <w:numPr>
        <w:numId w:val="9"/>
      </w:numPr>
      <w:contextualSpacing/>
    </w:pPr>
    <w:rPr>
      <w:rFonts w:asciiTheme="minorHAnsi" w:eastAsiaTheme="minorHAnsi" w:hAnsiTheme="minorHAnsi" w:cstheme="minorBidi"/>
    </w:rPr>
  </w:style>
  <w:style w:type="paragraph" w:styleId="3">
    <w:name w:val="List Bullet 3"/>
    <w:basedOn w:val="a"/>
    <w:uiPriority w:val="99"/>
    <w:unhideWhenUsed/>
    <w:rsid w:val="008D014B"/>
    <w:pPr>
      <w:numPr>
        <w:numId w:val="10"/>
      </w:numPr>
      <w:contextualSpacing/>
    </w:pPr>
    <w:rPr>
      <w:rFonts w:asciiTheme="minorHAnsi" w:eastAsiaTheme="minorHAnsi" w:hAnsiTheme="minorHAnsi" w:cstheme="minorBidi"/>
    </w:rPr>
  </w:style>
  <w:style w:type="paragraph" w:styleId="aff5">
    <w:name w:val="Body Text First Indent"/>
    <w:basedOn w:val="ab"/>
    <w:link w:val="aff6"/>
    <w:uiPriority w:val="99"/>
    <w:unhideWhenUsed/>
    <w:rsid w:val="008D014B"/>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aff6">
    <w:name w:val="Основен текст отстъп първи ред Знак"/>
    <w:basedOn w:val="ac"/>
    <w:link w:val="aff5"/>
    <w:uiPriority w:val="99"/>
    <w:rsid w:val="008D014B"/>
    <w:rPr>
      <w:rFonts w:asciiTheme="minorHAnsi" w:eastAsiaTheme="minorHAnsi" w:hAnsiTheme="minorHAnsi" w:cstheme="minorBidi"/>
      <w:sz w:val="22"/>
      <w:szCs w:val="22"/>
      <w:lang w:val="bg-BG" w:eastAsia="en-US"/>
    </w:rPr>
  </w:style>
  <w:style w:type="paragraph" w:styleId="28">
    <w:name w:val="Body Text First Indent 2"/>
    <w:basedOn w:val="ad"/>
    <w:link w:val="29"/>
    <w:uiPriority w:val="99"/>
    <w:unhideWhenUsed/>
    <w:rsid w:val="008D014B"/>
    <w:pPr>
      <w:spacing w:after="200"/>
      <w:ind w:left="360" w:firstLine="360"/>
    </w:pPr>
    <w:rPr>
      <w:rFonts w:asciiTheme="minorHAnsi" w:eastAsiaTheme="minorHAnsi" w:hAnsiTheme="minorHAnsi" w:cstheme="minorBidi"/>
      <w:sz w:val="22"/>
      <w:szCs w:val="22"/>
      <w:lang w:eastAsia="en-US"/>
    </w:rPr>
  </w:style>
  <w:style w:type="character" w:customStyle="1" w:styleId="29">
    <w:name w:val="Основен текст отстъп първи ред 2 Знак"/>
    <w:basedOn w:val="ae"/>
    <w:link w:val="28"/>
    <w:uiPriority w:val="99"/>
    <w:rsid w:val="008D014B"/>
    <w:rPr>
      <w:rFonts w:asciiTheme="minorHAnsi" w:eastAsiaTheme="minorHAnsi" w:hAnsiTheme="minorHAnsi" w:cstheme="minorBidi"/>
      <w:sz w:val="22"/>
      <w:szCs w:val="22"/>
      <w:lang w:val="bg-BG" w:eastAsia="en-US"/>
    </w:rPr>
  </w:style>
  <w:style w:type="character" w:customStyle="1" w:styleId="aff7">
    <w:name w:val="Основен текст_"/>
    <w:link w:val="13"/>
    <w:rsid w:val="008437BE"/>
    <w:rPr>
      <w:rFonts w:ascii="Times New Roman" w:eastAsia="Times New Roman" w:hAnsi="Times New Roman"/>
      <w:sz w:val="26"/>
      <w:szCs w:val="26"/>
      <w:shd w:val="clear" w:color="auto" w:fill="FFFFFF"/>
    </w:rPr>
  </w:style>
  <w:style w:type="paragraph" w:customStyle="1" w:styleId="13">
    <w:name w:val="Основен текст1"/>
    <w:basedOn w:val="a"/>
    <w:link w:val="aff7"/>
    <w:rsid w:val="008437BE"/>
    <w:pPr>
      <w:widowControl w:val="0"/>
      <w:shd w:val="clear" w:color="auto" w:fill="FFFFFF"/>
      <w:spacing w:after="0" w:line="240" w:lineRule="auto"/>
      <w:ind w:firstLine="400"/>
      <w:jc w:val="both"/>
    </w:pPr>
    <w:rPr>
      <w:rFonts w:ascii="Times New Roman" w:eastAsia="Times New Roman" w:hAnsi="Times New Roman"/>
      <w:sz w:val="26"/>
      <w:szCs w:val="2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07"/>
    <w:pPr>
      <w:spacing w:after="200" w:line="276" w:lineRule="auto"/>
    </w:pPr>
    <w:rPr>
      <w:sz w:val="22"/>
      <w:szCs w:val="22"/>
      <w:lang w:eastAsia="en-US"/>
    </w:rPr>
  </w:style>
  <w:style w:type="paragraph" w:styleId="1">
    <w:name w:val="heading 1"/>
    <w:basedOn w:val="a"/>
    <w:next w:val="a"/>
    <w:link w:val="10"/>
    <w:uiPriority w:val="9"/>
    <w:qFormat/>
    <w:rsid w:val="00224EE6"/>
    <w:pPr>
      <w:keepNext/>
      <w:spacing w:after="0" w:line="240" w:lineRule="auto"/>
      <w:jc w:val="center"/>
      <w:outlineLvl w:val="0"/>
    </w:pPr>
    <w:rPr>
      <w:rFonts w:ascii="Tahoma" w:eastAsia="Times New Roman" w:hAnsi="Tahoma"/>
      <w:b/>
      <w:sz w:val="28"/>
      <w:szCs w:val="20"/>
      <w:lang w:eastAsia="x-none"/>
    </w:rPr>
  </w:style>
  <w:style w:type="paragraph" w:styleId="20">
    <w:name w:val="heading 2"/>
    <w:basedOn w:val="a"/>
    <w:next w:val="a"/>
    <w:link w:val="21"/>
    <w:uiPriority w:val="9"/>
    <w:unhideWhenUsed/>
    <w:qFormat/>
    <w:rsid w:val="004A388E"/>
    <w:pPr>
      <w:keepNext/>
      <w:spacing w:before="240" w:after="60" w:line="240" w:lineRule="auto"/>
      <w:outlineLvl w:val="1"/>
    </w:pPr>
    <w:rPr>
      <w:rFonts w:ascii="Cambria" w:eastAsia="Times New Roman" w:hAnsi="Cambria"/>
      <w:b/>
      <w:bCs/>
      <w:i/>
      <w:iCs/>
      <w:sz w:val="28"/>
      <w:szCs w:val="28"/>
      <w:lang w:val="x-none" w:eastAsia="x-none"/>
    </w:rPr>
  </w:style>
  <w:style w:type="paragraph" w:styleId="30">
    <w:name w:val="heading 3"/>
    <w:basedOn w:val="a"/>
    <w:next w:val="a"/>
    <w:link w:val="31"/>
    <w:uiPriority w:val="9"/>
    <w:semiHidden/>
    <w:unhideWhenUsed/>
    <w:qFormat/>
    <w:rsid w:val="004A388E"/>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uiPriority w:val="9"/>
    <w:semiHidden/>
    <w:unhideWhenUsed/>
    <w:qFormat/>
    <w:rsid w:val="004A388E"/>
    <w:pPr>
      <w:keepNext/>
      <w:spacing w:before="240" w:after="60" w:line="240" w:lineRule="auto"/>
      <w:outlineLvl w:val="3"/>
    </w:pPr>
    <w:rPr>
      <w:rFonts w:eastAsia="Times New Roman"/>
      <w:b/>
      <w:bCs/>
      <w:sz w:val="28"/>
      <w:szCs w:val="28"/>
      <w:lang w:val="x-none" w:eastAsia="x-none"/>
    </w:rPr>
  </w:style>
  <w:style w:type="paragraph" w:styleId="5">
    <w:name w:val="heading 5"/>
    <w:basedOn w:val="a"/>
    <w:next w:val="a"/>
    <w:link w:val="50"/>
    <w:uiPriority w:val="9"/>
    <w:semiHidden/>
    <w:unhideWhenUsed/>
    <w:qFormat/>
    <w:rsid w:val="004A388E"/>
    <w:pPr>
      <w:spacing w:before="240" w:after="60" w:line="240" w:lineRule="auto"/>
      <w:outlineLvl w:val="4"/>
    </w:pPr>
    <w:rPr>
      <w:rFonts w:eastAsia="Times New Roman"/>
      <w:b/>
      <w:bCs/>
      <w:i/>
      <w:iCs/>
      <w:sz w:val="26"/>
      <w:szCs w:val="26"/>
      <w:lang w:val="x-none" w:eastAsia="x-none"/>
    </w:rPr>
  </w:style>
  <w:style w:type="paragraph" w:styleId="6">
    <w:name w:val="heading 6"/>
    <w:basedOn w:val="a"/>
    <w:next w:val="a"/>
    <w:link w:val="60"/>
    <w:uiPriority w:val="9"/>
    <w:semiHidden/>
    <w:unhideWhenUsed/>
    <w:qFormat/>
    <w:rsid w:val="004A388E"/>
    <w:pPr>
      <w:spacing w:before="240" w:after="60" w:line="240" w:lineRule="auto"/>
      <w:outlineLvl w:val="5"/>
    </w:pPr>
    <w:rPr>
      <w:rFonts w:eastAsia="Times New Roman"/>
      <w:b/>
      <w:bCs/>
      <w:sz w:val="20"/>
      <w:szCs w:val="20"/>
      <w:lang w:val="x-none" w:eastAsia="x-none"/>
    </w:rPr>
  </w:style>
  <w:style w:type="paragraph" w:styleId="7">
    <w:name w:val="heading 7"/>
    <w:basedOn w:val="a"/>
    <w:next w:val="a"/>
    <w:link w:val="70"/>
    <w:uiPriority w:val="9"/>
    <w:semiHidden/>
    <w:unhideWhenUsed/>
    <w:qFormat/>
    <w:rsid w:val="004A388E"/>
    <w:pPr>
      <w:spacing w:before="240" w:after="60" w:line="240" w:lineRule="auto"/>
      <w:outlineLvl w:val="6"/>
    </w:pPr>
    <w:rPr>
      <w:rFonts w:eastAsia="Times New Roman"/>
      <w:sz w:val="24"/>
      <w:szCs w:val="24"/>
      <w:lang w:val="x-none" w:eastAsia="x-none"/>
    </w:rPr>
  </w:style>
  <w:style w:type="paragraph" w:styleId="8">
    <w:name w:val="heading 8"/>
    <w:basedOn w:val="a"/>
    <w:next w:val="a"/>
    <w:link w:val="80"/>
    <w:uiPriority w:val="9"/>
    <w:semiHidden/>
    <w:unhideWhenUsed/>
    <w:qFormat/>
    <w:rsid w:val="004A388E"/>
    <w:pPr>
      <w:spacing w:before="240" w:after="60" w:line="240" w:lineRule="auto"/>
      <w:outlineLvl w:val="7"/>
    </w:pPr>
    <w:rPr>
      <w:rFonts w:eastAsia="Times New Roman"/>
      <w:i/>
      <w:iCs/>
      <w:sz w:val="24"/>
      <w:szCs w:val="24"/>
      <w:lang w:val="x-none" w:eastAsia="x-none"/>
    </w:rPr>
  </w:style>
  <w:style w:type="paragraph" w:styleId="9">
    <w:name w:val="heading 9"/>
    <w:basedOn w:val="a"/>
    <w:next w:val="a"/>
    <w:link w:val="90"/>
    <w:uiPriority w:val="9"/>
    <w:semiHidden/>
    <w:unhideWhenUsed/>
    <w:qFormat/>
    <w:rsid w:val="004A388E"/>
    <w:pPr>
      <w:spacing w:before="240" w:after="60" w:line="240" w:lineRule="auto"/>
      <w:outlineLvl w:val="8"/>
    </w:pPr>
    <w:rPr>
      <w:rFonts w:ascii="Cambria" w:eastAsia="Times New Roman"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7474"/>
    <w:pPr>
      <w:tabs>
        <w:tab w:val="center" w:pos="4320"/>
        <w:tab w:val="right" w:pos="8640"/>
      </w:tabs>
      <w:spacing w:after="0" w:line="240" w:lineRule="auto"/>
      <w:ind w:firstLine="709"/>
      <w:jc w:val="both"/>
    </w:pPr>
    <w:rPr>
      <w:rFonts w:ascii="Arial" w:eastAsia="Times New Roman" w:hAnsi="Arial"/>
      <w:sz w:val="28"/>
      <w:szCs w:val="28"/>
      <w:lang w:eastAsia="bg-BG"/>
    </w:rPr>
  </w:style>
  <w:style w:type="character" w:customStyle="1" w:styleId="a4">
    <w:name w:val="Горен колонтитул Знак"/>
    <w:link w:val="a3"/>
    <w:rsid w:val="00B07474"/>
    <w:rPr>
      <w:rFonts w:ascii="Arial" w:eastAsia="Times New Roman" w:hAnsi="Arial" w:cs="Times New Roman"/>
      <w:sz w:val="28"/>
      <w:szCs w:val="28"/>
      <w:lang w:val="bg-BG" w:eastAsia="bg-BG"/>
    </w:rPr>
  </w:style>
  <w:style w:type="paragraph" w:customStyle="1" w:styleId="Style">
    <w:name w:val="Style"/>
    <w:rsid w:val="00903425"/>
    <w:pPr>
      <w:widowControl w:val="0"/>
      <w:autoSpaceDE w:val="0"/>
      <w:autoSpaceDN w:val="0"/>
      <w:adjustRightInd w:val="0"/>
    </w:pPr>
    <w:rPr>
      <w:rFonts w:ascii="Times New Roman" w:eastAsia="Times New Roman" w:hAnsi="Times New Roman"/>
      <w:sz w:val="24"/>
      <w:szCs w:val="24"/>
    </w:rPr>
  </w:style>
  <w:style w:type="character" w:customStyle="1" w:styleId="22">
    <w:name w:val="Основен текст (2)_"/>
    <w:link w:val="210"/>
    <w:rsid w:val="00903425"/>
    <w:rPr>
      <w:rFonts w:ascii="Arial" w:eastAsia="Courier New" w:hAnsi="Arial" w:cs="Arial"/>
      <w:sz w:val="26"/>
      <w:szCs w:val="26"/>
      <w:shd w:val="clear" w:color="auto" w:fill="FFFFFF"/>
      <w:lang w:val="bg-BG" w:eastAsia="bg-BG"/>
    </w:rPr>
  </w:style>
  <w:style w:type="paragraph" w:customStyle="1" w:styleId="210">
    <w:name w:val="Основен текст (2)1"/>
    <w:basedOn w:val="a"/>
    <w:link w:val="22"/>
    <w:rsid w:val="00903425"/>
    <w:pPr>
      <w:widowControl w:val="0"/>
      <w:shd w:val="clear" w:color="auto" w:fill="FFFFFF"/>
      <w:spacing w:after="0" w:line="310" w:lineRule="exact"/>
    </w:pPr>
    <w:rPr>
      <w:rFonts w:ascii="Arial" w:eastAsia="Courier New" w:hAnsi="Arial"/>
      <w:sz w:val="26"/>
      <w:szCs w:val="26"/>
      <w:lang w:eastAsia="bg-BG"/>
    </w:rPr>
  </w:style>
  <w:style w:type="paragraph" w:styleId="a5">
    <w:name w:val="footer"/>
    <w:basedOn w:val="a"/>
    <w:link w:val="a6"/>
    <w:uiPriority w:val="99"/>
    <w:unhideWhenUsed/>
    <w:rsid w:val="00462246"/>
    <w:pPr>
      <w:tabs>
        <w:tab w:val="center" w:pos="4703"/>
        <w:tab w:val="right" w:pos="9406"/>
      </w:tabs>
      <w:spacing w:after="0" w:line="240" w:lineRule="auto"/>
    </w:pPr>
    <w:rPr>
      <w:sz w:val="20"/>
      <w:szCs w:val="20"/>
      <w:lang w:eastAsia="x-none"/>
    </w:rPr>
  </w:style>
  <w:style w:type="character" w:customStyle="1" w:styleId="a6">
    <w:name w:val="Долен колонтитул Знак"/>
    <w:link w:val="a5"/>
    <w:uiPriority w:val="99"/>
    <w:rsid w:val="00462246"/>
    <w:rPr>
      <w:lang w:val="bg-BG"/>
    </w:rPr>
  </w:style>
  <w:style w:type="paragraph" w:styleId="a7">
    <w:name w:val="Balloon Text"/>
    <w:basedOn w:val="a"/>
    <w:link w:val="a8"/>
    <w:unhideWhenUsed/>
    <w:rsid w:val="00462246"/>
    <w:pPr>
      <w:spacing w:after="0" w:line="240" w:lineRule="auto"/>
    </w:pPr>
    <w:rPr>
      <w:rFonts w:ascii="Tahoma" w:hAnsi="Tahoma"/>
      <w:sz w:val="16"/>
      <w:szCs w:val="16"/>
      <w:lang w:eastAsia="x-none"/>
    </w:rPr>
  </w:style>
  <w:style w:type="character" w:customStyle="1" w:styleId="a8">
    <w:name w:val="Изнесен текст Знак"/>
    <w:link w:val="a7"/>
    <w:rsid w:val="00462246"/>
    <w:rPr>
      <w:rFonts w:ascii="Tahoma" w:hAnsi="Tahoma" w:cs="Tahoma"/>
      <w:sz w:val="16"/>
      <w:szCs w:val="16"/>
      <w:lang w:val="bg-BG"/>
    </w:rPr>
  </w:style>
  <w:style w:type="paragraph" w:styleId="a9">
    <w:name w:val="List Paragraph"/>
    <w:basedOn w:val="a"/>
    <w:uiPriority w:val="34"/>
    <w:qFormat/>
    <w:rsid w:val="00AE1AF4"/>
    <w:pPr>
      <w:ind w:left="720"/>
      <w:contextualSpacing/>
    </w:pPr>
  </w:style>
  <w:style w:type="character" w:customStyle="1" w:styleId="32">
    <w:name w:val="Основен текст (3)_"/>
    <w:link w:val="33"/>
    <w:locked/>
    <w:rsid w:val="00AB628E"/>
    <w:rPr>
      <w:rFonts w:ascii="Arial" w:eastAsia="Arial" w:hAnsi="Arial" w:cs="Arial"/>
      <w:shd w:val="clear" w:color="auto" w:fill="FFFFFF"/>
    </w:rPr>
  </w:style>
  <w:style w:type="paragraph" w:customStyle="1" w:styleId="33">
    <w:name w:val="Основен текст (3)"/>
    <w:basedOn w:val="a"/>
    <w:link w:val="32"/>
    <w:rsid w:val="00AB628E"/>
    <w:pPr>
      <w:widowControl w:val="0"/>
      <w:shd w:val="clear" w:color="auto" w:fill="FFFFFF"/>
      <w:spacing w:after="0" w:line="379" w:lineRule="exact"/>
      <w:jc w:val="both"/>
    </w:pPr>
    <w:rPr>
      <w:rFonts w:ascii="Arial" w:eastAsia="Arial" w:hAnsi="Arial"/>
      <w:sz w:val="20"/>
      <w:szCs w:val="20"/>
      <w:lang w:val="x-none" w:eastAsia="x-none"/>
    </w:rPr>
  </w:style>
  <w:style w:type="paragraph" w:customStyle="1" w:styleId="23">
    <w:name w:val="Основен текст (2)"/>
    <w:basedOn w:val="a"/>
    <w:rsid w:val="00AB628E"/>
    <w:pPr>
      <w:widowControl w:val="0"/>
      <w:shd w:val="clear" w:color="auto" w:fill="FFFFFF"/>
      <w:spacing w:before="1140" w:after="0" w:line="379" w:lineRule="exact"/>
      <w:jc w:val="both"/>
    </w:pPr>
    <w:rPr>
      <w:rFonts w:ascii="Arial" w:eastAsia="Arial" w:hAnsi="Arial" w:cs="Arial"/>
      <w:lang w:val="en-US"/>
    </w:rPr>
  </w:style>
  <w:style w:type="paragraph" w:styleId="24">
    <w:name w:val="Body Text Indent 2"/>
    <w:basedOn w:val="a"/>
    <w:link w:val="25"/>
    <w:semiHidden/>
    <w:unhideWhenUsed/>
    <w:rsid w:val="003F67EF"/>
    <w:pPr>
      <w:spacing w:after="0" w:line="360" w:lineRule="auto"/>
      <w:ind w:firstLine="540"/>
      <w:jc w:val="both"/>
    </w:pPr>
    <w:rPr>
      <w:rFonts w:ascii="Arial" w:eastAsia="Times New Roman" w:hAnsi="Arial"/>
      <w:sz w:val="28"/>
      <w:szCs w:val="28"/>
      <w:lang w:eastAsia="bg-BG"/>
    </w:rPr>
  </w:style>
  <w:style w:type="character" w:customStyle="1" w:styleId="25">
    <w:name w:val="Основен текст с отстъп 2 Знак"/>
    <w:link w:val="24"/>
    <w:semiHidden/>
    <w:rsid w:val="003F67EF"/>
    <w:rPr>
      <w:rFonts w:ascii="Arial" w:eastAsia="Times New Roman" w:hAnsi="Arial" w:cs="Arial"/>
      <w:sz w:val="28"/>
      <w:szCs w:val="28"/>
      <w:lang w:val="bg-BG" w:eastAsia="bg-BG"/>
    </w:rPr>
  </w:style>
  <w:style w:type="character" w:styleId="aa">
    <w:name w:val="Hyperlink"/>
    <w:unhideWhenUsed/>
    <w:rsid w:val="006978B6"/>
    <w:rPr>
      <w:color w:val="0000FF"/>
      <w:u w:val="single"/>
    </w:rPr>
  </w:style>
  <w:style w:type="paragraph" w:styleId="ab">
    <w:name w:val="Body Text"/>
    <w:basedOn w:val="a"/>
    <w:link w:val="ac"/>
    <w:unhideWhenUsed/>
    <w:rsid w:val="006978B6"/>
    <w:pPr>
      <w:spacing w:after="120" w:line="240" w:lineRule="auto"/>
      <w:ind w:firstLine="709"/>
      <w:jc w:val="both"/>
    </w:pPr>
    <w:rPr>
      <w:rFonts w:ascii="Arial" w:eastAsia="Times New Roman" w:hAnsi="Arial"/>
      <w:sz w:val="28"/>
      <w:szCs w:val="28"/>
      <w:lang w:eastAsia="bg-BG"/>
    </w:rPr>
  </w:style>
  <w:style w:type="character" w:customStyle="1" w:styleId="ac">
    <w:name w:val="Основен текст Знак"/>
    <w:link w:val="ab"/>
    <w:rsid w:val="006978B6"/>
    <w:rPr>
      <w:rFonts w:ascii="Arial" w:eastAsia="Times New Roman" w:hAnsi="Arial" w:cs="Times New Roman"/>
      <w:sz w:val="28"/>
      <w:szCs w:val="28"/>
      <w:lang w:val="bg-BG" w:eastAsia="bg-BG"/>
    </w:rPr>
  </w:style>
  <w:style w:type="character" w:customStyle="1" w:styleId="10">
    <w:name w:val="Заглавие 1 Знак"/>
    <w:link w:val="1"/>
    <w:uiPriority w:val="9"/>
    <w:rsid w:val="00224EE6"/>
    <w:rPr>
      <w:rFonts w:ascii="Tahoma" w:eastAsia="Times New Roman" w:hAnsi="Tahoma" w:cs="Times New Roman"/>
      <w:b/>
      <w:sz w:val="28"/>
      <w:szCs w:val="20"/>
      <w:lang w:val="bg-BG"/>
    </w:rPr>
  </w:style>
  <w:style w:type="paragraph" w:styleId="ad">
    <w:name w:val="Body Text Indent"/>
    <w:basedOn w:val="a"/>
    <w:link w:val="ae"/>
    <w:uiPriority w:val="99"/>
    <w:unhideWhenUsed/>
    <w:rsid w:val="0095580C"/>
    <w:pPr>
      <w:spacing w:after="120"/>
      <w:ind w:left="283"/>
    </w:pPr>
    <w:rPr>
      <w:sz w:val="20"/>
      <w:szCs w:val="20"/>
      <w:lang w:eastAsia="x-none"/>
    </w:rPr>
  </w:style>
  <w:style w:type="character" w:customStyle="1" w:styleId="ae">
    <w:name w:val="Основен текст с отстъп Знак"/>
    <w:link w:val="ad"/>
    <w:uiPriority w:val="99"/>
    <w:rsid w:val="0095580C"/>
    <w:rPr>
      <w:lang w:val="bg-BG"/>
    </w:rPr>
  </w:style>
  <w:style w:type="table" w:customStyle="1" w:styleId="11">
    <w:name w:val="Мрежа в таблица1"/>
    <w:basedOn w:val="a1"/>
    <w:next w:val="af"/>
    <w:rsid w:val="0083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83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лавие 2 Знак"/>
    <w:link w:val="20"/>
    <w:uiPriority w:val="9"/>
    <w:rsid w:val="004A388E"/>
    <w:rPr>
      <w:rFonts w:ascii="Cambria" w:eastAsia="Times New Roman" w:hAnsi="Cambria" w:cs="Times New Roman"/>
      <w:b/>
      <w:bCs/>
      <w:i/>
      <w:iCs/>
      <w:sz w:val="28"/>
      <w:szCs w:val="28"/>
    </w:rPr>
  </w:style>
  <w:style w:type="character" w:customStyle="1" w:styleId="31">
    <w:name w:val="Заглавие 3 Знак"/>
    <w:link w:val="30"/>
    <w:uiPriority w:val="9"/>
    <w:semiHidden/>
    <w:rsid w:val="004A388E"/>
    <w:rPr>
      <w:rFonts w:ascii="Cambria" w:eastAsia="Times New Roman" w:hAnsi="Cambria" w:cs="Times New Roman"/>
      <w:b/>
      <w:bCs/>
      <w:sz w:val="26"/>
      <w:szCs w:val="26"/>
    </w:rPr>
  </w:style>
  <w:style w:type="character" w:customStyle="1" w:styleId="40">
    <w:name w:val="Заглавие 4 Знак"/>
    <w:link w:val="4"/>
    <w:uiPriority w:val="9"/>
    <w:semiHidden/>
    <w:rsid w:val="004A388E"/>
    <w:rPr>
      <w:rFonts w:eastAsia="Times New Roman" w:cs="Times New Roman"/>
      <w:b/>
      <w:bCs/>
      <w:sz w:val="28"/>
      <w:szCs w:val="28"/>
    </w:rPr>
  </w:style>
  <w:style w:type="character" w:customStyle="1" w:styleId="50">
    <w:name w:val="Заглавие 5 Знак"/>
    <w:link w:val="5"/>
    <w:uiPriority w:val="9"/>
    <w:semiHidden/>
    <w:rsid w:val="004A388E"/>
    <w:rPr>
      <w:rFonts w:eastAsia="Times New Roman" w:cs="Times New Roman"/>
      <w:b/>
      <w:bCs/>
      <w:i/>
      <w:iCs/>
      <w:sz w:val="26"/>
      <w:szCs w:val="26"/>
    </w:rPr>
  </w:style>
  <w:style w:type="character" w:customStyle="1" w:styleId="60">
    <w:name w:val="Заглавие 6 Знак"/>
    <w:link w:val="6"/>
    <w:uiPriority w:val="9"/>
    <w:semiHidden/>
    <w:rsid w:val="004A388E"/>
    <w:rPr>
      <w:rFonts w:eastAsia="Times New Roman" w:cs="Times New Roman"/>
      <w:b/>
      <w:bCs/>
    </w:rPr>
  </w:style>
  <w:style w:type="character" w:customStyle="1" w:styleId="70">
    <w:name w:val="Заглавие 7 Знак"/>
    <w:link w:val="7"/>
    <w:uiPriority w:val="9"/>
    <w:semiHidden/>
    <w:rsid w:val="004A388E"/>
    <w:rPr>
      <w:rFonts w:eastAsia="Times New Roman" w:cs="Times New Roman"/>
      <w:sz w:val="24"/>
      <w:szCs w:val="24"/>
    </w:rPr>
  </w:style>
  <w:style w:type="character" w:customStyle="1" w:styleId="80">
    <w:name w:val="Заглавие 8 Знак"/>
    <w:link w:val="8"/>
    <w:uiPriority w:val="9"/>
    <w:semiHidden/>
    <w:rsid w:val="004A388E"/>
    <w:rPr>
      <w:rFonts w:eastAsia="Times New Roman" w:cs="Times New Roman"/>
      <w:i/>
      <w:iCs/>
      <w:sz w:val="24"/>
      <w:szCs w:val="24"/>
    </w:rPr>
  </w:style>
  <w:style w:type="character" w:customStyle="1" w:styleId="90">
    <w:name w:val="Заглавие 9 Знак"/>
    <w:link w:val="9"/>
    <w:uiPriority w:val="9"/>
    <w:semiHidden/>
    <w:rsid w:val="004A388E"/>
    <w:rPr>
      <w:rFonts w:ascii="Cambria" w:eastAsia="Times New Roman" w:hAnsi="Cambria" w:cs="Times New Roman"/>
    </w:rPr>
  </w:style>
  <w:style w:type="numbering" w:customStyle="1" w:styleId="12">
    <w:name w:val="Без списък1"/>
    <w:next w:val="a2"/>
    <w:uiPriority w:val="99"/>
    <w:semiHidden/>
    <w:unhideWhenUsed/>
    <w:rsid w:val="004A388E"/>
  </w:style>
  <w:style w:type="table" w:customStyle="1" w:styleId="26">
    <w:name w:val="Мрежа в таблица2"/>
    <w:basedOn w:val="a1"/>
    <w:next w:val="af"/>
    <w:rsid w:val="004A38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
    <w:rsid w:val="004A388E"/>
    <w:pPr>
      <w:widowControl w:val="0"/>
      <w:autoSpaceDE w:val="0"/>
      <w:autoSpaceDN w:val="0"/>
      <w:adjustRightInd w:val="0"/>
    </w:pPr>
    <w:rPr>
      <w:rFonts w:ascii="Times New Roman" w:eastAsia="Times New Roman" w:hAnsi="Times New Roman"/>
      <w:sz w:val="24"/>
      <w:szCs w:val="24"/>
    </w:rPr>
  </w:style>
  <w:style w:type="paragraph" w:styleId="af1">
    <w:name w:val="Title"/>
    <w:basedOn w:val="a"/>
    <w:next w:val="a"/>
    <w:link w:val="af2"/>
    <w:uiPriority w:val="10"/>
    <w:qFormat/>
    <w:rsid w:val="004A388E"/>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af2">
    <w:name w:val="Заглавие Знак"/>
    <w:link w:val="af1"/>
    <w:uiPriority w:val="10"/>
    <w:rsid w:val="004A388E"/>
    <w:rPr>
      <w:rFonts w:ascii="Cambria" w:eastAsia="Times New Roman" w:hAnsi="Cambria" w:cs="Times New Roman"/>
      <w:b/>
      <w:bCs/>
      <w:kern w:val="28"/>
      <w:sz w:val="32"/>
      <w:szCs w:val="32"/>
    </w:rPr>
  </w:style>
  <w:style w:type="paragraph" w:styleId="af3">
    <w:name w:val="Subtitle"/>
    <w:basedOn w:val="a"/>
    <w:next w:val="a"/>
    <w:link w:val="af4"/>
    <w:uiPriority w:val="11"/>
    <w:qFormat/>
    <w:rsid w:val="004A388E"/>
    <w:pPr>
      <w:spacing w:after="60" w:line="240" w:lineRule="auto"/>
      <w:jc w:val="center"/>
      <w:outlineLvl w:val="1"/>
    </w:pPr>
    <w:rPr>
      <w:rFonts w:ascii="Cambria" w:eastAsia="Times New Roman" w:hAnsi="Cambria"/>
      <w:sz w:val="24"/>
      <w:szCs w:val="24"/>
      <w:lang w:val="x-none" w:eastAsia="x-none"/>
    </w:rPr>
  </w:style>
  <w:style w:type="character" w:customStyle="1" w:styleId="af4">
    <w:name w:val="Подзаглавие Знак"/>
    <w:link w:val="af3"/>
    <w:uiPriority w:val="11"/>
    <w:rsid w:val="004A388E"/>
    <w:rPr>
      <w:rFonts w:ascii="Cambria" w:eastAsia="Times New Roman" w:hAnsi="Cambria" w:cs="Times New Roman"/>
      <w:sz w:val="24"/>
      <w:szCs w:val="24"/>
    </w:rPr>
  </w:style>
  <w:style w:type="character" w:styleId="af5">
    <w:name w:val="Strong"/>
    <w:uiPriority w:val="22"/>
    <w:qFormat/>
    <w:rsid w:val="004A388E"/>
    <w:rPr>
      <w:b/>
      <w:bCs/>
    </w:rPr>
  </w:style>
  <w:style w:type="character" w:styleId="af6">
    <w:name w:val="Emphasis"/>
    <w:uiPriority w:val="20"/>
    <w:qFormat/>
    <w:rsid w:val="004A388E"/>
    <w:rPr>
      <w:rFonts w:ascii="Calibri" w:hAnsi="Calibri"/>
      <w:b/>
      <w:i/>
      <w:iCs/>
    </w:rPr>
  </w:style>
  <w:style w:type="paragraph" w:styleId="af7">
    <w:name w:val="No Spacing"/>
    <w:basedOn w:val="a"/>
    <w:uiPriority w:val="1"/>
    <w:qFormat/>
    <w:rsid w:val="004A388E"/>
    <w:pPr>
      <w:spacing w:after="0" w:line="240" w:lineRule="auto"/>
    </w:pPr>
    <w:rPr>
      <w:rFonts w:eastAsia="Times New Roman"/>
      <w:sz w:val="24"/>
      <w:szCs w:val="32"/>
      <w:lang w:val="en-US"/>
    </w:rPr>
  </w:style>
  <w:style w:type="paragraph" w:styleId="af8">
    <w:name w:val="Quote"/>
    <w:basedOn w:val="a"/>
    <w:next w:val="a"/>
    <w:link w:val="af9"/>
    <w:uiPriority w:val="29"/>
    <w:qFormat/>
    <w:rsid w:val="004A388E"/>
    <w:pPr>
      <w:spacing w:after="0" w:line="240" w:lineRule="auto"/>
    </w:pPr>
    <w:rPr>
      <w:rFonts w:eastAsia="Times New Roman"/>
      <w:i/>
      <w:sz w:val="24"/>
      <w:szCs w:val="24"/>
      <w:lang w:val="x-none" w:eastAsia="x-none"/>
    </w:rPr>
  </w:style>
  <w:style w:type="character" w:customStyle="1" w:styleId="af9">
    <w:name w:val="Цитат Знак"/>
    <w:link w:val="af8"/>
    <w:uiPriority w:val="29"/>
    <w:rsid w:val="004A388E"/>
    <w:rPr>
      <w:rFonts w:eastAsia="Times New Roman" w:cs="Times New Roman"/>
      <w:i/>
      <w:sz w:val="24"/>
      <w:szCs w:val="24"/>
    </w:rPr>
  </w:style>
  <w:style w:type="paragraph" w:styleId="afa">
    <w:name w:val="Intense Quote"/>
    <w:basedOn w:val="a"/>
    <w:next w:val="a"/>
    <w:link w:val="afb"/>
    <w:uiPriority w:val="30"/>
    <w:qFormat/>
    <w:rsid w:val="004A388E"/>
    <w:pPr>
      <w:spacing w:after="0" w:line="240" w:lineRule="auto"/>
      <w:ind w:left="720" w:right="720"/>
    </w:pPr>
    <w:rPr>
      <w:rFonts w:eastAsia="Times New Roman"/>
      <w:b/>
      <w:i/>
      <w:sz w:val="24"/>
      <w:szCs w:val="20"/>
      <w:lang w:val="x-none" w:eastAsia="x-none"/>
    </w:rPr>
  </w:style>
  <w:style w:type="character" w:customStyle="1" w:styleId="afb">
    <w:name w:val="Интензивно цитиране Знак"/>
    <w:link w:val="afa"/>
    <w:uiPriority w:val="30"/>
    <w:rsid w:val="004A388E"/>
    <w:rPr>
      <w:rFonts w:eastAsia="Times New Roman" w:cs="Times New Roman"/>
      <w:b/>
      <w:i/>
      <w:sz w:val="24"/>
    </w:rPr>
  </w:style>
  <w:style w:type="character" w:styleId="afc">
    <w:name w:val="Subtle Emphasis"/>
    <w:uiPriority w:val="19"/>
    <w:qFormat/>
    <w:rsid w:val="004A388E"/>
    <w:rPr>
      <w:i/>
      <w:color w:val="5A5A5A"/>
    </w:rPr>
  </w:style>
  <w:style w:type="character" w:styleId="afd">
    <w:name w:val="Intense Emphasis"/>
    <w:uiPriority w:val="21"/>
    <w:qFormat/>
    <w:rsid w:val="004A388E"/>
    <w:rPr>
      <w:b/>
      <w:i/>
      <w:sz w:val="24"/>
      <w:szCs w:val="24"/>
      <w:u w:val="single"/>
    </w:rPr>
  </w:style>
  <w:style w:type="character" w:styleId="afe">
    <w:name w:val="Subtle Reference"/>
    <w:uiPriority w:val="31"/>
    <w:qFormat/>
    <w:rsid w:val="004A388E"/>
    <w:rPr>
      <w:sz w:val="24"/>
      <w:szCs w:val="24"/>
      <w:u w:val="single"/>
    </w:rPr>
  </w:style>
  <w:style w:type="character" w:styleId="aff">
    <w:name w:val="Intense Reference"/>
    <w:uiPriority w:val="32"/>
    <w:qFormat/>
    <w:rsid w:val="004A388E"/>
    <w:rPr>
      <w:b/>
      <w:sz w:val="24"/>
      <w:u w:val="single"/>
    </w:rPr>
  </w:style>
  <w:style w:type="character" w:styleId="aff0">
    <w:name w:val="Book Title"/>
    <w:uiPriority w:val="33"/>
    <w:qFormat/>
    <w:rsid w:val="004A388E"/>
    <w:rPr>
      <w:rFonts w:ascii="Cambria" w:eastAsia="Times New Roman" w:hAnsi="Cambria"/>
      <w:b/>
      <w:i/>
      <w:sz w:val="24"/>
      <w:szCs w:val="24"/>
    </w:rPr>
  </w:style>
  <w:style w:type="paragraph" w:styleId="aff1">
    <w:name w:val="TOC Heading"/>
    <w:basedOn w:val="1"/>
    <w:next w:val="a"/>
    <w:uiPriority w:val="39"/>
    <w:semiHidden/>
    <w:unhideWhenUsed/>
    <w:qFormat/>
    <w:rsid w:val="004A388E"/>
    <w:pPr>
      <w:spacing w:before="240" w:after="60"/>
      <w:jc w:val="left"/>
      <w:outlineLvl w:val="9"/>
    </w:pPr>
    <w:rPr>
      <w:rFonts w:ascii="Cambria" w:hAnsi="Cambria"/>
      <w:bCs/>
      <w:kern w:val="32"/>
      <w:sz w:val="32"/>
      <w:szCs w:val="32"/>
      <w:lang w:val="en-US"/>
    </w:rPr>
  </w:style>
  <w:style w:type="table" w:customStyle="1" w:styleId="34">
    <w:name w:val="Мрежа в таблица3"/>
    <w:basedOn w:val="a1"/>
    <w:next w:val="af"/>
    <w:rsid w:val="0062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f"/>
    <w:rsid w:val="0088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нак Знак5"/>
    <w:basedOn w:val="a"/>
    <w:rsid w:val="00486950"/>
    <w:pPr>
      <w:tabs>
        <w:tab w:val="left" w:pos="709"/>
      </w:tabs>
      <w:spacing w:after="0" w:line="240" w:lineRule="auto"/>
    </w:pPr>
    <w:rPr>
      <w:rFonts w:ascii="Tahoma" w:eastAsia="Times New Roman" w:hAnsi="Tahoma" w:cs="Tahoma"/>
      <w:sz w:val="24"/>
      <w:szCs w:val="24"/>
      <w:lang w:val="pl-PL" w:eastAsia="pl-PL"/>
    </w:rPr>
  </w:style>
  <w:style w:type="paragraph" w:styleId="aff2">
    <w:name w:val="caption"/>
    <w:basedOn w:val="a"/>
    <w:next w:val="a"/>
    <w:uiPriority w:val="35"/>
    <w:unhideWhenUsed/>
    <w:qFormat/>
    <w:rsid w:val="005D42AD"/>
    <w:pPr>
      <w:spacing w:line="240" w:lineRule="auto"/>
    </w:pPr>
    <w:rPr>
      <w:b/>
      <w:bCs/>
      <w:color w:val="4F81BD"/>
      <w:sz w:val="18"/>
      <w:szCs w:val="18"/>
    </w:rPr>
  </w:style>
  <w:style w:type="character" w:customStyle="1" w:styleId="aff3">
    <w:name w:val="Заглавие на изображение_"/>
    <w:link w:val="aff4"/>
    <w:rsid w:val="00627567"/>
    <w:rPr>
      <w:rFonts w:eastAsia="Times New Roman"/>
      <w:b/>
      <w:bCs/>
      <w:sz w:val="26"/>
      <w:szCs w:val="26"/>
      <w:shd w:val="clear" w:color="auto" w:fill="FFFFFF"/>
    </w:rPr>
  </w:style>
  <w:style w:type="paragraph" w:customStyle="1" w:styleId="aff4">
    <w:name w:val="Заглавие на изображение"/>
    <w:basedOn w:val="a"/>
    <w:link w:val="aff3"/>
    <w:rsid w:val="00627567"/>
    <w:pPr>
      <w:widowControl w:val="0"/>
      <w:shd w:val="clear" w:color="auto" w:fill="FFFFFF"/>
      <w:spacing w:after="0" w:line="240" w:lineRule="auto"/>
      <w:jc w:val="both"/>
    </w:pPr>
    <w:rPr>
      <w:rFonts w:eastAsia="Times New Roman"/>
      <w:b/>
      <w:bCs/>
      <w:sz w:val="26"/>
      <w:szCs w:val="26"/>
      <w:lang w:val="x-none" w:eastAsia="x-none"/>
    </w:rPr>
  </w:style>
  <w:style w:type="paragraph" w:styleId="27">
    <w:name w:val="List 2"/>
    <w:basedOn w:val="a"/>
    <w:uiPriority w:val="99"/>
    <w:unhideWhenUsed/>
    <w:rsid w:val="008D014B"/>
    <w:pPr>
      <w:ind w:left="566" w:hanging="283"/>
      <w:contextualSpacing/>
    </w:pPr>
    <w:rPr>
      <w:rFonts w:asciiTheme="minorHAnsi" w:eastAsiaTheme="minorHAnsi" w:hAnsiTheme="minorHAnsi" w:cstheme="minorBidi"/>
    </w:rPr>
  </w:style>
  <w:style w:type="paragraph" w:styleId="35">
    <w:name w:val="List 3"/>
    <w:basedOn w:val="a"/>
    <w:uiPriority w:val="99"/>
    <w:unhideWhenUsed/>
    <w:rsid w:val="008D014B"/>
    <w:pPr>
      <w:ind w:left="849" w:hanging="283"/>
      <w:contextualSpacing/>
    </w:pPr>
    <w:rPr>
      <w:rFonts w:asciiTheme="minorHAnsi" w:eastAsiaTheme="minorHAnsi" w:hAnsiTheme="minorHAnsi" w:cstheme="minorBidi"/>
    </w:rPr>
  </w:style>
  <w:style w:type="paragraph" w:styleId="2">
    <w:name w:val="List Bullet 2"/>
    <w:basedOn w:val="a"/>
    <w:uiPriority w:val="99"/>
    <w:unhideWhenUsed/>
    <w:rsid w:val="008D014B"/>
    <w:pPr>
      <w:numPr>
        <w:numId w:val="9"/>
      </w:numPr>
      <w:contextualSpacing/>
    </w:pPr>
    <w:rPr>
      <w:rFonts w:asciiTheme="minorHAnsi" w:eastAsiaTheme="minorHAnsi" w:hAnsiTheme="minorHAnsi" w:cstheme="minorBidi"/>
    </w:rPr>
  </w:style>
  <w:style w:type="paragraph" w:styleId="3">
    <w:name w:val="List Bullet 3"/>
    <w:basedOn w:val="a"/>
    <w:uiPriority w:val="99"/>
    <w:unhideWhenUsed/>
    <w:rsid w:val="008D014B"/>
    <w:pPr>
      <w:numPr>
        <w:numId w:val="10"/>
      </w:numPr>
      <w:contextualSpacing/>
    </w:pPr>
    <w:rPr>
      <w:rFonts w:asciiTheme="minorHAnsi" w:eastAsiaTheme="minorHAnsi" w:hAnsiTheme="minorHAnsi" w:cstheme="minorBidi"/>
    </w:rPr>
  </w:style>
  <w:style w:type="paragraph" w:styleId="aff5">
    <w:name w:val="Body Text First Indent"/>
    <w:basedOn w:val="ab"/>
    <w:link w:val="aff6"/>
    <w:uiPriority w:val="99"/>
    <w:unhideWhenUsed/>
    <w:rsid w:val="008D014B"/>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aff6">
    <w:name w:val="Основен текст отстъп първи ред Знак"/>
    <w:basedOn w:val="ac"/>
    <w:link w:val="aff5"/>
    <w:uiPriority w:val="99"/>
    <w:rsid w:val="008D014B"/>
    <w:rPr>
      <w:rFonts w:asciiTheme="minorHAnsi" w:eastAsiaTheme="minorHAnsi" w:hAnsiTheme="minorHAnsi" w:cstheme="minorBidi"/>
      <w:sz w:val="22"/>
      <w:szCs w:val="22"/>
      <w:lang w:val="bg-BG" w:eastAsia="en-US"/>
    </w:rPr>
  </w:style>
  <w:style w:type="paragraph" w:styleId="28">
    <w:name w:val="Body Text First Indent 2"/>
    <w:basedOn w:val="ad"/>
    <w:link w:val="29"/>
    <w:uiPriority w:val="99"/>
    <w:unhideWhenUsed/>
    <w:rsid w:val="008D014B"/>
    <w:pPr>
      <w:spacing w:after="200"/>
      <w:ind w:left="360" w:firstLine="360"/>
    </w:pPr>
    <w:rPr>
      <w:rFonts w:asciiTheme="minorHAnsi" w:eastAsiaTheme="minorHAnsi" w:hAnsiTheme="minorHAnsi" w:cstheme="minorBidi"/>
      <w:sz w:val="22"/>
      <w:szCs w:val="22"/>
      <w:lang w:eastAsia="en-US"/>
    </w:rPr>
  </w:style>
  <w:style w:type="character" w:customStyle="1" w:styleId="29">
    <w:name w:val="Основен текст отстъп първи ред 2 Знак"/>
    <w:basedOn w:val="ae"/>
    <w:link w:val="28"/>
    <w:uiPriority w:val="99"/>
    <w:rsid w:val="008D014B"/>
    <w:rPr>
      <w:rFonts w:asciiTheme="minorHAnsi" w:eastAsiaTheme="minorHAnsi" w:hAnsiTheme="minorHAnsi" w:cstheme="minorBidi"/>
      <w:sz w:val="22"/>
      <w:szCs w:val="22"/>
      <w:lang w:val="bg-BG" w:eastAsia="en-US"/>
    </w:rPr>
  </w:style>
  <w:style w:type="character" w:customStyle="1" w:styleId="aff7">
    <w:name w:val="Основен текст_"/>
    <w:link w:val="13"/>
    <w:rsid w:val="008437BE"/>
    <w:rPr>
      <w:rFonts w:ascii="Times New Roman" w:eastAsia="Times New Roman" w:hAnsi="Times New Roman"/>
      <w:sz w:val="26"/>
      <w:szCs w:val="26"/>
      <w:shd w:val="clear" w:color="auto" w:fill="FFFFFF"/>
    </w:rPr>
  </w:style>
  <w:style w:type="paragraph" w:customStyle="1" w:styleId="13">
    <w:name w:val="Основен текст1"/>
    <w:basedOn w:val="a"/>
    <w:link w:val="aff7"/>
    <w:rsid w:val="008437BE"/>
    <w:pPr>
      <w:widowControl w:val="0"/>
      <w:shd w:val="clear" w:color="auto" w:fill="FFFFFF"/>
      <w:spacing w:after="0" w:line="240" w:lineRule="auto"/>
      <w:ind w:firstLine="400"/>
      <w:jc w:val="both"/>
    </w:pPr>
    <w:rPr>
      <w:rFonts w:ascii="Times New Roman" w:eastAsia="Times New Roman" w:hAnsi="Times New Roman"/>
      <w:sz w:val="26"/>
      <w:szCs w:val="2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2644">
      <w:bodyDiv w:val="1"/>
      <w:marLeft w:val="0"/>
      <w:marRight w:val="0"/>
      <w:marTop w:val="0"/>
      <w:marBottom w:val="0"/>
      <w:divBdr>
        <w:top w:val="none" w:sz="0" w:space="0" w:color="auto"/>
        <w:left w:val="none" w:sz="0" w:space="0" w:color="auto"/>
        <w:bottom w:val="none" w:sz="0" w:space="0" w:color="auto"/>
        <w:right w:val="none" w:sz="0" w:space="0" w:color="auto"/>
      </w:divBdr>
    </w:div>
    <w:div w:id="113989758">
      <w:bodyDiv w:val="1"/>
      <w:marLeft w:val="0"/>
      <w:marRight w:val="0"/>
      <w:marTop w:val="0"/>
      <w:marBottom w:val="0"/>
      <w:divBdr>
        <w:top w:val="none" w:sz="0" w:space="0" w:color="auto"/>
        <w:left w:val="none" w:sz="0" w:space="0" w:color="auto"/>
        <w:bottom w:val="none" w:sz="0" w:space="0" w:color="auto"/>
        <w:right w:val="none" w:sz="0" w:space="0" w:color="auto"/>
      </w:divBdr>
    </w:div>
    <w:div w:id="332539482">
      <w:bodyDiv w:val="1"/>
      <w:marLeft w:val="0"/>
      <w:marRight w:val="0"/>
      <w:marTop w:val="0"/>
      <w:marBottom w:val="0"/>
      <w:divBdr>
        <w:top w:val="none" w:sz="0" w:space="0" w:color="auto"/>
        <w:left w:val="none" w:sz="0" w:space="0" w:color="auto"/>
        <w:bottom w:val="none" w:sz="0" w:space="0" w:color="auto"/>
        <w:right w:val="none" w:sz="0" w:space="0" w:color="auto"/>
      </w:divBdr>
    </w:div>
    <w:div w:id="434596807">
      <w:bodyDiv w:val="1"/>
      <w:marLeft w:val="0"/>
      <w:marRight w:val="0"/>
      <w:marTop w:val="0"/>
      <w:marBottom w:val="0"/>
      <w:divBdr>
        <w:top w:val="none" w:sz="0" w:space="0" w:color="auto"/>
        <w:left w:val="none" w:sz="0" w:space="0" w:color="auto"/>
        <w:bottom w:val="none" w:sz="0" w:space="0" w:color="auto"/>
        <w:right w:val="none" w:sz="0" w:space="0" w:color="auto"/>
      </w:divBdr>
    </w:div>
    <w:div w:id="437406238">
      <w:bodyDiv w:val="1"/>
      <w:marLeft w:val="0"/>
      <w:marRight w:val="0"/>
      <w:marTop w:val="0"/>
      <w:marBottom w:val="0"/>
      <w:divBdr>
        <w:top w:val="none" w:sz="0" w:space="0" w:color="auto"/>
        <w:left w:val="none" w:sz="0" w:space="0" w:color="auto"/>
        <w:bottom w:val="none" w:sz="0" w:space="0" w:color="auto"/>
        <w:right w:val="none" w:sz="0" w:space="0" w:color="auto"/>
      </w:divBdr>
    </w:div>
    <w:div w:id="464664756">
      <w:bodyDiv w:val="1"/>
      <w:marLeft w:val="0"/>
      <w:marRight w:val="0"/>
      <w:marTop w:val="0"/>
      <w:marBottom w:val="0"/>
      <w:divBdr>
        <w:top w:val="none" w:sz="0" w:space="0" w:color="auto"/>
        <w:left w:val="none" w:sz="0" w:space="0" w:color="auto"/>
        <w:bottom w:val="none" w:sz="0" w:space="0" w:color="auto"/>
        <w:right w:val="none" w:sz="0" w:space="0" w:color="auto"/>
      </w:divBdr>
    </w:div>
    <w:div w:id="654259133">
      <w:bodyDiv w:val="1"/>
      <w:marLeft w:val="0"/>
      <w:marRight w:val="0"/>
      <w:marTop w:val="0"/>
      <w:marBottom w:val="0"/>
      <w:divBdr>
        <w:top w:val="none" w:sz="0" w:space="0" w:color="auto"/>
        <w:left w:val="none" w:sz="0" w:space="0" w:color="auto"/>
        <w:bottom w:val="none" w:sz="0" w:space="0" w:color="auto"/>
        <w:right w:val="none" w:sz="0" w:space="0" w:color="auto"/>
      </w:divBdr>
    </w:div>
    <w:div w:id="726801602">
      <w:bodyDiv w:val="1"/>
      <w:marLeft w:val="0"/>
      <w:marRight w:val="0"/>
      <w:marTop w:val="0"/>
      <w:marBottom w:val="0"/>
      <w:divBdr>
        <w:top w:val="none" w:sz="0" w:space="0" w:color="auto"/>
        <w:left w:val="none" w:sz="0" w:space="0" w:color="auto"/>
        <w:bottom w:val="none" w:sz="0" w:space="0" w:color="auto"/>
        <w:right w:val="none" w:sz="0" w:space="0" w:color="auto"/>
      </w:divBdr>
    </w:div>
    <w:div w:id="810099930">
      <w:bodyDiv w:val="1"/>
      <w:marLeft w:val="0"/>
      <w:marRight w:val="0"/>
      <w:marTop w:val="0"/>
      <w:marBottom w:val="0"/>
      <w:divBdr>
        <w:top w:val="none" w:sz="0" w:space="0" w:color="auto"/>
        <w:left w:val="none" w:sz="0" w:space="0" w:color="auto"/>
        <w:bottom w:val="none" w:sz="0" w:space="0" w:color="auto"/>
        <w:right w:val="none" w:sz="0" w:space="0" w:color="auto"/>
      </w:divBdr>
    </w:div>
    <w:div w:id="951404845">
      <w:bodyDiv w:val="1"/>
      <w:marLeft w:val="0"/>
      <w:marRight w:val="0"/>
      <w:marTop w:val="0"/>
      <w:marBottom w:val="0"/>
      <w:divBdr>
        <w:top w:val="none" w:sz="0" w:space="0" w:color="auto"/>
        <w:left w:val="none" w:sz="0" w:space="0" w:color="auto"/>
        <w:bottom w:val="none" w:sz="0" w:space="0" w:color="auto"/>
        <w:right w:val="none" w:sz="0" w:space="0" w:color="auto"/>
      </w:divBdr>
    </w:div>
    <w:div w:id="993485633">
      <w:bodyDiv w:val="1"/>
      <w:marLeft w:val="0"/>
      <w:marRight w:val="0"/>
      <w:marTop w:val="0"/>
      <w:marBottom w:val="0"/>
      <w:divBdr>
        <w:top w:val="none" w:sz="0" w:space="0" w:color="auto"/>
        <w:left w:val="none" w:sz="0" w:space="0" w:color="auto"/>
        <w:bottom w:val="none" w:sz="0" w:space="0" w:color="auto"/>
        <w:right w:val="none" w:sz="0" w:space="0" w:color="auto"/>
      </w:divBdr>
    </w:div>
    <w:div w:id="1243300218">
      <w:bodyDiv w:val="1"/>
      <w:marLeft w:val="0"/>
      <w:marRight w:val="0"/>
      <w:marTop w:val="0"/>
      <w:marBottom w:val="0"/>
      <w:divBdr>
        <w:top w:val="none" w:sz="0" w:space="0" w:color="auto"/>
        <w:left w:val="none" w:sz="0" w:space="0" w:color="auto"/>
        <w:bottom w:val="none" w:sz="0" w:space="0" w:color="auto"/>
        <w:right w:val="none" w:sz="0" w:space="0" w:color="auto"/>
      </w:divBdr>
    </w:div>
    <w:div w:id="1342123983">
      <w:bodyDiv w:val="1"/>
      <w:marLeft w:val="0"/>
      <w:marRight w:val="0"/>
      <w:marTop w:val="0"/>
      <w:marBottom w:val="0"/>
      <w:divBdr>
        <w:top w:val="none" w:sz="0" w:space="0" w:color="auto"/>
        <w:left w:val="none" w:sz="0" w:space="0" w:color="auto"/>
        <w:bottom w:val="none" w:sz="0" w:space="0" w:color="auto"/>
        <w:right w:val="none" w:sz="0" w:space="0" w:color="auto"/>
      </w:divBdr>
    </w:div>
    <w:div w:id="1855413410">
      <w:bodyDiv w:val="1"/>
      <w:marLeft w:val="0"/>
      <w:marRight w:val="0"/>
      <w:marTop w:val="0"/>
      <w:marBottom w:val="0"/>
      <w:divBdr>
        <w:top w:val="none" w:sz="0" w:space="0" w:color="auto"/>
        <w:left w:val="none" w:sz="0" w:space="0" w:color="auto"/>
        <w:bottom w:val="none" w:sz="0" w:space="0" w:color="auto"/>
        <w:right w:val="none" w:sz="0" w:space="0" w:color="auto"/>
      </w:divBdr>
    </w:div>
    <w:div w:id="1871337990">
      <w:bodyDiv w:val="1"/>
      <w:marLeft w:val="0"/>
      <w:marRight w:val="0"/>
      <w:marTop w:val="0"/>
      <w:marBottom w:val="0"/>
      <w:divBdr>
        <w:top w:val="none" w:sz="0" w:space="0" w:color="auto"/>
        <w:left w:val="none" w:sz="0" w:space="0" w:color="auto"/>
        <w:bottom w:val="none" w:sz="0" w:space="0" w:color="auto"/>
        <w:right w:val="none" w:sz="0" w:space="0" w:color="auto"/>
      </w:divBdr>
    </w:div>
    <w:div w:id="1871914499">
      <w:bodyDiv w:val="1"/>
      <w:marLeft w:val="0"/>
      <w:marRight w:val="0"/>
      <w:marTop w:val="0"/>
      <w:marBottom w:val="0"/>
      <w:divBdr>
        <w:top w:val="none" w:sz="0" w:space="0" w:color="auto"/>
        <w:left w:val="none" w:sz="0" w:space="0" w:color="auto"/>
        <w:bottom w:val="none" w:sz="0" w:space="0" w:color="auto"/>
        <w:right w:val="none" w:sz="0" w:space="0" w:color="auto"/>
      </w:divBdr>
    </w:div>
    <w:div w:id="1977221251">
      <w:bodyDiv w:val="1"/>
      <w:marLeft w:val="0"/>
      <w:marRight w:val="0"/>
      <w:marTop w:val="0"/>
      <w:marBottom w:val="0"/>
      <w:divBdr>
        <w:top w:val="none" w:sz="0" w:space="0" w:color="auto"/>
        <w:left w:val="none" w:sz="0" w:space="0" w:color="auto"/>
        <w:bottom w:val="none" w:sz="0" w:space="0" w:color="auto"/>
        <w:right w:val="none" w:sz="0" w:space="0" w:color="auto"/>
      </w:divBdr>
    </w:div>
    <w:div w:id="2002350323">
      <w:bodyDiv w:val="1"/>
      <w:marLeft w:val="0"/>
      <w:marRight w:val="0"/>
      <w:marTop w:val="0"/>
      <w:marBottom w:val="0"/>
      <w:divBdr>
        <w:top w:val="none" w:sz="0" w:space="0" w:color="auto"/>
        <w:left w:val="none" w:sz="0" w:space="0" w:color="auto"/>
        <w:bottom w:val="none" w:sz="0" w:space="0" w:color="auto"/>
        <w:right w:val="none" w:sz="0" w:space="0" w:color="auto"/>
      </w:divBdr>
    </w:div>
    <w:div w:id="2022271221">
      <w:bodyDiv w:val="1"/>
      <w:marLeft w:val="0"/>
      <w:marRight w:val="0"/>
      <w:marTop w:val="0"/>
      <w:marBottom w:val="0"/>
      <w:divBdr>
        <w:top w:val="none" w:sz="0" w:space="0" w:color="auto"/>
        <w:left w:val="none" w:sz="0" w:space="0" w:color="auto"/>
        <w:bottom w:val="none" w:sz="0" w:space="0" w:color="auto"/>
        <w:right w:val="none" w:sz="0" w:space="0" w:color="auto"/>
      </w:divBdr>
    </w:div>
    <w:div w:id="211112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chart" Target="charts/chart42.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theme" Target="theme/theme1.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footer" Target="footer3.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39.xlsx"/><Relationship Id="rId1" Type="http://schemas.openxmlformats.org/officeDocument/2006/relationships/themeOverride" Target="../theme/themeOverride3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40.xlsx"/><Relationship Id="rId1" Type="http://schemas.openxmlformats.org/officeDocument/2006/relationships/themeOverride" Target="../theme/themeOverride34.xml"/></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_Worksheet41.xlsx"/><Relationship Id="rId1" Type="http://schemas.openxmlformats.org/officeDocument/2006/relationships/themeOverride" Target="../theme/themeOverride35.xml"/></Relationships>
</file>

<file path=word/charts/_rels/chart42.xml.rels><?xml version="1.0" encoding="UTF-8" standalone="yes"?>
<Relationships xmlns="http://schemas.openxmlformats.org/package/2006/relationships"><Relationship Id="rId2" Type="http://schemas.openxmlformats.org/officeDocument/2006/relationships/package" Target="../embeddings/Microsoft_Excel_Worksheet42.xlsx"/><Relationship Id="rId1" Type="http://schemas.openxmlformats.org/officeDocument/2006/relationships/themeOverride" Target="../theme/themeOverride36.xml"/></Relationships>
</file>

<file path=word/charts/_rels/chart43.xml.rels><?xml version="1.0" encoding="UTF-8" standalone="yes"?>
<Relationships xmlns="http://schemas.openxmlformats.org/package/2006/relationships"><Relationship Id="rId2" Type="http://schemas.openxmlformats.org/officeDocument/2006/relationships/package" Target="../embeddings/Microsoft_Excel_Worksheet43.xlsx"/><Relationship Id="rId1" Type="http://schemas.openxmlformats.org/officeDocument/2006/relationships/themeOverride" Target="../theme/themeOverride37.xml"/></Relationships>
</file>

<file path=word/charts/_rels/chart44.xml.rels><?xml version="1.0" encoding="UTF-8" standalone="yes"?>
<Relationships xmlns="http://schemas.openxmlformats.org/package/2006/relationships"><Relationship Id="rId2" Type="http://schemas.openxmlformats.org/officeDocument/2006/relationships/package" Target="../embeddings/Microsoft_Excel_Worksheet44.xlsx"/><Relationship Id="rId1" Type="http://schemas.openxmlformats.org/officeDocument/2006/relationships/themeOverride" Target="../theme/themeOverride38.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разпределение на следствени преписки по съставни прокуратури</c:v>
                </c:pt>
              </c:strCache>
            </c:strRef>
          </c:tx>
          <c:dPt>
            <c:idx val="0"/>
            <c:bubble3D val="0"/>
          </c:dPt>
          <c:dPt>
            <c:idx val="1"/>
            <c:bubble3D val="0"/>
          </c:dPt>
          <c:dPt>
            <c:idx val="2"/>
            <c:bubble3D val="0"/>
          </c:dPt>
          <c:dPt>
            <c:idx val="3"/>
            <c:bubble3D val="0"/>
          </c:dPt>
          <c:dLbls>
            <c:dLbl>
              <c:idx val="0"/>
              <c:tx>
                <c:rich>
                  <a:bodyPr/>
                  <a:lstStyle/>
                  <a:p>
                    <a:pPr>
                      <a:defRPr/>
                    </a:pPr>
                    <a:r>
                      <a:rPr lang="en-US"/>
                      <a:t>423
14,5%</a:t>
                    </a:r>
                  </a:p>
                </c:rich>
              </c:tx>
              <c:spPr>
                <a:noFill/>
                <a:ln w="25400">
                  <a:noFill/>
                </a:ln>
              </c:spPr>
              <c:dLblPos val="bestFit"/>
              <c:showLegendKey val="0"/>
              <c:showVal val="0"/>
              <c:showCatName val="0"/>
              <c:showSerName val="0"/>
              <c:showPercent val="0"/>
              <c:showBubbleSize val="0"/>
            </c:dLbl>
            <c:dLbl>
              <c:idx val="1"/>
              <c:tx>
                <c:rich>
                  <a:bodyPr/>
                  <a:lstStyle/>
                  <a:p>
                    <a:pPr>
                      <a:defRPr/>
                    </a:pPr>
                    <a:r>
                      <a:rPr lang="en-US"/>
                      <a:t>1327
45,48%</a:t>
                    </a:r>
                  </a:p>
                </c:rich>
              </c:tx>
              <c:spPr>
                <a:noFill/>
                <a:ln w="25400">
                  <a:noFill/>
                </a:ln>
              </c:spPr>
              <c:dLblPos val="bestFit"/>
              <c:showLegendKey val="0"/>
              <c:showVal val="0"/>
              <c:showCatName val="0"/>
              <c:showSerName val="0"/>
              <c:showPercent val="0"/>
              <c:showBubbleSize val="0"/>
            </c:dLbl>
            <c:dLbl>
              <c:idx val="2"/>
              <c:tx>
                <c:rich>
                  <a:bodyPr/>
                  <a:lstStyle/>
                  <a:p>
                    <a:pPr>
                      <a:defRPr/>
                    </a:pPr>
                    <a:r>
                      <a:rPr lang="en-US"/>
                      <a:t>654
24,4%</a:t>
                    </a:r>
                  </a:p>
                </c:rich>
              </c:tx>
              <c:spPr>
                <a:noFill/>
                <a:ln w="25400">
                  <a:noFill/>
                </a:ln>
              </c:spPr>
              <c:dLblPos val="bestFit"/>
              <c:showLegendKey val="0"/>
              <c:showVal val="0"/>
              <c:showCatName val="0"/>
              <c:showSerName val="0"/>
              <c:showPercent val="0"/>
              <c:showBubbleSize val="0"/>
            </c:dLbl>
            <c:dLbl>
              <c:idx val="3"/>
              <c:tx>
                <c:rich>
                  <a:bodyPr/>
                  <a:lstStyle/>
                  <a:p>
                    <a:pPr>
                      <a:defRPr/>
                    </a:pPr>
                    <a:r>
                      <a:rPr lang="en-US"/>
                      <a:t>277
15,62%</a:t>
                    </a:r>
                  </a:p>
                </c:rich>
              </c:tx>
              <c:spPr>
                <a:noFill/>
                <a:ln w="25400">
                  <a:noFill/>
                </a:ln>
              </c:spPr>
              <c:dLblPos val="bestFit"/>
              <c:showLegendKey val="0"/>
              <c:showVal val="0"/>
              <c:showCatName val="0"/>
              <c:showSerName val="0"/>
              <c:showPercent val="0"/>
              <c:showBubbleSize val="0"/>
            </c:dLbl>
            <c:spPr>
              <a:noFill/>
              <a:ln w="25400">
                <a:noFill/>
              </a:ln>
            </c:spPr>
            <c:dLblPos val="ctr"/>
            <c:showLegendKey val="0"/>
            <c:showVal val="1"/>
            <c:showCatName val="0"/>
            <c:showSerName val="0"/>
            <c:showPercent val="1"/>
            <c:showBubbleSize val="0"/>
            <c:separator>
</c:separator>
            <c:showLeaderLines val="0"/>
          </c:dLbls>
          <c:cat>
            <c:strRef>
              <c:f>Лист1!$A$2:$A$5</c:f>
              <c:strCache>
                <c:ptCount val="4"/>
                <c:pt idx="0">
                  <c:v>ОП Разград</c:v>
                </c:pt>
                <c:pt idx="1">
                  <c:v>РП Разград</c:v>
                </c:pt>
                <c:pt idx="2">
                  <c:v>РП Исперих</c:v>
                </c:pt>
                <c:pt idx="3">
                  <c:v>РП Кубрат</c:v>
                </c:pt>
              </c:strCache>
            </c:strRef>
          </c:cat>
          <c:val>
            <c:numRef>
              <c:f>Лист1!$B$2:$B$5</c:f>
              <c:numCache>
                <c:formatCode>0</c:formatCode>
                <c:ptCount val="4"/>
                <c:pt idx="0">
                  <c:v>423</c:v>
                </c:pt>
                <c:pt idx="1">
                  <c:v>1327</c:v>
                </c:pt>
                <c:pt idx="2">
                  <c:v>712</c:v>
                </c:pt>
                <c:pt idx="3">
                  <c:v>456</c:v>
                </c:pt>
              </c:numCache>
            </c:numRef>
          </c:val>
        </c:ser>
        <c:ser>
          <c:idx val="1"/>
          <c:order val="1"/>
          <c:tx>
            <c:strRef>
              <c:f>Лист1!$C$1</c:f>
              <c:strCache>
                <c:ptCount val="1"/>
                <c:pt idx="0">
                  <c:v>Процентно съотношение от общия брой преписки</c:v>
                </c:pt>
              </c:strCache>
            </c:strRef>
          </c:tx>
          <c:dPt>
            <c:idx val="0"/>
            <c:bubble3D val="0"/>
          </c:dPt>
          <c:dPt>
            <c:idx val="1"/>
            <c:bubble3D val="0"/>
          </c:dPt>
          <c:dPt>
            <c:idx val="2"/>
            <c:bubble3D val="0"/>
          </c:dPt>
          <c:dPt>
            <c:idx val="3"/>
            <c:bubble3D val="0"/>
          </c:dPt>
          <c:dLbls>
            <c:spPr>
              <a:noFill/>
              <a:ln w="25400">
                <a:noFill/>
              </a:ln>
            </c:spPr>
            <c:dLblPos val="ctr"/>
            <c:showLegendKey val="0"/>
            <c:showVal val="1"/>
            <c:showCatName val="0"/>
            <c:showSerName val="0"/>
            <c:showPercent val="0"/>
            <c:showBubbleSize val="0"/>
            <c:showLeaderLines val="0"/>
          </c:dLbls>
          <c:cat>
            <c:strRef>
              <c:f>Лист1!$A$2:$A$5</c:f>
              <c:strCache>
                <c:ptCount val="4"/>
                <c:pt idx="0">
                  <c:v>ОП Разград</c:v>
                </c:pt>
                <c:pt idx="1">
                  <c:v>РП Разград</c:v>
                </c:pt>
                <c:pt idx="2">
                  <c:v>РП Исперих</c:v>
                </c:pt>
                <c:pt idx="3">
                  <c:v>РП Кубрат</c:v>
                </c:pt>
              </c:strCache>
            </c:strRef>
          </c:cat>
          <c:val>
            <c:numRef>
              <c:f>Лист1!$C$2:$C$5</c:f>
              <c:numCache>
                <c:formatCode>0.00%</c:formatCode>
                <c:ptCount val="4"/>
                <c:pt idx="0">
                  <c:v>0.14499999999999999</c:v>
                </c:pt>
                <c:pt idx="1">
                  <c:v>0.45479999999999998</c:v>
                </c:pt>
                <c:pt idx="2">
                  <c:v>0.24399999999999999</c:v>
                </c:pt>
                <c:pt idx="3">
                  <c:v>0.15620000000000001</c:v>
                </c:pt>
              </c:numCache>
            </c:numRef>
          </c:val>
        </c:ser>
        <c:dLbls>
          <c:showLegendKey val="0"/>
          <c:showVal val="0"/>
          <c:showCatName val="0"/>
          <c:showSerName val="0"/>
          <c:showPercent val="0"/>
          <c:showBubbleSize val="0"/>
          <c:showLeaderLines val="0"/>
        </c:dLbls>
        <c:firstSliceAng val="0"/>
      </c:pieChart>
      <c:spPr>
        <a:noFill/>
        <a:ln w="25400">
          <a:noFill/>
        </a:ln>
      </c:spPr>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новообразувани ДП за престъпления против правата на гражданите</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13</c:v>
                </c:pt>
                <c:pt idx="1">
                  <c:v>8</c:v>
                </c:pt>
                <c:pt idx="2">
                  <c:v>6</c:v>
                </c:pt>
              </c:numCache>
            </c:numRef>
          </c:val>
        </c:ser>
        <c:ser>
          <c:idx val="1"/>
          <c:order val="1"/>
          <c:tx>
            <c:strRef>
              <c:f>Лист1!$C$1</c:f>
              <c:strCache>
                <c:ptCount val="1"/>
                <c:pt idx="0">
                  <c:v>дял в % от всички новообразувани ДП</c:v>
                </c:pt>
              </c:strCache>
            </c:strRef>
          </c:tx>
          <c:spPr>
            <a:ln w="28574">
              <a:noFill/>
            </a:ln>
          </c:spPr>
          <c:invertIfNegative val="0"/>
          <c:dLbls>
            <c:dLbl>
              <c:idx val="0"/>
              <c:layout>
                <c:manualLayout>
                  <c:x val="2.6229508196721311E-2"/>
                  <c:y val="-7.8895463510848057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1.3114754098360656E-2"/>
                  <c:y val="-7.8895463510848127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6.5573770491803279E-3"/>
                  <c:y val="-3.9447731755424133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1.03E-2</c:v>
                </c:pt>
                <c:pt idx="1">
                  <c:v>6.1999999999999998E-3</c:v>
                </c:pt>
                <c:pt idx="2">
                  <c:v>4.0000000000000001E-3</c:v>
                </c:pt>
              </c:numCache>
            </c:numRef>
          </c:val>
        </c:ser>
        <c:dLbls>
          <c:showLegendKey val="0"/>
          <c:showVal val="0"/>
          <c:showCatName val="0"/>
          <c:showSerName val="0"/>
          <c:showPercent val="0"/>
          <c:showBubbleSize val="0"/>
        </c:dLbls>
        <c:gapWidth val="150"/>
        <c:shape val="box"/>
        <c:axId val="220587520"/>
        <c:axId val="221023040"/>
        <c:axId val="0"/>
      </c:bar3DChart>
      <c:catAx>
        <c:axId val="220587520"/>
        <c:scaling>
          <c:orientation val="minMax"/>
        </c:scaling>
        <c:delete val="0"/>
        <c:axPos val="b"/>
        <c:numFmt formatCode="General" sourceLinked="0"/>
        <c:majorTickMark val="out"/>
        <c:minorTickMark val="none"/>
        <c:tickLblPos val="nextTo"/>
        <c:crossAx val="221023040"/>
        <c:crosses val="autoZero"/>
        <c:auto val="1"/>
        <c:lblAlgn val="ctr"/>
        <c:lblOffset val="100"/>
        <c:noMultiLvlLbl val="0"/>
      </c:catAx>
      <c:valAx>
        <c:axId val="221023040"/>
        <c:scaling>
          <c:orientation val="minMax"/>
        </c:scaling>
        <c:delete val="0"/>
        <c:axPos val="l"/>
        <c:numFmt formatCode="General" sourceLinked="1"/>
        <c:majorTickMark val="out"/>
        <c:minorTickMark val="none"/>
        <c:tickLblPos val="nextTo"/>
        <c:crossAx val="220587520"/>
        <c:crosses val="autoZero"/>
        <c:crossBetween val="between"/>
      </c:valAx>
      <c:spPr>
        <a:noFill/>
        <a:ln w="25399">
          <a:noFill/>
        </a:ln>
      </c:spPr>
    </c:plotArea>
    <c:legend>
      <c:legendPos val="r"/>
      <c:layout>
        <c:manualLayout>
          <c:xMode val="edge"/>
          <c:yMode val="edge"/>
          <c:x val="0.66010928961748638"/>
          <c:y val="6.4112193076457158E-2"/>
          <c:w val="0.33989071038251362"/>
          <c:h val="0.59564087033499513"/>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пострадали лица по новообразувани ДП </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537</c:v>
                </c:pt>
                <c:pt idx="1">
                  <c:v>616</c:v>
                </c:pt>
                <c:pt idx="2">
                  <c:v>534</c:v>
                </c:pt>
              </c:numCache>
            </c:numRef>
          </c:val>
        </c:ser>
        <c:dLbls>
          <c:showLegendKey val="0"/>
          <c:showVal val="0"/>
          <c:showCatName val="0"/>
          <c:showSerName val="0"/>
          <c:showPercent val="0"/>
          <c:showBubbleSize val="0"/>
        </c:dLbls>
        <c:gapWidth val="150"/>
        <c:shape val="box"/>
        <c:axId val="220960256"/>
        <c:axId val="221021888"/>
        <c:axId val="0"/>
      </c:bar3DChart>
      <c:catAx>
        <c:axId val="220960256"/>
        <c:scaling>
          <c:orientation val="minMax"/>
        </c:scaling>
        <c:delete val="0"/>
        <c:axPos val="b"/>
        <c:numFmt formatCode="General" sourceLinked="0"/>
        <c:majorTickMark val="out"/>
        <c:minorTickMark val="none"/>
        <c:tickLblPos val="nextTo"/>
        <c:crossAx val="221021888"/>
        <c:crosses val="autoZero"/>
        <c:auto val="1"/>
        <c:lblAlgn val="ctr"/>
        <c:lblOffset val="100"/>
        <c:noMultiLvlLbl val="0"/>
      </c:catAx>
      <c:valAx>
        <c:axId val="221021888"/>
        <c:scaling>
          <c:orientation val="minMax"/>
        </c:scaling>
        <c:delete val="0"/>
        <c:axPos val="l"/>
        <c:numFmt formatCode="General" sourceLinked="1"/>
        <c:majorTickMark val="out"/>
        <c:minorTickMark val="none"/>
        <c:tickLblPos val="nextTo"/>
        <c:crossAx val="220960256"/>
        <c:crosses val="autoZero"/>
        <c:crossBetween val="between"/>
      </c:valAx>
      <c:spPr>
        <a:noFill/>
        <a:ln w="25400">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новообразувани бързи производства</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343</c:v>
                </c:pt>
                <c:pt idx="1">
                  <c:v>378</c:v>
                </c:pt>
                <c:pt idx="2">
                  <c:v>301</c:v>
                </c:pt>
              </c:numCache>
            </c:numRef>
          </c:val>
        </c:ser>
        <c:ser>
          <c:idx val="1"/>
          <c:order val="1"/>
          <c:tx>
            <c:strRef>
              <c:f>Лист1!$C$1</c:f>
              <c:strCache>
                <c:ptCount val="1"/>
                <c:pt idx="0">
                  <c:v>дял в % от всички новообразувани ДП</c:v>
                </c:pt>
              </c:strCache>
            </c:strRef>
          </c:tx>
          <c:spPr>
            <a:ln w="28575">
              <a:noFill/>
            </a:ln>
          </c:spPr>
          <c:invertIfNegative val="0"/>
          <c:dLbls>
            <c:dLbl>
              <c:idx val="0"/>
              <c:layout>
                <c:manualLayout>
                  <c:x val="2.6490066225165563E-2"/>
                  <c:y val="-7.441860465116279E-2"/>
                </c:manualLayout>
              </c:layout>
              <c:spPr>
                <a:noFill/>
                <a:ln w="25400">
                  <a:noFill/>
                </a:ln>
              </c:spPr>
              <c:txPr>
                <a:bodyPr/>
                <a:lstStyle/>
                <a:p>
                  <a:pPr>
                    <a:defRPr/>
                  </a:pPr>
                  <a:endParaRPr lang="bg-BG"/>
                </a:p>
              </c:txPr>
              <c:showLegendKey val="0"/>
              <c:showVal val="1"/>
              <c:showCatName val="0"/>
              <c:showSerName val="0"/>
              <c:showPercent val="0"/>
              <c:showBubbleSize val="0"/>
            </c:dLbl>
            <c:dLbl>
              <c:idx val="1"/>
              <c:layout>
                <c:manualLayout>
                  <c:x val="1.7660044150110375E-2"/>
                  <c:y val="-5.5813953488372092E-2"/>
                </c:manualLayout>
              </c:layout>
              <c:spPr>
                <a:noFill/>
                <a:ln w="25400">
                  <a:noFill/>
                </a:ln>
              </c:spPr>
              <c:txPr>
                <a:bodyPr/>
                <a:lstStyle/>
                <a:p>
                  <a:pPr>
                    <a:defRPr/>
                  </a:pPr>
                  <a:endParaRPr lang="bg-BG"/>
                </a:p>
              </c:txPr>
              <c:showLegendKey val="0"/>
              <c:showVal val="1"/>
              <c:showCatName val="0"/>
              <c:showSerName val="0"/>
              <c:showPercent val="0"/>
              <c:showBubbleSize val="0"/>
            </c:dLbl>
            <c:dLbl>
              <c:idx val="2"/>
              <c:layout>
                <c:manualLayout>
                  <c:x val="1.5452538631346579E-2"/>
                  <c:y val="-4.9612403100775193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0.27200000000000002</c:v>
                </c:pt>
                <c:pt idx="1">
                  <c:v>0.29399999999999998</c:v>
                </c:pt>
                <c:pt idx="2">
                  <c:v>0.222</c:v>
                </c:pt>
              </c:numCache>
            </c:numRef>
          </c:val>
        </c:ser>
        <c:dLbls>
          <c:showLegendKey val="0"/>
          <c:showVal val="0"/>
          <c:showCatName val="0"/>
          <c:showSerName val="0"/>
          <c:showPercent val="0"/>
          <c:showBubbleSize val="0"/>
        </c:dLbls>
        <c:gapWidth val="150"/>
        <c:shape val="box"/>
        <c:axId val="220588032"/>
        <c:axId val="221024192"/>
        <c:axId val="0"/>
      </c:bar3DChart>
      <c:catAx>
        <c:axId val="220588032"/>
        <c:scaling>
          <c:orientation val="minMax"/>
        </c:scaling>
        <c:delete val="0"/>
        <c:axPos val="b"/>
        <c:numFmt formatCode="General" sourceLinked="0"/>
        <c:majorTickMark val="out"/>
        <c:minorTickMark val="none"/>
        <c:tickLblPos val="nextTo"/>
        <c:crossAx val="221024192"/>
        <c:crosses val="autoZero"/>
        <c:auto val="1"/>
        <c:lblAlgn val="ctr"/>
        <c:lblOffset val="100"/>
        <c:noMultiLvlLbl val="0"/>
      </c:catAx>
      <c:valAx>
        <c:axId val="221024192"/>
        <c:scaling>
          <c:orientation val="minMax"/>
        </c:scaling>
        <c:delete val="0"/>
        <c:axPos val="l"/>
        <c:numFmt formatCode="General" sourceLinked="1"/>
        <c:majorTickMark val="out"/>
        <c:minorTickMark val="none"/>
        <c:tickLblPos val="nextTo"/>
        <c:crossAx val="220588032"/>
        <c:crosses val="autoZero"/>
        <c:crossBetween val="between"/>
      </c:valAx>
      <c:spPr>
        <a:noFill/>
        <a:ln w="25400">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общо наблюдавани ДП за периода</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1625</c:v>
                </c:pt>
                <c:pt idx="1">
                  <c:v>1545</c:v>
                </c:pt>
                <c:pt idx="2">
                  <c:v>1585</c:v>
                </c:pt>
              </c:numCache>
            </c:numRef>
          </c:val>
        </c:ser>
        <c:ser>
          <c:idx val="1"/>
          <c:order val="1"/>
          <c:tx>
            <c:strRef>
              <c:f>Лист1!$C$1</c:f>
              <c:strCache>
                <c:ptCount val="1"/>
                <c:pt idx="0">
                  <c:v>новообразувани ДП за периода</c:v>
                </c:pt>
              </c:strCache>
            </c:strRef>
          </c:tx>
          <c:spPr>
            <a:ln w="28575">
              <a:noFill/>
            </a:ln>
          </c:spPr>
          <c:invertIfNegative val="0"/>
          <c:dLbls>
            <c:dLbl>
              <c:idx val="0"/>
              <c:layout>
                <c:manualLayout>
                  <c:x val="2.416254805052169E-2"/>
                  <c:y val="-2.2598870056497175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General</c:formatCode>
                <c:ptCount val="3"/>
                <c:pt idx="0">
                  <c:v>916</c:v>
                </c:pt>
                <c:pt idx="1">
                  <c:v>906</c:v>
                </c:pt>
                <c:pt idx="2">
                  <c:v>993</c:v>
                </c:pt>
              </c:numCache>
            </c:numRef>
          </c:val>
        </c:ser>
        <c:ser>
          <c:idx val="2"/>
          <c:order val="2"/>
          <c:tx>
            <c:strRef>
              <c:f>Лист1!$D$1</c:f>
              <c:strCache>
                <c:ptCount val="1"/>
                <c:pt idx="0">
                  <c:v>дял в % на новообразуваните спрямо общия брой налюдавани ДП </c:v>
                </c:pt>
              </c:strCache>
            </c:strRef>
          </c:tx>
          <c:invertIfNegative val="0"/>
          <c:dLbls>
            <c:dLbl>
              <c:idx val="0"/>
              <c:layout>
                <c:manualLayout>
                  <c:x val="2.6580705418412485E-2"/>
                  <c:y val="-5.4237288135593219E-2"/>
                </c:manualLayout>
              </c:layout>
              <c:spPr>
                <a:noFill/>
                <a:ln w="25400">
                  <a:noFill/>
                </a:ln>
              </c:spPr>
              <c:txPr>
                <a:bodyPr/>
                <a:lstStyle/>
                <a:p>
                  <a:pPr>
                    <a:defRPr/>
                  </a:pPr>
                  <a:endParaRPr lang="bg-BG"/>
                </a:p>
              </c:txPr>
              <c:showLegendKey val="0"/>
              <c:showVal val="1"/>
              <c:showCatName val="0"/>
              <c:showSerName val="0"/>
              <c:showPercent val="0"/>
              <c:showBubbleSize val="0"/>
            </c:dLbl>
            <c:dLbl>
              <c:idx val="1"/>
              <c:layout>
                <c:manualLayout>
                  <c:x val="3.0752333882482153E-2"/>
                  <c:y val="-4.0677966101694912E-2"/>
                </c:manualLayout>
              </c:layout>
              <c:spPr>
                <a:noFill/>
                <a:ln w="25400">
                  <a:noFill/>
                </a:ln>
              </c:spPr>
              <c:txPr>
                <a:bodyPr/>
                <a:lstStyle/>
                <a:p>
                  <a:pPr>
                    <a:defRPr/>
                  </a:pPr>
                  <a:endParaRPr lang="bg-BG"/>
                </a:p>
              </c:txPr>
              <c:showLegendKey val="0"/>
              <c:showVal val="1"/>
              <c:showCatName val="0"/>
              <c:showSerName val="0"/>
              <c:showPercent val="0"/>
              <c:showBubbleSize val="0"/>
            </c:dLbl>
            <c:dLbl>
              <c:idx val="2"/>
              <c:layout>
                <c:manualLayout>
                  <c:x val="3.2948929159802388E-2"/>
                  <c:y val="-4.9717514124293788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Лист1!$D$2:$D$4</c:f>
              <c:numCache>
                <c:formatCode>0.00%</c:formatCode>
                <c:ptCount val="3"/>
                <c:pt idx="0">
                  <c:v>0.56399999999999995</c:v>
                </c:pt>
                <c:pt idx="1">
                  <c:v>0.58599999999999997</c:v>
                </c:pt>
                <c:pt idx="2">
                  <c:v>0.626</c:v>
                </c:pt>
              </c:numCache>
            </c:numRef>
          </c:val>
        </c:ser>
        <c:dLbls>
          <c:showLegendKey val="0"/>
          <c:showVal val="0"/>
          <c:showCatName val="0"/>
          <c:showSerName val="0"/>
          <c:showPercent val="0"/>
          <c:showBubbleSize val="0"/>
        </c:dLbls>
        <c:gapWidth val="150"/>
        <c:shape val="box"/>
        <c:axId val="220589056"/>
        <c:axId val="141058048"/>
        <c:axId val="0"/>
      </c:bar3DChart>
      <c:catAx>
        <c:axId val="220589056"/>
        <c:scaling>
          <c:orientation val="minMax"/>
        </c:scaling>
        <c:delete val="0"/>
        <c:axPos val="b"/>
        <c:numFmt formatCode="General" sourceLinked="0"/>
        <c:majorTickMark val="out"/>
        <c:minorTickMark val="none"/>
        <c:tickLblPos val="nextTo"/>
        <c:crossAx val="141058048"/>
        <c:crosses val="autoZero"/>
        <c:auto val="1"/>
        <c:lblAlgn val="ctr"/>
        <c:lblOffset val="100"/>
        <c:noMultiLvlLbl val="0"/>
      </c:catAx>
      <c:valAx>
        <c:axId val="141058048"/>
        <c:scaling>
          <c:orientation val="minMax"/>
        </c:scaling>
        <c:delete val="0"/>
        <c:axPos val="l"/>
        <c:numFmt formatCode="General" sourceLinked="1"/>
        <c:majorTickMark val="out"/>
        <c:minorTickMark val="none"/>
        <c:tickLblPos val="nextTo"/>
        <c:crossAx val="220589056"/>
        <c:crosses val="autoZero"/>
        <c:crossBetween val="between"/>
      </c:valAx>
      <c:spPr>
        <a:noFill/>
        <a:ln w="25400">
          <a:noFill/>
        </a:ln>
      </c:spPr>
    </c:plotArea>
    <c:legend>
      <c:legendPos val="r"/>
      <c:layout>
        <c:manualLayout>
          <c:xMode val="edge"/>
          <c:yMode val="edge"/>
          <c:x val="0.65219214155067518"/>
          <c:y val="5.5375886524822691E-2"/>
          <c:w val="0.33462828678540391"/>
          <c:h val="0.48246875523538285"/>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7.1062533267257671E-2"/>
          <c:y val="3.1209477193729157E-2"/>
          <c:w val="0.61171264431106942"/>
          <c:h val="0.84227926192005476"/>
        </c:manualLayout>
      </c:layout>
      <c:bar3DChart>
        <c:barDir val="col"/>
        <c:grouping val="clustered"/>
        <c:varyColors val="0"/>
        <c:ser>
          <c:idx val="0"/>
          <c:order val="0"/>
          <c:tx>
            <c:strRef>
              <c:f>Лист1!$B$1</c:f>
              <c:strCache>
                <c:ptCount val="1"/>
                <c:pt idx="0">
                  <c:v>общо наблюдавани ДП в РОП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178</c:v>
                </c:pt>
                <c:pt idx="1">
                  <c:v>198</c:v>
                </c:pt>
                <c:pt idx="2">
                  <c:v>201</c:v>
                </c:pt>
              </c:numCache>
            </c:numRef>
          </c:val>
        </c:ser>
        <c:ser>
          <c:idx val="1"/>
          <c:order val="1"/>
          <c:tx>
            <c:strRef>
              <c:f>Лист1!$C$1</c:f>
              <c:strCache>
                <c:ptCount val="1"/>
                <c:pt idx="0">
                  <c:v>новообразувани ДП в РОП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General</c:formatCode>
                <c:ptCount val="3"/>
                <c:pt idx="0">
                  <c:v>62</c:v>
                </c:pt>
                <c:pt idx="1">
                  <c:v>84</c:v>
                </c:pt>
                <c:pt idx="2">
                  <c:v>91</c:v>
                </c:pt>
              </c:numCache>
            </c:numRef>
          </c:val>
        </c:ser>
        <c:ser>
          <c:idx val="2"/>
          <c:order val="2"/>
          <c:tx>
            <c:strRef>
              <c:f>Лист1!$D$1</c:f>
              <c:strCache>
                <c:ptCount val="1"/>
                <c:pt idx="0">
                  <c:v>дял в % на новообразуваните спрямо общия брой налюдавани в РОП ДП </c:v>
                </c:pt>
              </c:strCache>
            </c:strRef>
          </c:tx>
          <c:invertIfNegative val="0"/>
          <c:dLbls>
            <c:dLbl>
              <c:idx val="0"/>
              <c:layout>
                <c:manualLayout>
                  <c:x val="2.880625070381054E-2"/>
                  <c:y val="-4.2496679946879147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2.4202420242024202E-2"/>
                  <c:y val="-4.2496679946879244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2.200220022002192E-2"/>
                  <c:y val="-4.7808764940239043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Лист1!$D$2:$D$4</c:f>
              <c:numCache>
                <c:formatCode>0.00%</c:formatCode>
                <c:ptCount val="3"/>
                <c:pt idx="0">
                  <c:v>0.34799999999999998</c:v>
                </c:pt>
                <c:pt idx="1">
                  <c:v>0.42399999999999999</c:v>
                </c:pt>
                <c:pt idx="2">
                  <c:v>0.45300000000000001</c:v>
                </c:pt>
              </c:numCache>
            </c:numRef>
          </c:val>
        </c:ser>
        <c:dLbls>
          <c:showLegendKey val="0"/>
          <c:showVal val="0"/>
          <c:showCatName val="0"/>
          <c:showSerName val="0"/>
          <c:showPercent val="0"/>
          <c:showBubbleSize val="0"/>
        </c:dLbls>
        <c:gapWidth val="150"/>
        <c:shape val="box"/>
        <c:axId val="220958720"/>
        <c:axId val="141059776"/>
        <c:axId val="0"/>
      </c:bar3DChart>
      <c:catAx>
        <c:axId val="220958720"/>
        <c:scaling>
          <c:orientation val="minMax"/>
        </c:scaling>
        <c:delete val="0"/>
        <c:axPos val="b"/>
        <c:numFmt formatCode="General" sourceLinked="0"/>
        <c:majorTickMark val="out"/>
        <c:minorTickMark val="none"/>
        <c:tickLblPos val="nextTo"/>
        <c:crossAx val="141059776"/>
        <c:crosses val="autoZero"/>
        <c:auto val="1"/>
        <c:lblAlgn val="ctr"/>
        <c:lblOffset val="100"/>
        <c:noMultiLvlLbl val="0"/>
      </c:catAx>
      <c:valAx>
        <c:axId val="141059776"/>
        <c:scaling>
          <c:orientation val="minMax"/>
        </c:scaling>
        <c:delete val="0"/>
        <c:axPos val="l"/>
        <c:numFmt formatCode="General" sourceLinked="1"/>
        <c:majorTickMark val="out"/>
        <c:minorTickMark val="none"/>
        <c:tickLblPos val="nextTo"/>
        <c:crossAx val="220958720"/>
        <c:crosses val="autoZero"/>
        <c:crossBetween val="between"/>
      </c:valAx>
      <c:spPr>
        <a:noFill/>
        <a:ln w="25399">
          <a:noFill/>
        </a:ln>
      </c:spPr>
    </c:plotArea>
    <c:legend>
      <c:legendPos val="r"/>
      <c:layout>
        <c:manualLayout>
          <c:xMode val="edge"/>
          <c:yMode val="edge"/>
          <c:x val="0.64686468646864681"/>
          <c:y val="4.6490782277713291E-2"/>
          <c:w val="0.33993399339933994"/>
          <c:h val="0.56173291087618027"/>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общо наблюдавани ДП, разследвани по общия ред от разсл. полицай </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1495</c:v>
                </c:pt>
                <c:pt idx="1">
                  <c:v>1429</c:v>
                </c:pt>
                <c:pt idx="2">
                  <c:v>1486</c:v>
                </c:pt>
              </c:numCache>
            </c:numRef>
          </c:val>
        </c:ser>
        <c:ser>
          <c:idx val="1"/>
          <c:order val="1"/>
          <c:tx>
            <c:strRef>
              <c:f>Лист1!$C$1</c:f>
              <c:strCache>
                <c:ptCount val="1"/>
                <c:pt idx="0">
                  <c:v>от тях - новообразувани </c:v>
                </c:pt>
              </c:strCache>
            </c:strRef>
          </c:tx>
          <c:spPr>
            <a:ln w="28575">
              <a:noFill/>
            </a:ln>
          </c:spPr>
          <c:invertIfNegative val="0"/>
          <c:dLbls>
            <c:dLbl>
              <c:idx val="0"/>
              <c:layout>
                <c:manualLayout>
                  <c:x val="1.737242128121607E-2"/>
                  <c:y val="-4.8484848484848485E-3"/>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General</c:formatCode>
                <c:ptCount val="3"/>
                <c:pt idx="0">
                  <c:v>866</c:v>
                </c:pt>
                <c:pt idx="1">
                  <c:v>869</c:v>
                </c:pt>
                <c:pt idx="2">
                  <c:v>958</c:v>
                </c:pt>
              </c:numCache>
            </c:numRef>
          </c:val>
        </c:ser>
        <c:ser>
          <c:idx val="2"/>
          <c:order val="2"/>
          <c:tx>
            <c:strRef>
              <c:f>Лист1!$D$1</c:f>
              <c:strCache>
                <c:ptCount val="1"/>
                <c:pt idx="0">
                  <c:v>дял в % на новообразуваните спрямо общия брой </c:v>
                </c:pt>
              </c:strCache>
            </c:strRef>
          </c:tx>
          <c:invertIfNegative val="0"/>
          <c:dLbls>
            <c:dLbl>
              <c:idx val="0"/>
              <c:layout>
                <c:manualLayout>
                  <c:x val="3.5091607034462714E-2"/>
                  <c:y val="-5.3333715103793845E-2"/>
                </c:manualLayout>
              </c:layout>
              <c:spPr>
                <a:noFill/>
                <a:ln w="25400">
                  <a:noFill/>
                </a:ln>
              </c:spPr>
              <c:txPr>
                <a:bodyPr/>
                <a:lstStyle/>
                <a:p>
                  <a:pPr>
                    <a:defRPr/>
                  </a:pPr>
                  <a:endParaRPr lang="bg-BG"/>
                </a:p>
              </c:txPr>
              <c:showLegendKey val="0"/>
              <c:showVal val="1"/>
              <c:showCatName val="0"/>
              <c:showSerName val="0"/>
              <c:showPercent val="0"/>
              <c:showBubbleSize val="0"/>
            </c:dLbl>
            <c:dLbl>
              <c:idx val="1"/>
              <c:layout>
                <c:manualLayout>
                  <c:x val="2.1715526601520086E-2"/>
                  <c:y val="-4.363636363636364E-2"/>
                </c:manualLayout>
              </c:layout>
              <c:spPr>
                <a:noFill/>
                <a:ln w="25400">
                  <a:noFill/>
                </a:ln>
              </c:spPr>
              <c:txPr>
                <a:bodyPr/>
                <a:lstStyle/>
                <a:p>
                  <a:pPr>
                    <a:defRPr/>
                  </a:pPr>
                  <a:endParaRPr lang="bg-BG"/>
                </a:p>
              </c:txPr>
              <c:showLegendKey val="0"/>
              <c:showVal val="1"/>
              <c:showCatName val="0"/>
              <c:showSerName val="0"/>
              <c:showPercent val="0"/>
              <c:showBubbleSize val="0"/>
            </c:dLbl>
            <c:dLbl>
              <c:idx val="2"/>
              <c:layout>
                <c:manualLayout>
                  <c:x val="2.3887079261672096E-2"/>
                  <c:y val="-5.3333333333333337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Лист1!$D$2:$D$4</c:f>
              <c:numCache>
                <c:formatCode>0.00%</c:formatCode>
                <c:ptCount val="3"/>
                <c:pt idx="0">
                  <c:v>0.57899999999999996</c:v>
                </c:pt>
                <c:pt idx="1">
                  <c:v>0.60799999999999998</c:v>
                </c:pt>
                <c:pt idx="2">
                  <c:v>0.64500000000000002</c:v>
                </c:pt>
              </c:numCache>
            </c:numRef>
          </c:val>
        </c:ser>
        <c:dLbls>
          <c:showLegendKey val="0"/>
          <c:showVal val="0"/>
          <c:showCatName val="0"/>
          <c:showSerName val="0"/>
          <c:showPercent val="0"/>
          <c:showBubbleSize val="0"/>
        </c:dLbls>
        <c:gapWidth val="150"/>
        <c:shape val="box"/>
        <c:axId val="220962304"/>
        <c:axId val="221027648"/>
        <c:axId val="0"/>
      </c:bar3DChart>
      <c:catAx>
        <c:axId val="220962304"/>
        <c:scaling>
          <c:orientation val="minMax"/>
        </c:scaling>
        <c:delete val="0"/>
        <c:axPos val="b"/>
        <c:numFmt formatCode="General" sourceLinked="0"/>
        <c:majorTickMark val="out"/>
        <c:minorTickMark val="none"/>
        <c:tickLblPos val="nextTo"/>
        <c:crossAx val="221027648"/>
        <c:crosses val="autoZero"/>
        <c:auto val="1"/>
        <c:lblAlgn val="ctr"/>
        <c:lblOffset val="100"/>
        <c:noMultiLvlLbl val="0"/>
      </c:catAx>
      <c:valAx>
        <c:axId val="221027648"/>
        <c:scaling>
          <c:orientation val="minMax"/>
        </c:scaling>
        <c:delete val="0"/>
        <c:axPos val="l"/>
        <c:numFmt formatCode="General" sourceLinked="1"/>
        <c:majorTickMark val="out"/>
        <c:minorTickMark val="none"/>
        <c:tickLblPos val="nextTo"/>
        <c:crossAx val="220962304"/>
        <c:crosses val="autoZero"/>
        <c:crossBetween val="between"/>
      </c:valAx>
      <c:spPr>
        <a:noFill/>
        <a:ln w="25400">
          <a:noFill/>
        </a:ln>
      </c:spPr>
    </c:plotArea>
    <c:legend>
      <c:legendPos val="r"/>
      <c:layout>
        <c:manualLayout>
          <c:xMode val="edge"/>
          <c:yMode val="edge"/>
          <c:x val="0.66091317963323315"/>
          <c:y val="6.1898867807575711E-2"/>
          <c:w val="0.32834843271432312"/>
          <c:h val="0.50778898025200725"/>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приключени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1341</c:v>
                </c:pt>
                <c:pt idx="1">
                  <c:v>1353</c:v>
                </c:pt>
                <c:pt idx="2">
                  <c:v>1419</c:v>
                </c:pt>
              </c:numCache>
            </c:numRef>
          </c:val>
        </c:ser>
        <c:ser>
          <c:idx val="1"/>
          <c:order val="1"/>
          <c:tx>
            <c:strRef>
              <c:f>Лист1!$C$1</c:f>
              <c:strCache>
                <c:ptCount val="1"/>
                <c:pt idx="0">
                  <c:v>дял в % от наблюдаваните за периода ДП</c:v>
                </c:pt>
              </c:strCache>
            </c:strRef>
          </c:tx>
          <c:spPr>
            <a:ln w="28574">
              <a:noFill/>
            </a:ln>
          </c:spPr>
          <c:invertIfNegative val="0"/>
          <c:dLbls>
            <c:dLbl>
              <c:idx val="0"/>
              <c:layout>
                <c:manualLayout>
                  <c:x val="2.6446280991735537E-2"/>
                  <c:y val="-4.2496679946879147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1.9834710743801654E-2"/>
                  <c:y val="-3.1872509960159362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2.6446280991735537E-2"/>
                  <c:y val="-2.6560424966799372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0.68799999999999994</c:v>
                </c:pt>
                <c:pt idx="1">
                  <c:v>0.70799999999999996</c:v>
                </c:pt>
                <c:pt idx="2">
                  <c:v>0.73099999999999998</c:v>
                </c:pt>
              </c:numCache>
            </c:numRef>
          </c:val>
        </c:ser>
        <c:dLbls>
          <c:showLegendKey val="0"/>
          <c:showVal val="0"/>
          <c:showCatName val="0"/>
          <c:showSerName val="0"/>
          <c:showPercent val="0"/>
          <c:showBubbleSize val="0"/>
        </c:dLbls>
        <c:gapWidth val="150"/>
        <c:shape val="box"/>
        <c:axId val="221158400"/>
        <c:axId val="141061504"/>
        <c:axId val="0"/>
      </c:bar3DChart>
      <c:catAx>
        <c:axId val="221158400"/>
        <c:scaling>
          <c:orientation val="minMax"/>
        </c:scaling>
        <c:delete val="0"/>
        <c:axPos val="b"/>
        <c:numFmt formatCode="General" sourceLinked="0"/>
        <c:majorTickMark val="out"/>
        <c:minorTickMark val="none"/>
        <c:tickLblPos val="nextTo"/>
        <c:crossAx val="141061504"/>
        <c:crosses val="autoZero"/>
        <c:auto val="1"/>
        <c:lblAlgn val="ctr"/>
        <c:lblOffset val="100"/>
        <c:noMultiLvlLbl val="0"/>
      </c:catAx>
      <c:valAx>
        <c:axId val="141061504"/>
        <c:scaling>
          <c:orientation val="minMax"/>
        </c:scaling>
        <c:delete val="0"/>
        <c:axPos val="l"/>
        <c:numFmt formatCode="General" sourceLinked="1"/>
        <c:majorTickMark val="out"/>
        <c:minorTickMark val="none"/>
        <c:tickLblPos val="nextTo"/>
        <c:crossAx val="221158400"/>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приключени в РРП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2018г.</c:v>
                </c:pt>
                <c:pt idx="1">
                  <c:v>2018г.</c:v>
                </c:pt>
                <c:pt idx="2">
                  <c:v>2017г.</c:v>
                </c:pt>
              </c:strCache>
            </c:strRef>
          </c:cat>
          <c:val>
            <c:numRef>
              <c:f>Лист1!$B$2:$B$4</c:f>
              <c:numCache>
                <c:formatCode>General</c:formatCode>
                <c:ptCount val="3"/>
                <c:pt idx="0">
                  <c:v>669</c:v>
                </c:pt>
                <c:pt idx="1">
                  <c:v>649</c:v>
                </c:pt>
                <c:pt idx="2">
                  <c:v>687</c:v>
                </c:pt>
              </c:numCache>
            </c:numRef>
          </c:val>
        </c:ser>
        <c:ser>
          <c:idx val="1"/>
          <c:order val="1"/>
          <c:tx>
            <c:strRef>
              <c:f>Лист1!$C$1</c:f>
              <c:strCache>
                <c:ptCount val="1"/>
                <c:pt idx="0">
                  <c:v>дял в % от наблюдаваните в РРП за периода ДП</c:v>
                </c:pt>
              </c:strCache>
            </c:strRef>
          </c:tx>
          <c:spPr>
            <a:ln w="28574">
              <a:noFill/>
            </a:ln>
          </c:spPr>
          <c:invertIfNegative val="0"/>
          <c:dLbls>
            <c:dLbl>
              <c:idx val="0"/>
              <c:layout>
                <c:manualLayout>
                  <c:x val="3.2840722495894911E-2"/>
                  <c:y val="-4.2496679946879147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1.7515051997810619E-2"/>
                  <c:y val="-2.1248339973439674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1.9704433497536866E-2"/>
                  <c:y val="-1.5936254980079681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2018г.</c:v>
                </c:pt>
                <c:pt idx="1">
                  <c:v>2018г.</c:v>
                </c:pt>
                <c:pt idx="2">
                  <c:v>2017г.</c:v>
                </c:pt>
              </c:strCache>
            </c:strRef>
          </c:cat>
          <c:val>
            <c:numRef>
              <c:f>Лист1!$C$2:$C$4</c:f>
              <c:numCache>
                <c:formatCode>0.00%</c:formatCode>
                <c:ptCount val="3"/>
                <c:pt idx="0">
                  <c:v>0.67400000000000004</c:v>
                </c:pt>
                <c:pt idx="1">
                  <c:v>0.70399999999999996</c:v>
                </c:pt>
                <c:pt idx="2">
                  <c:v>0.72</c:v>
                </c:pt>
              </c:numCache>
            </c:numRef>
          </c:val>
        </c:ser>
        <c:dLbls>
          <c:showLegendKey val="0"/>
          <c:showVal val="0"/>
          <c:showCatName val="0"/>
          <c:showSerName val="0"/>
          <c:showPercent val="0"/>
          <c:showBubbleSize val="0"/>
        </c:dLbls>
        <c:gapWidth val="150"/>
        <c:shape val="box"/>
        <c:axId val="221750784"/>
        <c:axId val="141064960"/>
        <c:axId val="0"/>
      </c:bar3DChart>
      <c:catAx>
        <c:axId val="221750784"/>
        <c:scaling>
          <c:orientation val="minMax"/>
        </c:scaling>
        <c:delete val="0"/>
        <c:axPos val="b"/>
        <c:numFmt formatCode="General" sourceLinked="0"/>
        <c:majorTickMark val="out"/>
        <c:minorTickMark val="none"/>
        <c:tickLblPos val="nextTo"/>
        <c:crossAx val="141064960"/>
        <c:crosses val="autoZero"/>
        <c:auto val="1"/>
        <c:lblAlgn val="ctr"/>
        <c:lblOffset val="100"/>
        <c:noMultiLvlLbl val="0"/>
      </c:catAx>
      <c:valAx>
        <c:axId val="141064960"/>
        <c:scaling>
          <c:orientation val="minMax"/>
        </c:scaling>
        <c:delete val="0"/>
        <c:axPos val="l"/>
        <c:numFmt formatCode="General" sourceLinked="1"/>
        <c:majorTickMark val="out"/>
        <c:minorTickMark val="none"/>
        <c:tickLblPos val="nextTo"/>
        <c:crossAx val="221750784"/>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приключени в РОП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104</c:v>
                </c:pt>
                <c:pt idx="1">
                  <c:v>111</c:v>
                </c:pt>
                <c:pt idx="2">
                  <c:v>117</c:v>
                </c:pt>
              </c:numCache>
            </c:numRef>
          </c:val>
        </c:ser>
        <c:ser>
          <c:idx val="1"/>
          <c:order val="1"/>
          <c:tx>
            <c:strRef>
              <c:f>Лист1!$C$1</c:f>
              <c:strCache>
                <c:ptCount val="1"/>
                <c:pt idx="0">
                  <c:v>дял в % от наблюдаваните в РОП за периода ДП</c:v>
                </c:pt>
              </c:strCache>
            </c:strRef>
          </c:tx>
          <c:spPr>
            <a:ln w="28574">
              <a:noFill/>
            </a:ln>
          </c:spPr>
          <c:invertIfNegative val="0"/>
          <c:dLbls>
            <c:dLbl>
              <c:idx val="0"/>
              <c:layout>
                <c:manualLayout>
                  <c:x val="4.6783625730994149E-2"/>
                  <c:y val="-1.5503875968992248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2.0792722547108511E-2"/>
                  <c:y val="-2.0671834625323092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2.3391812865497075E-2"/>
                  <c:y val="-1.5503875968992343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0.55300000000000005</c:v>
                </c:pt>
                <c:pt idx="1">
                  <c:v>0.53400000000000003</c:v>
                </c:pt>
                <c:pt idx="2">
                  <c:v>0.55200000000000005</c:v>
                </c:pt>
              </c:numCache>
            </c:numRef>
          </c:val>
        </c:ser>
        <c:dLbls>
          <c:showLegendKey val="0"/>
          <c:showVal val="0"/>
          <c:showCatName val="0"/>
          <c:showSerName val="0"/>
          <c:showPercent val="0"/>
          <c:showBubbleSize val="0"/>
        </c:dLbls>
        <c:gapWidth val="150"/>
        <c:shape val="box"/>
        <c:axId val="221464064"/>
        <c:axId val="141066816"/>
        <c:axId val="0"/>
      </c:bar3DChart>
      <c:catAx>
        <c:axId val="221464064"/>
        <c:scaling>
          <c:orientation val="minMax"/>
        </c:scaling>
        <c:delete val="0"/>
        <c:axPos val="b"/>
        <c:numFmt formatCode="General" sourceLinked="0"/>
        <c:majorTickMark val="out"/>
        <c:minorTickMark val="none"/>
        <c:tickLblPos val="nextTo"/>
        <c:crossAx val="141066816"/>
        <c:crosses val="autoZero"/>
        <c:auto val="1"/>
        <c:lblAlgn val="ctr"/>
        <c:lblOffset val="100"/>
        <c:noMultiLvlLbl val="0"/>
      </c:catAx>
      <c:valAx>
        <c:axId val="141066816"/>
        <c:scaling>
          <c:orientation val="minMax"/>
        </c:scaling>
        <c:delete val="0"/>
        <c:axPos val="l"/>
        <c:numFmt formatCode="General" sourceLinked="1"/>
        <c:majorTickMark val="out"/>
        <c:minorTickMark val="none"/>
        <c:tickLblPos val="nextTo"/>
        <c:crossAx val="221464064"/>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решени в региона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1737</c:v>
                </c:pt>
                <c:pt idx="1">
                  <c:v>1875</c:v>
                </c:pt>
                <c:pt idx="2">
                  <c:v>2002</c:v>
                </c:pt>
              </c:numCache>
            </c:numRef>
          </c:val>
        </c:ser>
        <c:ser>
          <c:idx val="1"/>
          <c:order val="1"/>
          <c:tx>
            <c:strRef>
              <c:f>Лист1!$C$1</c:f>
              <c:strCache>
                <c:ptCount val="1"/>
                <c:pt idx="0">
                  <c:v>дял в % от наблюдаваните в региона за периода ДП</c:v>
                </c:pt>
              </c:strCache>
            </c:strRef>
          </c:tx>
          <c:spPr>
            <a:ln w="28574">
              <a:noFill/>
            </a:ln>
          </c:spPr>
          <c:invertIfNegative val="0"/>
          <c:dLbls>
            <c:dLbl>
              <c:idx val="0"/>
              <c:layout>
                <c:manualLayout>
                  <c:x val="2.5806451612903226E-2"/>
                  <c:y val="-5.1103368176538912E-2"/>
                </c:manualLayout>
              </c:layout>
              <c:showLegendKey val="0"/>
              <c:showVal val="1"/>
              <c:showCatName val="0"/>
              <c:showSerName val="0"/>
              <c:showPercent val="0"/>
              <c:showBubbleSize val="0"/>
            </c:dLbl>
            <c:dLbl>
              <c:idx val="1"/>
              <c:layout>
                <c:manualLayout>
                  <c:x val="1.935483870967742E-2"/>
                  <c:y val="-2.78745644599304E-2"/>
                </c:manualLayout>
              </c:layout>
              <c:showLegendKey val="0"/>
              <c:showVal val="1"/>
              <c:showCatName val="0"/>
              <c:showSerName val="0"/>
              <c:showPercent val="0"/>
              <c:showBubbleSize val="0"/>
            </c:dLbl>
            <c:dLbl>
              <c:idx val="2"/>
              <c:layout>
                <c:manualLayout>
                  <c:x val="2.5806451612903226E-2"/>
                  <c:y val="-2.3228803716608681E-2"/>
                </c:manualLayout>
              </c:layout>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0.75</c:v>
                </c:pt>
                <c:pt idx="1">
                  <c:v>0.78200000000000003</c:v>
                </c:pt>
                <c:pt idx="2">
                  <c:v>0.81</c:v>
                </c:pt>
              </c:numCache>
            </c:numRef>
          </c:val>
        </c:ser>
        <c:dLbls>
          <c:showLegendKey val="0"/>
          <c:showVal val="0"/>
          <c:showCatName val="0"/>
          <c:showSerName val="0"/>
          <c:showPercent val="0"/>
          <c:showBubbleSize val="0"/>
        </c:dLbls>
        <c:gapWidth val="150"/>
        <c:shape val="box"/>
        <c:axId val="222298112"/>
        <c:axId val="221024768"/>
        <c:axId val="0"/>
      </c:bar3DChart>
      <c:catAx>
        <c:axId val="222298112"/>
        <c:scaling>
          <c:orientation val="minMax"/>
        </c:scaling>
        <c:delete val="0"/>
        <c:axPos val="b"/>
        <c:numFmt formatCode="General" sourceLinked="0"/>
        <c:majorTickMark val="out"/>
        <c:minorTickMark val="none"/>
        <c:tickLblPos val="nextTo"/>
        <c:crossAx val="221024768"/>
        <c:crosses val="autoZero"/>
        <c:auto val="1"/>
        <c:lblAlgn val="ctr"/>
        <c:lblOffset val="100"/>
        <c:noMultiLvlLbl val="0"/>
      </c:catAx>
      <c:valAx>
        <c:axId val="221024768"/>
        <c:scaling>
          <c:orientation val="minMax"/>
        </c:scaling>
        <c:delete val="0"/>
        <c:axPos val="l"/>
        <c:numFmt formatCode="General" sourceLinked="1"/>
        <c:majorTickMark val="out"/>
        <c:minorTickMark val="none"/>
        <c:tickLblPos val="nextTo"/>
        <c:crossAx val="222298112"/>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7E-2"/>
          <c:y val="2.4582153816875611E-2"/>
          <c:w val="0.64434663314144558"/>
          <c:h val="0.84227926192005476"/>
        </c:manualLayout>
      </c:layout>
      <c:bar3DChart>
        <c:barDir val="col"/>
        <c:grouping val="clustered"/>
        <c:varyColors val="0"/>
        <c:ser>
          <c:idx val="0"/>
          <c:order val="0"/>
          <c:tx>
            <c:strRef>
              <c:f>Лист1!$B$1</c:f>
              <c:strCache>
                <c:ptCount val="1"/>
                <c:pt idx="0">
                  <c:v>наблюдавани преписки</c:v>
                </c:pt>
              </c:strCache>
            </c:strRef>
          </c:tx>
          <c:spPr>
            <a:ln w="28576">
              <a:noFill/>
            </a:ln>
          </c:spPr>
          <c:invertIfNegative val="0"/>
          <c:dLbls>
            <c:spPr>
              <a:noFill/>
              <a:ln w="25401">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2918</c:v>
                </c:pt>
                <c:pt idx="1">
                  <c:v>2620</c:v>
                </c:pt>
                <c:pt idx="2">
                  <c:v>2669</c:v>
                </c:pt>
              </c:numCache>
            </c:numRef>
          </c:val>
        </c:ser>
        <c:ser>
          <c:idx val="1"/>
          <c:order val="1"/>
          <c:tx>
            <c:strRef>
              <c:f>Лист1!$C$1</c:f>
              <c:strCache>
                <c:ptCount val="1"/>
                <c:pt idx="0">
                  <c:v>решени преписки</c:v>
                </c:pt>
              </c:strCache>
            </c:strRef>
          </c:tx>
          <c:spPr>
            <a:ln w="28576">
              <a:noFill/>
            </a:ln>
          </c:spPr>
          <c:invertIfNegative val="0"/>
          <c:dLbls>
            <c:dLbl>
              <c:idx val="0"/>
              <c:layout>
                <c:manualLayout>
                  <c:x val="1.3745704467353972E-2"/>
                  <c:y val="1.3745704467353952E-2"/>
                </c:manualLayout>
              </c:layout>
              <c:spPr>
                <a:noFill/>
                <a:ln w="25401">
                  <a:noFill/>
                </a:ln>
              </c:spPr>
              <c:txPr>
                <a:bodyPr/>
                <a:lstStyle/>
                <a:p>
                  <a:pPr>
                    <a:defRPr/>
                  </a:pPr>
                  <a:endParaRPr lang="bg-BG"/>
                </a:p>
              </c:txPr>
              <c:showLegendKey val="0"/>
              <c:showVal val="1"/>
              <c:showCatName val="0"/>
              <c:showSerName val="0"/>
              <c:showPercent val="0"/>
              <c:showBubbleSize val="0"/>
            </c:dLbl>
            <c:dLbl>
              <c:idx val="1"/>
              <c:layout>
                <c:manualLayout>
                  <c:x val="6.8728522336769758E-3"/>
                  <c:y val="9.1638029782359683E-3"/>
                </c:manualLayout>
              </c:layout>
              <c:spPr>
                <a:noFill/>
                <a:ln w="25401">
                  <a:noFill/>
                </a:ln>
              </c:spPr>
              <c:txPr>
                <a:bodyPr/>
                <a:lstStyle/>
                <a:p>
                  <a:pPr>
                    <a:defRPr/>
                  </a:pPr>
                  <a:endParaRPr lang="bg-BG"/>
                </a:p>
              </c:txPr>
              <c:showLegendKey val="0"/>
              <c:showVal val="1"/>
              <c:showCatName val="0"/>
              <c:showSerName val="0"/>
              <c:showPercent val="0"/>
              <c:showBubbleSize val="0"/>
            </c:dLbl>
            <c:dLbl>
              <c:idx val="2"/>
              <c:layout>
                <c:manualLayout>
                  <c:x val="6.8728522336769758E-3"/>
                  <c:y val="9.1638029782359683E-3"/>
                </c:manualLayout>
              </c:layout>
              <c:spPr>
                <a:noFill/>
                <a:ln w="25401">
                  <a:noFill/>
                </a:ln>
              </c:spPr>
              <c:txPr>
                <a:bodyPr/>
                <a:lstStyle/>
                <a:p>
                  <a:pPr>
                    <a:defRPr/>
                  </a:pPr>
                  <a:endParaRPr lang="bg-BG"/>
                </a:p>
              </c:txPr>
              <c:showLegendKey val="0"/>
              <c:showVal val="1"/>
              <c:showCatName val="0"/>
              <c:showSerName val="0"/>
              <c:showPercent val="0"/>
              <c:showBubbleSize val="0"/>
            </c:dLbl>
            <c:spPr>
              <a:noFill/>
              <a:ln w="25401">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General</c:formatCode>
                <c:ptCount val="3"/>
                <c:pt idx="0">
                  <c:v>2751</c:v>
                </c:pt>
                <c:pt idx="1">
                  <c:v>2528</c:v>
                </c:pt>
                <c:pt idx="2">
                  <c:v>2506</c:v>
                </c:pt>
              </c:numCache>
            </c:numRef>
          </c:val>
        </c:ser>
        <c:ser>
          <c:idx val="2"/>
          <c:order val="2"/>
          <c:tx>
            <c:strRef>
              <c:f>Лист1!$D$1</c:f>
              <c:strCache>
                <c:ptCount val="1"/>
                <c:pt idx="0">
                  <c:v>дял в % на решените преписки спрямо наблюдаваните </c:v>
                </c:pt>
              </c:strCache>
            </c:strRef>
          </c:tx>
          <c:invertIfNegative val="0"/>
          <c:dLbls>
            <c:dLbl>
              <c:idx val="0"/>
              <c:layout>
                <c:manualLayout>
                  <c:x val="2.4950257506471486E-2"/>
                  <c:y val="0"/>
                </c:manualLayout>
              </c:layout>
              <c:tx>
                <c:rich>
                  <a:bodyPr/>
                  <a:lstStyle/>
                  <a:p>
                    <a:pPr>
                      <a:defRPr/>
                    </a:pPr>
                    <a:r>
                      <a:rPr lang="en-US"/>
                      <a:t>94,28%</a:t>
                    </a:r>
                  </a:p>
                </c:rich>
              </c:tx>
              <c:spPr>
                <a:noFill/>
                <a:ln w="25401">
                  <a:noFill/>
                </a:ln>
              </c:spPr>
              <c:showLegendKey val="0"/>
              <c:showVal val="0"/>
              <c:showCatName val="0"/>
              <c:showSerName val="0"/>
              <c:showPercent val="0"/>
              <c:showBubbleSize val="0"/>
            </c:dLbl>
            <c:dLbl>
              <c:idx val="1"/>
              <c:layout>
                <c:manualLayout>
                  <c:x val="1.3745704467353952E-2"/>
                  <c:y val="0"/>
                </c:manualLayout>
              </c:layout>
              <c:tx>
                <c:rich>
                  <a:bodyPr/>
                  <a:lstStyle/>
                  <a:p>
                    <a:pPr>
                      <a:defRPr/>
                    </a:pPr>
                    <a:r>
                      <a:rPr lang="en-US"/>
                      <a:t>96,49%</a:t>
                    </a:r>
                  </a:p>
                </c:rich>
              </c:tx>
              <c:spPr>
                <a:noFill/>
                <a:ln w="25401">
                  <a:noFill/>
                </a:ln>
              </c:spPr>
              <c:showLegendKey val="0"/>
              <c:showVal val="0"/>
              <c:showCatName val="0"/>
              <c:showSerName val="0"/>
              <c:showPercent val="0"/>
              <c:showBubbleSize val="0"/>
            </c:dLbl>
            <c:dLbl>
              <c:idx val="2"/>
              <c:tx>
                <c:rich>
                  <a:bodyPr/>
                  <a:lstStyle/>
                  <a:p>
                    <a:pPr>
                      <a:defRPr/>
                    </a:pPr>
                    <a:r>
                      <a:rPr lang="en-US"/>
                      <a:t>94%</a:t>
                    </a:r>
                  </a:p>
                </c:rich>
              </c:tx>
              <c:spPr>
                <a:noFill/>
                <a:ln w="25401">
                  <a:noFill/>
                </a:ln>
              </c:spPr>
              <c:showLegendKey val="0"/>
              <c:showVal val="0"/>
              <c:showCatName val="0"/>
              <c:showSerName val="0"/>
              <c:showPercent val="0"/>
              <c:showBubbleSize val="0"/>
            </c:dLbl>
            <c:spPr>
              <a:noFill/>
              <a:ln w="25401">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Лист1!$D$2:$D$4</c:f>
              <c:numCache>
                <c:formatCode>0%</c:formatCode>
                <c:ptCount val="3"/>
                <c:pt idx="0">
                  <c:v>0.96</c:v>
                </c:pt>
                <c:pt idx="1">
                  <c:v>0.94</c:v>
                </c:pt>
                <c:pt idx="2" formatCode="0.00%">
                  <c:v>0.95</c:v>
                </c:pt>
              </c:numCache>
            </c:numRef>
          </c:val>
        </c:ser>
        <c:dLbls>
          <c:showLegendKey val="0"/>
          <c:showVal val="0"/>
          <c:showCatName val="0"/>
          <c:showSerName val="0"/>
          <c:showPercent val="0"/>
          <c:showBubbleSize val="0"/>
        </c:dLbls>
        <c:gapWidth val="150"/>
        <c:shape val="box"/>
        <c:axId val="200289280"/>
        <c:axId val="172736512"/>
        <c:axId val="0"/>
      </c:bar3DChart>
      <c:catAx>
        <c:axId val="200289280"/>
        <c:scaling>
          <c:orientation val="minMax"/>
        </c:scaling>
        <c:delete val="0"/>
        <c:axPos val="b"/>
        <c:numFmt formatCode="General" sourceLinked="0"/>
        <c:majorTickMark val="out"/>
        <c:minorTickMark val="none"/>
        <c:tickLblPos val="nextTo"/>
        <c:crossAx val="172736512"/>
        <c:crosses val="autoZero"/>
        <c:auto val="1"/>
        <c:lblAlgn val="ctr"/>
        <c:lblOffset val="100"/>
        <c:noMultiLvlLbl val="0"/>
      </c:catAx>
      <c:valAx>
        <c:axId val="172736512"/>
        <c:scaling>
          <c:orientation val="minMax"/>
        </c:scaling>
        <c:delete val="0"/>
        <c:axPos val="l"/>
        <c:numFmt formatCode="General" sourceLinked="1"/>
        <c:majorTickMark val="out"/>
        <c:minorTickMark val="none"/>
        <c:tickLblPos val="nextTo"/>
        <c:crossAx val="200289280"/>
        <c:crosses val="autoZero"/>
        <c:crossBetween val="between"/>
      </c:valAx>
      <c:spPr>
        <a:noFill/>
        <a:ln w="25401">
          <a:noFill/>
        </a:ln>
      </c:spPr>
    </c:plotArea>
    <c:legend>
      <c:legendPos val="r"/>
      <c:layout>
        <c:manualLayout>
          <c:xMode val="edge"/>
          <c:yMode val="edge"/>
          <c:x val="0.65348942768292584"/>
          <c:y val="0.21273319016941061"/>
          <c:w val="0.33322141662985194"/>
          <c:h val="0.35150293486041517"/>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внесени в съда за региона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672</c:v>
                </c:pt>
                <c:pt idx="1">
                  <c:v>668</c:v>
                </c:pt>
                <c:pt idx="2">
                  <c:v>711</c:v>
                </c:pt>
              </c:numCache>
            </c:numRef>
          </c:val>
        </c:ser>
        <c:ser>
          <c:idx val="1"/>
          <c:order val="1"/>
          <c:tx>
            <c:strRef>
              <c:f>Лист1!$C$1</c:f>
              <c:strCache>
                <c:ptCount val="1"/>
                <c:pt idx="0">
                  <c:v>дял в % от решените в региона за периода ДП</c:v>
                </c:pt>
              </c:strCache>
            </c:strRef>
          </c:tx>
          <c:spPr>
            <a:ln w="28574">
              <a:noFill/>
            </a:ln>
          </c:spPr>
          <c:invertIfNegative val="0"/>
          <c:dLbls>
            <c:dLbl>
              <c:idx val="0"/>
              <c:layout>
                <c:manualLayout>
                  <c:x val="3.2948929159802305E-2"/>
                  <c:y val="-4.7808764940238946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1.9769357495881382E-2"/>
                  <c:y val="-3.1872509960159459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1.9769357495881382E-2"/>
                  <c:y val="-3.7184594953519258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0.38700000000000001</c:v>
                </c:pt>
                <c:pt idx="1">
                  <c:v>0.35599999999999998</c:v>
                </c:pt>
                <c:pt idx="2">
                  <c:v>0.35</c:v>
                </c:pt>
              </c:numCache>
            </c:numRef>
          </c:val>
        </c:ser>
        <c:dLbls>
          <c:showLegendKey val="0"/>
          <c:showVal val="0"/>
          <c:showCatName val="0"/>
          <c:showSerName val="0"/>
          <c:showPercent val="0"/>
          <c:showBubbleSize val="0"/>
        </c:dLbls>
        <c:gapWidth val="150"/>
        <c:shape val="box"/>
        <c:axId val="221752832"/>
        <c:axId val="141067968"/>
        <c:axId val="0"/>
      </c:bar3DChart>
      <c:catAx>
        <c:axId val="221752832"/>
        <c:scaling>
          <c:orientation val="minMax"/>
        </c:scaling>
        <c:delete val="0"/>
        <c:axPos val="b"/>
        <c:numFmt formatCode="General" sourceLinked="0"/>
        <c:majorTickMark val="out"/>
        <c:minorTickMark val="none"/>
        <c:tickLblPos val="nextTo"/>
        <c:crossAx val="141067968"/>
        <c:crosses val="autoZero"/>
        <c:auto val="1"/>
        <c:lblAlgn val="ctr"/>
        <c:lblOffset val="100"/>
        <c:noMultiLvlLbl val="0"/>
      </c:catAx>
      <c:valAx>
        <c:axId val="141067968"/>
        <c:scaling>
          <c:orientation val="minMax"/>
        </c:scaling>
        <c:delete val="0"/>
        <c:axPos val="l"/>
        <c:numFmt formatCode="General" sourceLinked="1"/>
        <c:majorTickMark val="out"/>
        <c:minorTickMark val="none"/>
        <c:tickLblPos val="nextTo"/>
        <c:crossAx val="221752832"/>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внесени в съда за РОП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40</c:v>
                </c:pt>
                <c:pt idx="1">
                  <c:v>49</c:v>
                </c:pt>
                <c:pt idx="2">
                  <c:v>43</c:v>
                </c:pt>
              </c:numCache>
            </c:numRef>
          </c:val>
        </c:ser>
        <c:ser>
          <c:idx val="1"/>
          <c:order val="1"/>
          <c:tx>
            <c:strRef>
              <c:f>Лист1!$C$1</c:f>
              <c:strCache>
                <c:ptCount val="1"/>
                <c:pt idx="0">
                  <c:v>дял в % от решените в РОП за периода ДП</c:v>
                </c:pt>
              </c:strCache>
            </c:strRef>
          </c:tx>
          <c:spPr>
            <a:ln w="28574">
              <a:noFill/>
            </a:ln>
          </c:spPr>
          <c:invertIfNegative val="0"/>
          <c:dLbls>
            <c:dLbl>
              <c:idx val="0"/>
              <c:layout>
                <c:manualLayout>
                  <c:x val="3.9344262295081971E-2"/>
                  <c:y val="-4.2496679946879244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2.4043715846994537E-2"/>
                  <c:y val="-4.2496679946879147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3.0601092896174863E-2"/>
                  <c:y val="-3.7184594953519355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0.377</c:v>
                </c:pt>
                <c:pt idx="1">
                  <c:v>0.34699999999999998</c:v>
                </c:pt>
                <c:pt idx="2">
                  <c:v>0.32</c:v>
                </c:pt>
              </c:numCache>
            </c:numRef>
          </c:val>
        </c:ser>
        <c:dLbls>
          <c:showLegendKey val="0"/>
          <c:showVal val="0"/>
          <c:showCatName val="0"/>
          <c:showSerName val="0"/>
          <c:showPercent val="0"/>
          <c:showBubbleSize val="0"/>
        </c:dLbls>
        <c:gapWidth val="150"/>
        <c:shape val="box"/>
        <c:axId val="222026752"/>
        <c:axId val="141072000"/>
        <c:axId val="0"/>
      </c:bar3DChart>
      <c:catAx>
        <c:axId val="222026752"/>
        <c:scaling>
          <c:orientation val="minMax"/>
        </c:scaling>
        <c:delete val="0"/>
        <c:axPos val="b"/>
        <c:numFmt formatCode="General" sourceLinked="0"/>
        <c:majorTickMark val="out"/>
        <c:minorTickMark val="none"/>
        <c:tickLblPos val="nextTo"/>
        <c:crossAx val="141072000"/>
        <c:crosses val="autoZero"/>
        <c:auto val="1"/>
        <c:lblAlgn val="ctr"/>
        <c:lblOffset val="100"/>
        <c:noMultiLvlLbl val="0"/>
      </c:catAx>
      <c:valAx>
        <c:axId val="141072000"/>
        <c:scaling>
          <c:orientation val="minMax"/>
        </c:scaling>
        <c:delete val="0"/>
        <c:axPos val="l"/>
        <c:numFmt formatCode="General" sourceLinked="1"/>
        <c:majorTickMark val="out"/>
        <c:minorTickMark val="none"/>
        <c:tickLblPos val="nextTo"/>
        <c:crossAx val="222026752"/>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внесени в съда за РРП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296</c:v>
                </c:pt>
                <c:pt idx="1">
                  <c:v>262</c:v>
                </c:pt>
                <c:pt idx="2">
                  <c:v>295</c:v>
                </c:pt>
              </c:numCache>
            </c:numRef>
          </c:val>
        </c:ser>
        <c:ser>
          <c:idx val="1"/>
          <c:order val="1"/>
          <c:tx>
            <c:strRef>
              <c:f>Лист1!$C$1</c:f>
              <c:strCache>
                <c:ptCount val="1"/>
                <c:pt idx="0">
                  <c:v>дял в % от решените в РРП за периода ДП</c:v>
                </c:pt>
              </c:strCache>
            </c:strRef>
          </c:tx>
          <c:spPr>
            <a:ln w="28574">
              <a:noFill/>
            </a:ln>
          </c:spPr>
          <c:invertIfNegative val="0"/>
          <c:dLbls>
            <c:dLbl>
              <c:idx val="0"/>
              <c:layout>
                <c:manualLayout>
                  <c:x val="4.1184041184041183E-2"/>
                  <c:y val="-4.7808764940239043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3.3462033462033414E-2"/>
                  <c:y val="-3.7184594953519355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3.8610038610038609E-2"/>
                  <c:y val="-3.1872509960159362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0.32600000000000001</c:v>
                </c:pt>
                <c:pt idx="1">
                  <c:v>0.28000000000000003</c:v>
                </c:pt>
                <c:pt idx="2">
                  <c:v>0.3</c:v>
                </c:pt>
              </c:numCache>
            </c:numRef>
          </c:val>
        </c:ser>
        <c:dLbls>
          <c:showLegendKey val="0"/>
          <c:showVal val="0"/>
          <c:showCatName val="0"/>
          <c:showSerName val="0"/>
          <c:showPercent val="0"/>
          <c:showBubbleSize val="0"/>
        </c:dLbls>
        <c:gapWidth val="150"/>
        <c:shape val="box"/>
        <c:axId val="222299648"/>
        <c:axId val="141073728"/>
        <c:axId val="0"/>
      </c:bar3DChart>
      <c:catAx>
        <c:axId val="222299648"/>
        <c:scaling>
          <c:orientation val="minMax"/>
        </c:scaling>
        <c:delete val="0"/>
        <c:axPos val="b"/>
        <c:numFmt formatCode="General" sourceLinked="0"/>
        <c:majorTickMark val="out"/>
        <c:minorTickMark val="none"/>
        <c:tickLblPos val="nextTo"/>
        <c:crossAx val="141073728"/>
        <c:crosses val="autoZero"/>
        <c:auto val="1"/>
        <c:lblAlgn val="ctr"/>
        <c:lblOffset val="100"/>
        <c:noMultiLvlLbl val="0"/>
      </c:catAx>
      <c:valAx>
        <c:axId val="141073728"/>
        <c:scaling>
          <c:orientation val="minMax"/>
        </c:scaling>
        <c:delete val="0"/>
        <c:axPos val="l"/>
        <c:numFmt formatCode="General" sourceLinked="1"/>
        <c:majorTickMark val="out"/>
        <c:minorTickMark val="none"/>
        <c:tickLblPos val="nextTo"/>
        <c:crossAx val="222299648"/>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внесени в съда за ИРП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190</c:v>
                </c:pt>
                <c:pt idx="1">
                  <c:v>182</c:v>
                </c:pt>
                <c:pt idx="2">
                  <c:v>219</c:v>
                </c:pt>
              </c:numCache>
            </c:numRef>
          </c:val>
        </c:ser>
        <c:ser>
          <c:idx val="1"/>
          <c:order val="1"/>
          <c:tx>
            <c:strRef>
              <c:f>Лист1!$C$1</c:f>
              <c:strCache>
                <c:ptCount val="1"/>
                <c:pt idx="0">
                  <c:v>дял в % от решените в ИРП за периода ДП</c:v>
                </c:pt>
              </c:strCache>
            </c:strRef>
          </c:tx>
          <c:spPr>
            <a:ln w="28574">
              <a:noFill/>
            </a:ln>
          </c:spPr>
          <c:invertIfNegative val="0"/>
          <c:dLbls>
            <c:dLbl>
              <c:idx val="0"/>
              <c:layout>
                <c:manualLayout>
                  <c:x val="3.8610038610038609E-2"/>
                  <c:y val="-4.7808764940239043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3.088803088803084E-2"/>
                  <c:y val="-3.1872509960159362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3.0888030888030889E-2"/>
                  <c:y val="-2.1248339973439574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0.505</c:v>
                </c:pt>
                <c:pt idx="1">
                  <c:v>0.443</c:v>
                </c:pt>
                <c:pt idx="2">
                  <c:v>0.46600000000000003</c:v>
                </c:pt>
              </c:numCache>
            </c:numRef>
          </c:val>
        </c:ser>
        <c:dLbls>
          <c:showLegendKey val="0"/>
          <c:showVal val="0"/>
          <c:showCatName val="0"/>
          <c:showSerName val="0"/>
          <c:showPercent val="0"/>
          <c:showBubbleSize val="0"/>
        </c:dLbls>
        <c:gapWidth val="150"/>
        <c:shape val="box"/>
        <c:axId val="222795264"/>
        <c:axId val="141072576"/>
        <c:axId val="0"/>
      </c:bar3DChart>
      <c:catAx>
        <c:axId val="222795264"/>
        <c:scaling>
          <c:orientation val="minMax"/>
        </c:scaling>
        <c:delete val="0"/>
        <c:axPos val="b"/>
        <c:numFmt formatCode="General" sourceLinked="0"/>
        <c:majorTickMark val="out"/>
        <c:minorTickMark val="none"/>
        <c:tickLblPos val="nextTo"/>
        <c:crossAx val="141072576"/>
        <c:crosses val="autoZero"/>
        <c:auto val="1"/>
        <c:lblAlgn val="ctr"/>
        <c:lblOffset val="100"/>
        <c:noMultiLvlLbl val="0"/>
      </c:catAx>
      <c:valAx>
        <c:axId val="141072576"/>
        <c:scaling>
          <c:orientation val="minMax"/>
        </c:scaling>
        <c:delete val="0"/>
        <c:axPos val="l"/>
        <c:numFmt formatCode="General" sourceLinked="1"/>
        <c:majorTickMark val="out"/>
        <c:minorTickMark val="none"/>
        <c:tickLblPos val="nextTo"/>
        <c:crossAx val="222795264"/>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внесени в съда за КРП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146</c:v>
                </c:pt>
                <c:pt idx="1">
                  <c:v>175</c:v>
                </c:pt>
                <c:pt idx="2">
                  <c:v>154</c:v>
                </c:pt>
              </c:numCache>
            </c:numRef>
          </c:val>
        </c:ser>
        <c:ser>
          <c:idx val="1"/>
          <c:order val="1"/>
          <c:tx>
            <c:strRef>
              <c:f>Лист1!$C$1</c:f>
              <c:strCache>
                <c:ptCount val="1"/>
                <c:pt idx="0">
                  <c:v>дял в % от решените в КРП за периода ДП</c:v>
                </c:pt>
              </c:strCache>
            </c:strRef>
          </c:tx>
          <c:spPr>
            <a:ln w="28574">
              <a:noFill/>
            </a:ln>
          </c:spPr>
          <c:invertIfNegative val="0"/>
          <c:dLbls>
            <c:dLbl>
              <c:idx val="0"/>
              <c:layout>
                <c:manualLayout>
                  <c:x val="3.6036036036036036E-2"/>
                  <c:y val="-3.7184594953519258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2.5740025740025693E-2"/>
                  <c:y val="-3.1872509960159459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3.3462033462033462E-2"/>
                  <c:y val="-3.7184594953519258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0.42099999999999999</c:v>
                </c:pt>
                <c:pt idx="1">
                  <c:v>0.45200000000000001</c:v>
                </c:pt>
                <c:pt idx="2">
                  <c:v>0.37</c:v>
                </c:pt>
              </c:numCache>
            </c:numRef>
          </c:val>
        </c:ser>
        <c:dLbls>
          <c:showLegendKey val="0"/>
          <c:showVal val="0"/>
          <c:showCatName val="0"/>
          <c:showSerName val="0"/>
          <c:showPercent val="0"/>
          <c:showBubbleSize val="0"/>
        </c:dLbls>
        <c:gapWidth val="150"/>
        <c:shape val="box"/>
        <c:axId val="222301184"/>
        <c:axId val="222675520"/>
        <c:axId val="0"/>
      </c:bar3DChart>
      <c:catAx>
        <c:axId val="222301184"/>
        <c:scaling>
          <c:orientation val="minMax"/>
        </c:scaling>
        <c:delete val="0"/>
        <c:axPos val="b"/>
        <c:numFmt formatCode="General" sourceLinked="0"/>
        <c:majorTickMark val="out"/>
        <c:minorTickMark val="none"/>
        <c:tickLblPos val="nextTo"/>
        <c:crossAx val="222675520"/>
        <c:crosses val="autoZero"/>
        <c:auto val="1"/>
        <c:lblAlgn val="ctr"/>
        <c:lblOffset val="100"/>
        <c:noMultiLvlLbl val="0"/>
      </c:catAx>
      <c:valAx>
        <c:axId val="222675520"/>
        <c:scaling>
          <c:orientation val="minMax"/>
        </c:scaling>
        <c:delete val="0"/>
        <c:axPos val="l"/>
        <c:numFmt formatCode="General" sourceLinked="1"/>
        <c:majorTickMark val="out"/>
        <c:minorTickMark val="none"/>
        <c:tickLblPos val="nextTo"/>
        <c:crossAx val="222301184"/>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внесени с обв. актове в съда ДП за региона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377</c:v>
                </c:pt>
                <c:pt idx="1">
                  <c:v>373</c:v>
                </c:pt>
                <c:pt idx="2">
                  <c:v>382</c:v>
                </c:pt>
              </c:numCache>
            </c:numRef>
          </c:val>
        </c:ser>
        <c:ser>
          <c:idx val="1"/>
          <c:order val="1"/>
          <c:tx>
            <c:strRef>
              <c:f>Лист1!$C$1</c:f>
              <c:strCache>
                <c:ptCount val="1"/>
                <c:pt idx="0">
                  <c:v>дял в % от внесените  в съда  ДП</c:v>
                </c:pt>
              </c:strCache>
            </c:strRef>
          </c:tx>
          <c:spPr>
            <a:ln w="28574">
              <a:noFill/>
            </a:ln>
          </c:spPr>
          <c:invertIfNegative val="0"/>
          <c:dLbls>
            <c:dLbl>
              <c:idx val="0"/>
              <c:layout>
                <c:manualLayout>
                  <c:x val="3.3462033462033462E-2"/>
                  <c:y val="-3.1872509960159362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2.8314028314028267E-2"/>
                  <c:y val="-3.1872509960159362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2.5740025740025738E-2"/>
                  <c:y val="-2.6560424966799372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0.56100000000000005</c:v>
                </c:pt>
                <c:pt idx="1">
                  <c:v>0.55400000000000005</c:v>
                </c:pt>
                <c:pt idx="2">
                  <c:v>0.53500000000000003</c:v>
                </c:pt>
              </c:numCache>
            </c:numRef>
          </c:val>
        </c:ser>
        <c:dLbls>
          <c:showLegendKey val="0"/>
          <c:showVal val="0"/>
          <c:showCatName val="0"/>
          <c:showSerName val="0"/>
          <c:showPercent val="0"/>
          <c:showBubbleSize val="0"/>
        </c:dLbls>
        <c:gapWidth val="150"/>
        <c:shape val="box"/>
        <c:axId val="222793728"/>
        <c:axId val="222679552"/>
        <c:axId val="0"/>
      </c:bar3DChart>
      <c:catAx>
        <c:axId val="222793728"/>
        <c:scaling>
          <c:orientation val="minMax"/>
        </c:scaling>
        <c:delete val="0"/>
        <c:axPos val="b"/>
        <c:numFmt formatCode="General" sourceLinked="0"/>
        <c:majorTickMark val="out"/>
        <c:minorTickMark val="none"/>
        <c:tickLblPos val="nextTo"/>
        <c:crossAx val="222679552"/>
        <c:crosses val="autoZero"/>
        <c:auto val="1"/>
        <c:lblAlgn val="ctr"/>
        <c:lblOffset val="100"/>
        <c:noMultiLvlLbl val="0"/>
      </c:catAx>
      <c:valAx>
        <c:axId val="222679552"/>
        <c:scaling>
          <c:orientation val="minMax"/>
        </c:scaling>
        <c:delete val="0"/>
        <c:axPos val="l"/>
        <c:numFmt formatCode="General" sourceLinked="1"/>
        <c:majorTickMark val="out"/>
        <c:minorTickMark val="none"/>
        <c:tickLblPos val="nextTo"/>
        <c:crossAx val="222793728"/>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внесени със споразумения в съда ДП за региона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146</c:v>
                </c:pt>
                <c:pt idx="1">
                  <c:v>157</c:v>
                </c:pt>
                <c:pt idx="2">
                  <c:v>148</c:v>
                </c:pt>
              </c:numCache>
            </c:numRef>
          </c:val>
        </c:ser>
        <c:ser>
          <c:idx val="1"/>
          <c:order val="1"/>
          <c:tx>
            <c:strRef>
              <c:f>Лист1!$C$1</c:f>
              <c:strCache>
                <c:ptCount val="1"/>
                <c:pt idx="0">
                  <c:v>дял в % от внесените в съда ДП</c:v>
                </c:pt>
              </c:strCache>
            </c:strRef>
          </c:tx>
          <c:spPr>
            <a:ln w="28574">
              <a:noFill/>
            </a:ln>
          </c:spPr>
          <c:invertIfNegative val="0"/>
          <c:dLbls>
            <c:dLbl>
              <c:idx val="0"/>
              <c:layout>
                <c:manualLayout>
                  <c:x val="3.8610038610038609E-2"/>
                  <c:y val="-4.780876494023914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3.088803088803084E-2"/>
                  <c:y val="-2.6560424966799567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3.8610038610038609E-2"/>
                  <c:y val="-2.6560424966799469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0.217</c:v>
                </c:pt>
                <c:pt idx="1">
                  <c:v>0.23300000000000001</c:v>
                </c:pt>
                <c:pt idx="2">
                  <c:v>0.20699999999999999</c:v>
                </c:pt>
              </c:numCache>
            </c:numRef>
          </c:val>
        </c:ser>
        <c:dLbls>
          <c:showLegendKey val="0"/>
          <c:showVal val="0"/>
          <c:showCatName val="0"/>
          <c:showSerName val="0"/>
          <c:showPercent val="0"/>
          <c:showBubbleSize val="0"/>
        </c:dLbls>
        <c:gapWidth val="150"/>
        <c:shape val="box"/>
        <c:axId val="222796288"/>
        <c:axId val="222681280"/>
        <c:axId val="0"/>
      </c:bar3DChart>
      <c:catAx>
        <c:axId val="222796288"/>
        <c:scaling>
          <c:orientation val="minMax"/>
        </c:scaling>
        <c:delete val="0"/>
        <c:axPos val="b"/>
        <c:numFmt formatCode="General" sourceLinked="0"/>
        <c:majorTickMark val="out"/>
        <c:minorTickMark val="none"/>
        <c:tickLblPos val="nextTo"/>
        <c:crossAx val="222681280"/>
        <c:crosses val="autoZero"/>
        <c:auto val="1"/>
        <c:lblAlgn val="ctr"/>
        <c:lblOffset val="100"/>
        <c:noMultiLvlLbl val="0"/>
      </c:catAx>
      <c:valAx>
        <c:axId val="222681280"/>
        <c:scaling>
          <c:orientation val="minMax"/>
        </c:scaling>
        <c:delete val="0"/>
        <c:axPos val="l"/>
        <c:numFmt formatCode="General" sourceLinked="1"/>
        <c:majorTickMark val="out"/>
        <c:minorTickMark val="none"/>
        <c:tickLblPos val="nextTo"/>
        <c:crossAx val="222796288"/>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внесени в съда ДП с предложение по чл. 78а от НК за региона за периода</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150</c:v>
                </c:pt>
                <c:pt idx="1">
                  <c:v>143</c:v>
                </c:pt>
                <c:pt idx="2">
                  <c:v>184</c:v>
                </c:pt>
              </c:numCache>
            </c:numRef>
          </c:val>
        </c:ser>
        <c:ser>
          <c:idx val="1"/>
          <c:order val="1"/>
          <c:tx>
            <c:strRef>
              <c:f>Лист1!$C$1</c:f>
              <c:strCache>
                <c:ptCount val="1"/>
                <c:pt idx="0">
                  <c:v>дял в % от внесените в съда ДП</c:v>
                </c:pt>
              </c:strCache>
            </c:strRef>
          </c:tx>
          <c:spPr>
            <a:ln w="28575">
              <a:noFill/>
            </a:ln>
          </c:spPr>
          <c:invertIfNegative val="0"/>
          <c:dLbls>
            <c:dLbl>
              <c:idx val="0"/>
              <c:layout>
                <c:manualLayout>
                  <c:x val="3.8610038610038609E-2"/>
                  <c:y val="-4.0404040404040407E-2"/>
                </c:manualLayout>
              </c:layout>
              <c:spPr>
                <a:noFill/>
                <a:ln w="25400">
                  <a:noFill/>
                </a:ln>
              </c:spPr>
              <c:txPr>
                <a:bodyPr/>
                <a:lstStyle/>
                <a:p>
                  <a:pPr>
                    <a:defRPr/>
                  </a:pPr>
                  <a:endParaRPr lang="bg-BG"/>
                </a:p>
              </c:txPr>
              <c:showLegendKey val="0"/>
              <c:showVal val="1"/>
              <c:showCatName val="0"/>
              <c:showSerName val="0"/>
              <c:showPercent val="0"/>
              <c:showBubbleSize val="0"/>
            </c:dLbl>
            <c:dLbl>
              <c:idx val="1"/>
              <c:layout>
                <c:manualLayout>
                  <c:x val="3.6036036036036036E-2"/>
                  <c:y val="-2.3088023088023196E-2"/>
                </c:manualLayout>
              </c:layout>
              <c:spPr>
                <a:noFill/>
                <a:ln w="25400">
                  <a:noFill/>
                </a:ln>
              </c:spPr>
              <c:txPr>
                <a:bodyPr/>
                <a:lstStyle/>
                <a:p>
                  <a:pPr>
                    <a:defRPr/>
                  </a:pPr>
                  <a:endParaRPr lang="bg-BG"/>
                </a:p>
              </c:txPr>
              <c:showLegendKey val="0"/>
              <c:showVal val="1"/>
              <c:showCatName val="0"/>
              <c:showSerName val="0"/>
              <c:showPercent val="0"/>
              <c:showBubbleSize val="0"/>
            </c:dLbl>
            <c:dLbl>
              <c:idx val="2"/>
              <c:layout>
                <c:manualLayout>
                  <c:x val="3.0888030888030889E-2"/>
                  <c:y val="-2.886002886002886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0.223</c:v>
                </c:pt>
                <c:pt idx="1">
                  <c:v>0.21199999999999999</c:v>
                </c:pt>
                <c:pt idx="2">
                  <c:v>0.25700000000000001</c:v>
                </c:pt>
              </c:numCache>
            </c:numRef>
          </c:val>
        </c:ser>
        <c:dLbls>
          <c:showLegendKey val="0"/>
          <c:showVal val="0"/>
          <c:showCatName val="0"/>
          <c:showSerName val="0"/>
          <c:showPercent val="0"/>
          <c:showBubbleSize val="0"/>
        </c:dLbls>
        <c:gapWidth val="150"/>
        <c:shape val="box"/>
        <c:axId val="222870528"/>
        <c:axId val="222680128"/>
        <c:axId val="0"/>
      </c:bar3DChart>
      <c:catAx>
        <c:axId val="222870528"/>
        <c:scaling>
          <c:orientation val="minMax"/>
        </c:scaling>
        <c:delete val="0"/>
        <c:axPos val="b"/>
        <c:numFmt formatCode="General" sourceLinked="0"/>
        <c:majorTickMark val="out"/>
        <c:minorTickMark val="none"/>
        <c:tickLblPos val="nextTo"/>
        <c:crossAx val="222680128"/>
        <c:crosses val="autoZero"/>
        <c:auto val="1"/>
        <c:lblAlgn val="ctr"/>
        <c:lblOffset val="100"/>
        <c:noMultiLvlLbl val="0"/>
      </c:catAx>
      <c:valAx>
        <c:axId val="222680128"/>
        <c:scaling>
          <c:orientation val="minMax"/>
        </c:scaling>
        <c:delete val="0"/>
        <c:axPos val="l"/>
        <c:numFmt formatCode="General" sourceLinked="1"/>
        <c:majorTickMark val="out"/>
        <c:minorTickMark val="none"/>
        <c:tickLblPos val="nextTo"/>
        <c:crossAx val="222870528"/>
        <c:crosses val="autoZero"/>
        <c:crossBetween val="between"/>
      </c:valAx>
      <c:spPr>
        <a:noFill/>
        <a:ln w="25400">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прекратени за региона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710</c:v>
                </c:pt>
                <c:pt idx="1">
                  <c:v>822</c:v>
                </c:pt>
                <c:pt idx="2">
                  <c:v>864</c:v>
                </c:pt>
              </c:numCache>
            </c:numRef>
          </c:val>
        </c:ser>
        <c:ser>
          <c:idx val="1"/>
          <c:order val="1"/>
          <c:tx>
            <c:strRef>
              <c:f>Лист1!$C$1</c:f>
              <c:strCache>
                <c:ptCount val="1"/>
                <c:pt idx="0">
                  <c:v>дял в % от решените в региона за периода ДП</c:v>
                </c:pt>
              </c:strCache>
            </c:strRef>
          </c:tx>
          <c:spPr>
            <a:ln w="28574">
              <a:noFill/>
            </a:ln>
          </c:spPr>
          <c:invertIfNegative val="0"/>
          <c:dLbls>
            <c:dLbl>
              <c:idx val="0"/>
              <c:layout>
                <c:manualLayout>
                  <c:x val="2.8602860286028604E-2"/>
                  <c:y val="-3.7184594953519258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1.9801980198019802E-2"/>
                  <c:y val="-2.6560424966799567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2.4202420242024202E-2"/>
                  <c:y val="-2.6560424966799469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0.40899999999999997</c:v>
                </c:pt>
                <c:pt idx="1">
                  <c:v>0.438</c:v>
                </c:pt>
                <c:pt idx="2">
                  <c:v>0.43099999999999999</c:v>
                </c:pt>
              </c:numCache>
            </c:numRef>
          </c:val>
        </c:ser>
        <c:dLbls>
          <c:showLegendKey val="0"/>
          <c:showVal val="0"/>
          <c:showCatName val="0"/>
          <c:showSerName val="0"/>
          <c:showPercent val="0"/>
          <c:showBubbleSize val="0"/>
        </c:dLbls>
        <c:gapWidth val="150"/>
        <c:shape val="box"/>
        <c:axId val="222867456"/>
        <c:axId val="222682432"/>
        <c:axId val="0"/>
      </c:bar3DChart>
      <c:catAx>
        <c:axId val="222867456"/>
        <c:scaling>
          <c:orientation val="minMax"/>
        </c:scaling>
        <c:delete val="0"/>
        <c:axPos val="b"/>
        <c:numFmt formatCode="General" sourceLinked="0"/>
        <c:majorTickMark val="out"/>
        <c:minorTickMark val="none"/>
        <c:tickLblPos val="nextTo"/>
        <c:crossAx val="222682432"/>
        <c:crosses val="autoZero"/>
        <c:auto val="1"/>
        <c:lblAlgn val="ctr"/>
        <c:lblOffset val="100"/>
        <c:noMultiLvlLbl val="0"/>
      </c:catAx>
      <c:valAx>
        <c:axId val="222682432"/>
        <c:scaling>
          <c:orientation val="minMax"/>
        </c:scaling>
        <c:delete val="0"/>
        <c:axPos val="l"/>
        <c:numFmt formatCode="General" sourceLinked="1"/>
        <c:majorTickMark val="out"/>
        <c:minorTickMark val="none"/>
        <c:tickLblPos val="nextTo"/>
        <c:crossAx val="222867456"/>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прекратени по давност за региона ДП за периода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368</c:v>
                </c:pt>
                <c:pt idx="1">
                  <c:v>488</c:v>
                </c:pt>
                <c:pt idx="2">
                  <c:v>532</c:v>
                </c:pt>
              </c:numCache>
            </c:numRef>
          </c:val>
        </c:ser>
        <c:ser>
          <c:idx val="1"/>
          <c:order val="1"/>
          <c:tx>
            <c:strRef>
              <c:f>Лист1!$C$1</c:f>
              <c:strCache>
                <c:ptCount val="1"/>
                <c:pt idx="0">
                  <c:v>дял в % от прекратените в региона за периода ДП</c:v>
                </c:pt>
              </c:strCache>
            </c:strRef>
          </c:tx>
          <c:spPr>
            <a:ln w="28574">
              <a:noFill/>
            </a:ln>
          </c:spPr>
          <c:invertIfNegative val="0"/>
          <c:dLbls>
            <c:dLbl>
              <c:idx val="0"/>
              <c:layout>
                <c:manualLayout>
                  <c:x val="3.2894736842105261E-2"/>
                  <c:y val="-2.6560424966799567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2.6315789473684209E-2"/>
                  <c:y val="-2.6560424966799372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1.7543859649122806E-2"/>
                  <c:y val="-1.5936254980079681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0.51800000000000002</c:v>
                </c:pt>
                <c:pt idx="1">
                  <c:v>0.59399999999999997</c:v>
                </c:pt>
                <c:pt idx="2">
                  <c:v>0.61599999999999999</c:v>
                </c:pt>
              </c:numCache>
            </c:numRef>
          </c:val>
        </c:ser>
        <c:dLbls>
          <c:showLegendKey val="0"/>
          <c:showVal val="0"/>
          <c:showCatName val="0"/>
          <c:showSerName val="0"/>
          <c:showPercent val="0"/>
          <c:showBubbleSize val="0"/>
        </c:dLbls>
        <c:gapWidth val="150"/>
        <c:shape val="box"/>
        <c:axId val="222868992"/>
        <c:axId val="223415680"/>
        <c:axId val="0"/>
      </c:bar3DChart>
      <c:catAx>
        <c:axId val="222868992"/>
        <c:scaling>
          <c:orientation val="minMax"/>
        </c:scaling>
        <c:delete val="0"/>
        <c:axPos val="b"/>
        <c:numFmt formatCode="General" sourceLinked="0"/>
        <c:majorTickMark val="out"/>
        <c:minorTickMark val="none"/>
        <c:tickLblPos val="nextTo"/>
        <c:crossAx val="223415680"/>
        <c:crosses val="autoZero"/>
        <c:auto val="1"/>
        <c:lblAlgn val="ctr"/>
        <c:lblOffset val="100"/>
        <c:noMultiLvlLbl val="0"/>
      </c:catAx>
      <c:valAx>
        <c:axId val="223415680"/>
        <c:scaling>
          <c:orientation val="minMax"/>
        </c:scaling>
        <c:delete val="0"/>
        <c:axPos val="l"/>
        <c:numFmt formatCode="General" sourceLinked="1"/>
        <c:majorTickMark val="out"/>
        <c:minorTickMark val="none"/>
        <c:tickLblPos val="nextTo"/>
        <c:crossAx val="222868992"/>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Продажби</c:v>
                </c:pt>
              </c:strCache>
            </c:strRef>
          </c:tx>
          <c:dPt>
            <c:idx val="0"/>
            <c:bubble3D val="0"/>
          </c:dPt>
          <c:dPt>
            <c:idx val="1"/>
            <c:bubble3D val="0"/>
          </c:dPt>
          <c:dPt>
            <c:idx val="2"/>
            <c:bubble3D val="0"/>
          </c:dPt>
          <c:dPt>
            <c:idx val="3"/>
            <c:bubble3D val="0"/>
            <c:spPr>
              <a:solidFill>
                <a:srgbClr val="FFFF00"/>
              </a:solidFill>
            </c:spPr>
          </c:dPt>
          <c:dLbls>
            <c:dLbl>
              <c:idx val="0"/>
              <c:layout>
                <c:manualLayout>
                  <c:x val="-0.18659121330341874"/>
                  <c:y val="-9.9491768074445236E-2"/>
                </c:manualLayout>
              </c:layout>
              <c:spPr>
                <a:noFill/>
                <a:ln w="25399">
                  <a:noFill/>
                </a:ln>
              </c:spPr>
              <c:txPr>
                <a:bodyPr/>
                <a:lstStyle/>
                <a:p>
                  <a:pPr>
                    <a:defRPr/>
                  </a:pPr>
                  <a:endParaRPr lang="bg-BG"/>
                </a:p>
              </c:txPr>
              <c:dLblPos val="bestFit"/>
              <c:showLegendKey val="0"/>
              <c:showVal val="1"/>
              <c:showCatName val="0"/>
              <c:showSerName val="0"/>
              <c:showPercent val="0"/>
              <c:showBubbleSize val="0"/>
            </c:dLbl>
            <c:dLbl>
              <c:idx val="1"/>
              <c:layout>
                <c:manualLayout>
                  <c:x val="0.13540382316094335"/>
                  <c:y val="0.1487899665950847"/>
                </c:manualLayout>
              </c:layout>
              <c:spPr>
                <a:noFill/>
                <a:ln w="25399">
                  <a:noFill/>
                </a:ln>
              </c:spPr>
              <c:txPr>
                <a:bodyPr/>
                <a:lstStyle/>
                <a:p>
                  <a:pPr>
                    <a:defRPr/>
                  </a:pPr>
                  <a:endParaRPr lang="bg-BG"/>
                </a:p>
              </c:txPr>
              <c:dLblPos val="bestFit"/>
              <c:showLegendKey val="0"/>
              <c:showVal val="1"/>
              <c:showCatName val="0"/>
              <c:showSerName val="0"/>
              <c:showPercent val="0"/>
              <c:showBubbleSize val="0"/>
            </c:dLbl>
            <c:dLbl>
              <c:idx val="2"/>
              <c:layout>
                <c:manualLayout>
                  <c:x val="-2.3624238440249416E-2"/>
                  <c:y val="1.4113278453829635E-2"/>
                </c:manualLayout>
              </c:layout>
              <c:spPr>
                <a:noFill/>
                <a:ln w="25399">
                  <a:noFill/>
                </a:ln>
              </c:spPr>
              <c:txPr>
                <a:bodyPr/>
                <a:lstStyle/>
                <a:p>
                  <a:pPr>
                    <a:defRPr/>
                  </a:pPr>
                  <a:endParaRPr lang="bg-BG"/>
                </a:p>
              </c:txPr>
              <c:dLblPos val="bestFit"/>
              <c:showLegendKey val="0"/>
              <c:showVal val="1"/>
              <c:showCatName val="0"/>
              <c:showSerName val="0"/>
              <c:showPercent val="0"/>
              <c:showBubbleSize val="0"/>
            </c:dLbl>
            <c:dLbl>
              <c:idx val="3"/>
              <c:layout>
                <c:manualLayout>
                  <c:x val="1.9906350181726377E-2"/>
                  <c:y val="1.4710987831066571E-2"/>
                </c:manualLayout>
              </c:layout>
              <c:spPr>
                <a:noFill/>
                <a:ln w="25399">
                  <a:noFill/>
                </a:ln>
              </c:spPr>
              <c:txPr>
                <a:bodyPr/>
                <a:lstStyle/>
                <a:p>
                  <a:pPr>
                    <a:defRPr/>
                  </a:pPr>
                  <a:endParaRPr lang="bg-BG"/>
                </a:p>
              </c:txPr>
              <c:dLblPos val="bestFit"/>
              <c:showLegendKey val="0"/>
              <c:showVal val="1"/>
              <c:showCatName val="0"/>
              <c:showSerName val="0"/>
              <c:showPercent val="0"/>
              <c:showBubbleSize val="0"/>
            </c:dLbl>
            <c:showLegendKey val="0"/>
            <c:showVal val="0"/>
            <c:showCatName val="0"/>
            <c:showSerName val="0"/>
            <c:showPercent val="0"/>
            <c:showBubbleSize val="0"/>
          </c:dLbls>
          <c:cat>
            <c:strRef>
              <c:f>Лист1!$A$2:$A$6</c:f>
              <c:strCache>
                <c:ptCount val="4"/>
                <c:pt idx="0">
                  <c:v>разследвани по общия ред от разсл. полицай</c:v>
                </c:pt>
                <c:pt idx="1">
                  <c:v>бързи </c:v>
                </c:pt>
                <c:pt idx="2">
                  <c:v>разследвани от следовател</c:v>
                </c:pt>
                <c:pt idx="3">
                  <c:v>разследвани от разсл. митнически инспектор</c:v>
                </c:pt>
              </c:strCache>
            </c:strRef>
          </c:cat>
          <c:val>
            <c:numRef>
              <c:f>Лист1!$B$2:$B$6</c:f>
              <c:numCache>
                <c:formatCode>0.00%</c:formatCode>
                <c:ptCount val="4"/>
                <c:pt idx="0">
                  <c:v>0.68799999999999994</c:v>
                </c:pt>
                <c:pt idx="1">
                  <c:v>0.27239999999999998</c:v>
                </c:pt>
                <c:pt idx="2">
                  <c:v>3.7999999999999999E-2</c:v>
                </c:pt>
                <c:pt idx="3">
                  <c:v>1.6000000000000001E-3</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r"/>
      <c:overlay val="0"/>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с обща продължителност над 1 година от образуването на ДП до решаването му за региона за периода</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131</c:v>
                </c:pt>
                <c:pt idx="1">
                  <c:v>130</c:v>
                </c:pt>
                <c:pt idx="2">
                  <c:v>95</c:v>
                </c:pt>
              </c:numCache>
            </c:numRef>
          </c:val>
        </c:ser>
        <c:ser>
          <c:idx val="1"/>
          <c:order val="1"/>
          <c:tx>
            <c:strRef>
              <c:f>Лист1!$C$1</c:f>
              <c:strCache>
                <c:ptCount val="1"/>
                <c:pt idx="0">
                  <c:v>дял в % от решените в региона за периода ДП</c:v>
                </c:pt>
              </c:strCache>
            </c:strRef>
          </c:tx>
          <c:spPr>
            <a:ln w="28575">
              <a:noFill/>
            </a:ln>
          </c:spPr>
          <c:invertIfNegative val="0"/>
          <c:dLbls>
            <c:dLbl>
              <c:idx val="0"/>
              <c:layout>
                <c:manualLayout>
                  <c:x val="2.6101141924959218E-2"/>
                  <c:y val="-4.6176046176046176E-2"/>
                </c:manualLayout>
              </c:layout>
              <c:spPr>
                <a:noFill/>
                <a:ln w="25400">
                  <a:noFill/>
                </a:ln>
              </c:spPr>
              <c:txPr>
                <a:bodyPr/>
                <a:lstStyle/>
                <a:p>
                  <a:pPr>
                    <a:defRPr/>
                  </a:pPr>
                  <a:endParaRPr lang="bg-BG"/>
                </a:p>
              </c:txPr>
              <c:showLegendKey val="0"/>
              <c:showVal val="1"/>
              <c:showCatName val="0"/>
              <c:showSerName val="0"/>
              <c:showPercent val="0"/>
              <c:showBubbleSize val="0"/>
            </c:dLbl>
            <c:dLbl>
              <c:idx val="1"/>
              <c:layout>
                <c:manualLayout>
                  <c:x val="1.9575856443719411E-2"/>
                  <c:y val="-5.194805194805184E-2"/>
                </c:manualLayout>
              </c:layout>
              <c:spPr>
                <a:noFill/>
                <a:ln w="25400">
                  <a:noFill/>
                </a:ln>
              </c:spPr>
              <c:txPr>
                <a:bodyPr/>
                <a:lstStyle/>
                <a:p>
                  <a:pPr>
                    <a:defRPr/>
                  </a:pPr>
                  <a:endParaRPr lang="bg-BG"/>
                </a:p>
              </c:txPr>
              <c:showLegendKey val="0"/>
              <c:showVal val="1"/>
              <c:showCatName val="0"/>
              <c:showSerName val="0"/>
              <c:showPercent val="0"/>
              <c:showBubbleSize val="0"/>
            </c:dLbl>
            <c:dLbl>
              <c:idx val="2"/>
              <c:layout>
                <c:manualLayout>
                  <c:x val="1.5225666122892877E-2"/>
                  <c:y val="-3.4632034632034528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0.129</c:v>
                </c:pt>
                <c:pt idx="1">
                  <c:v>0.13100000000000001</c:v>
                </c:pt>
                <c:pt idx="2">
                  <c:v>9.0999999999999998E-2</c:v>
                </c:pt>
              </c:numCache>
            </c:numRef>
          </c:val>
        </c:ser>
        <c:dLbls>
          <c:showLegendKey val="0"/>
          <c:showVal val="0"/>
          <c:showCatName val="0"/>
          <c:showSerName val="0"/>
          <c:showPercent val="0"/>
          <c:showBubbleSize val="0"/>
        </c:dLbls>
        <c:gapWidth val="150"/>
        <c:shape val="box"/>
        <c:axId val="223059968"/>
        <c:axId val="223417408"/>
        <c:axId val="0"/>
      </c:bar3DChart>
      <c:catAx>
        <c:axId val="223059968"/>
        <c:scaling>
          <c:orientation val="minMax"/>
        </c:scaling>
        <c:delete val="0"/>
        <c:axPos val="b"/>
        <c:numFmt formatCode="General" sourceLinked="0"/>
        <c:majorTickMark val="out"/>
        <c:minorTickMark val="none"/>
        <c:tickLblPos val="nextTo"/>
        <c:crossAx val="223417408"/>
        <c:crosses val="autoZero"/>
        <c:auto val="1"/>
        <c:lblAlgn val="ctr"/>
        <c:lblOffset val="100"/>
        <c:noMultiLvlLbl val="0"/>
      </c:catAx>
      <c:valAx>
        <c:axId val="223417408"/>
        <c:scaling>
          <c:orientation val="minMax"/>
        </c:scaling>
        <c:delete val="0"/>
        <c:axPos val="l"/>
        <c:numFmt formatCode="General" sourceLinked="1"/>
        <c:majorTickMark val="out"/>
        <c:minorTickMark val="none"/>
        <c:tickLblPos val="nextTo"/>
        <c:crossAx val="223059968"/>
        <c:crosses val="autoZero"/>
        <c:crossBetween val="between"/>
      </c:valAx>
      <c:spPr>
        <a:noFill/>
        <a:ln w="25400">
          <a:noFill/>
        </a:ln>
      </c:spPr>
    </c:plotArea>
    <c:legend>
      <c:legendPos val="r"/>
      <c:layout>
        <c:manualLayout>
          <c:xMode val="edge"/>
          <c:yMode val="edge"/>
          <c:x val="0.65128977148655764"/>
          <c:y val="7.672904523298224E-2"/>
          <c:w val="0.33565965755096272"/>
          <c:h val="0.62143322993716699"/>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спрени за региона ДП за периода</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299</c:v>
                </c:pt>
                <c:pt idx="1">
                  <c:v>322</c:v>
                </c:pt>
                <c:pt idx="2">
                  <c:v>352</c:v>
                </c:pt>
              </c:numCache>
            </c:numRef>
          </c:val>
        </c:ser>
        <c:ser>
          <c:idx val="1"/>
          <c:order val="1"/>
          <c:tx>
            <c:strRef>
              <c:f>Лист1!$C$1</c:f>
              <c:strCache>
                <c:ptCount val="1"/>
                <c:pt idx="0">
                  <c:v>дял в % от тези с приключенено разследване в региона за периода ДП</c:v>
                </c:pt>
              </c:strCache>
            </c:strRef>
          </c:tx>
          <c:spPr>
            <a:ln w="28575">
              <a:noFill/>
            </a:ln>
          </c:spPr>
          <c:invertIfNegative val="0"/>
          <c:dLbls>
            <c:dLbl>
              <c:idx val="0"/>
              <c:layout>
                <c:manualLayout>
                  <c:x val="2.4485253199777408E-2"/>
                  <c:y val="-5.1948051948051951E-2"/>
                </c:manualLayout>
              </c:layout>
              <c:spPr>
                <a:noFill/>
                <a:ln w="25400">
                  <a:noFill/>
                </a:ln>
              </c:spPr>
              <c:txPr>
                <a:bodyPr/>
                <a:lstStyle/>
                <a:p>
                  <a:pPr>
                    <a:defRPr/>
                  </a:pPr>
                  <a:endParaRPr lang="bg-BG"/>
                </a:p>
              </c:txPr>
              <c:showLegendKey val="0"/>
              <c:showVal val="1"/>
              <c:showCatName val="0"/>
              <c:showSerName val="0"/>
              <c:showPercent val="0"/>
              <c:showBubbleSize val="0"/>
            </c:dLbl>
            <c:dLbl>
              <c:idx val="1"/>
              <c:layout>
                <c:manualLayout>
                  <c:x val="2.4485253199777408E-2"/>
                  <c:y val="-5.1948051948051951E-2"/>
                </c:manualLayout>
              </c:layout>
              <c:spPr>
                <a:noFill/>
                <a:ln w="25400">
                  <a:noFill/>
                </a:ln>
              </c:spPr>
              <c:txPr>
                <a:bodyPr/>
                <a:lstStyle/>
                <a:p>
                  <a:pPr>
                    <a:defRPr/>
                  </a:pPr>
                  <a:endParaRPr lang="bg-BG"/>
                </a:p>
              </c:txPr>
              <c:showLegendKey val="0"/>
              <c:showVal val="1"/>
              <c:showCatName val="0"/>
              <c:showSerName val="0"/>
              <c:showPercent val="0"/>
              <c:showBubbleSize val="0"/>
            </c:dLbl>
            <c:dLbl>
              <c:idx val="2"/>
              <c:layout>
                <c:manualLayout>
                  <c:x val="2.003338898163606E-2"/>
                  <c:y val="-3.4632034632034736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0.223</c:v>
                </c:pt>
                <c:pt idx="1">
                  <c:v>0.23799999999999999</c:v>
                </c:pt>
                <c:pt idx="2">
                  <c:v>0.248</c:v>
                </c:pt>
              </c:numCache>
            </c:numRef>
          </c:val>
        </c:ser>
        <c:dLbls>
          <c:showLegendKey val="0"/>
          <c:showVal val="0"/>
          <c:showCatName val="0"/>
          <c:showSerName val="0"/>
          <c:showPercent val="0"/>
          <c:showBubbleSize val="0"/>
        </c:dLbls>
        <c:gapWidth val="150"/>
        <c:shape val="box"/>
        <c:axId val="223316480"/>
        <c:axId val="223416256"/>
        <c:axId val="0"/>
      </c:bar3DChart>
      <c:catAx>
        <c:axId val="223316480"/>
        <c:scaling>
          <c:orientation val="minMax"/>
        </c:scaling>
        <c:delete val="0"/>
        <c:axPos val="b"/>
        <c:numFmt formatCode="General" sourceLinked="0"/>
        <c:majorTickMark val="out"/>
        <c:minorTickMark val="none"/>
        <c:tickLblPos val="nextTo"/>
        <c:crossAx val="223416256"/>
        <c:crosses val="autoZero"/>
        <c:auto val="1"/>
        <c:lblAlgn val="ctr"/>
        <c:lblOffset val="100"/>
        <c:noMultiLvlLbl val="0"/>
      </c:catAx>
      <c:valAx>
        <c:axId val="223416256"/>
        <c:scaling>
          <c:orientation val="minMax"/>
        </c:scaling>
        <c:delete val="0"/>
        <c:axPos val="l"/>
        <c:numFmt formatCode="General" sourceLinked="1"/>
        <c:majorTickMark val="out"/>
        <c:minorTickMark val="none"/>
        <c:tickLblPos val="nextTo"/>
        <c:crossAx val="223316480"/>
        <c:crosses val="autoZero"/>
        <c:crossBetween val="between"/>
      </c:valAx>
      <c:spPr>
        <a:noFill/>
        <a:ln w="25400">
          <a:noFill/>
        </a:ln>
      </c:spPr>
    </c:plotArea>
    <c:legend>
      <c:legendPos val="r"/>
      <c:layout>
        <c:manualLayout>
          <c:xMode val="edge"/>
          <c:yMode val="edge"/>
          <c:x val="0.64663319885673265"/>
          <c:y val="5.9891604458533594E-2"/>
          <c:w val="0.34001115593664466"/>
          <c:h val="0.51080796718591992"/>
        </c:manualLayout>
      </c:layout>
      <c:overlay val="0"/>
      <c:txPr>
        <a:bodyPr/>
        <a:lstStyle/>
        <a:p>
          <a:pPr rtl="0">
            <a:defRPr/>
          </a:pPr>
          <a:endParaRPr lang="bg-BG"/>
        </a:p>
      </c:txPr>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внесени в съда искания по чл. 64 от НПК за вземане на п.м.н. "задържане под стража" за региона за периода</c:v>
                </c:pt>
              </c:strCache>
            </c:strRef>
          </c:tx>
          <c:spPr>
            <a:ln w="28573">
              <a:noFill/>
            </a:ln>
          </c:spPr>
          <c:invertIfNegative val="0"/>
          <c:dLbls>
            <c:spPr>
              <a:noFill/>
              <a:ln w="25398">
                <a:noFill/>
              </a:ln>
            </c:spPr>
            <c:showLegendKey val="0"/>
            <c:showVal val="1"/>
            <c:showCatName val="0"/>
            <c:showSerName val="0"/>
            <c:showPercent val="0"/>
            <c:showBubbleSize val="0"/>
            <c:showLeaderLines val="0"/>
          </c:dLbls>
          <c:cat>
            <c:strRef>
              <c:f>Лист1!$A$2:$A$5</c:f>
              <c:strCache>
                <c:ptCount val="3"/>
                <c:pt idx="0">
                  <c:v>2019г.</c:v>
                </c:pt>
                <c:pt idx="1">
                  <c:v>2018г.</c:v>
                </c:pt>
                <c:pt idx="2">
                  <c:v>2017г.</c:v>
                </c:pt>
              </c:strCache>
            </c:strRef>
          </c:cat>
          <c:val>
            <c:numRef>
              <c:f>Лист1!$B$2:$B$5</c:f>
              <c:numCache>
                <c:formatCode>General</c:formatCode>
                <c:ptCount val="3"/>
                <c:pt idx="0">
                  <c:v>49</c:v>
                </c:pt>
                <c:pt idx="1">
                  <c:v>56</c:v>
                </c:pt>
                <c:pt idx="2">
                  <c:v>34</c:v>
                </c:pt>
              </c:numCache>
            </c:numRef>
          </c:val>
        </c:ser>
        <c:dLbls>
          <c:showLegendKey val="0"/>
          <c:showVal val="0"/>
          <c:showCatName val="0"/>
          <c:showSerName val="0"/>
          <c:showPercent val="0"/>
          <c:showBubbleSize val="0"/>
        </c:dLbls>
        <c:gapWidth val="150"/>
        <c:shape val="box"/>
        <c:axId val="223313920"/>
        <c:axId val="223418560"/>
        <c:axId val="0"/>
      </c:bar3DChart>
      <c:catAx>
        <c:axId val="223313920"/>
        <c:scaling>
          <c:orientation val="minMax"/>
        </c:scaling>
        <c:delete val="0"/>
        <c:axPos val="b"/>
        <c:numFmt formatCode="General" sourceLinked="0"/>
        <c:majorTickMark val="out"/>
        <c:minorTickMark val="none"/>
        <c:tickLblPos val="nextTo"/>
        <c:crossAx val="223418560"/>
        <c:crosses val="autoZero"/>
        <c:auto val="1"/>
        <c:lblAlgn val="ctr"/>
        <c:lblOffset val="100"/>
        <c:noMultiLvlLbl val="0"/>
      </c:catAx>
      <c:valAx>
        <c:axId val="223418560"/>
        <c:scaling>
          <c:orientation val="minMax"/>
        </c:scaling>
        <c:delete val="0"/>
        <c:axPos val="l"/>
        <c:numFmt formatCode="General" sourceLinked="1"/>
        <c:majorTickMark val="out"/>
        <c:minorTickMark val="none"/>
        <c:tickLblPos val="nextTo"/>
        <c:crossAx val="223313920"/>
        <c:crosses val="autoZero"/>
        <c:crossBetween val="between"/>
      </c:valAx>
      <c:spPr>
        <a:noFill/>
        <a:ln w="25398">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2019г.</c:v>
                </c:pt>
              </c:strCache>
            </c:strRef>
          </c:tx>
          <c:invertIfNegative val="0"/>
          <c:dLbls>
            <c:showLegendKey val="0"/>
            <c:showVal val="1"/>
            <c:showCatName val="0"/>
            <c:showSerName val="0"/>
            <c:showPercent val="0"/>
            <c:showBubbleSize val="0"/>
            <c:showLeaderLines val="0"/>
          </c:dLbls>
          <c:cat>
            <c:strRef>
              <c:f>Лист1!$A$2:$A$5</c:f>
              <c:strCache>
                <c:ptCount val="4"/>
                <c:pt idx="0">
                  <c:v>ОП Разград</c:v>
                </c:pt>
                <c:pt idx="1">
                  <c:v>РП Разград</c:v>
                </c:pt>
                <c:pt idx="2">
                  <c:v>РП Исперих</c:v>
                </c:pt>
                <c:pt idx="3">
                  <c:v>РП Кубрат</c:v>
                </c:pt>
              </c:strCache>
            </c:strRef>
          </c:cat>
          <c:val>
            <c:numRef>
              <c:f>Лист1!$B$2:$B$5</c:f>
              <c:numCache>
                <c:formatCode>General</c:formatCode>
                <c:ptCount val="4"/>
                <c:pt idx="0">
                  <c:v>40</c:v>
                </c:pt>
                <c:pt idx="1">
                  <c:v>296</c:v>
                </c:pt>
                <c:pt idx="2">
                  <c:v>191</c:v>
                </c:pt>
                <c:pt idx="3">
                  <c:v>146</c:v>
                </c:pt>
              </c:numCache>
            </c:numRef>
          </c:val>
        </c:ser>
        <c:ser>
          <c:idx val="1"/>
          <c:order val="1"/>
          <c:tx>
            <c:strRef>
              <c:f>Лист1!$C$1</c:f>
              <c:strCache>
                <c:ptCount val="1"/>
                <c:pt idx="0">
                  <c:v>2018г.</c:v>
                </c:pt>
              </c:strCache>
            </c:strRef>
          </c:tx>
          <c:invertIfNegative val="0"/>
          <c:dLbls>
            <c:showLegendKey val="0"/>
            <c:showVal val="1"/>
            <c:showCatName val="0"/>
            <c:showSerName val="0"/>
            <c:showPercent val="0"/>
            <c:showBubbleSize val="0"/>
            <c:showLeaderLines val="0"/>
          </c:dLbls>
          <c:cat>
            <c:strRef>
              <c:f>Лист1!$A$2:$A$5</c:f>
              <c:strCache>
                <c:ptCount val="4"/>
                <c:pt idx="0">
                  <c:v>ОП Разград</c:v>
                </c:pt>
                <c:pt idx="1">
                  <c:v>РП Разград</c:v>
                </c:pt>
                <c:pt idx="2">
                  <c:v>РП Исперих</c:v>
                </c:pt>
                <c:pt idx="3">
                  <c:v>РП Кубрат</c:v>
                </c:pt>
              </c:strCache>
            </c:strRef>
          </c:cat>
          <c:val>
            <c:numRef>
              <c:f>Лист1!$C$2:$C$5</c:f>
              <c:numCache>
                <c:formatCode>General</c:formatCode>
                <c:ptCount val="4"/>
                <c:pt idx="0">
                  <c:v>51</c:v>
                </c:pt>
                <c:pt idx="1">
                  <c:v>263</c:v>
                </c:pt>
                <c:pt idx="2">
                  <c:v>184</c:v>
                </c:pt>
                <c:pt idx="3">
                  <c:v>175</c:v>
                </c:pt>
              </c:numCache>
            </c:numRef>
          </c:val>
        </c:ser>
        <c:ser>
          <c:idx val="2"/>
          <c:order val="2"/>
          <c:tx>
            <c:strRef>
              <c:f>Лист1!$D$1</c:f>
              <c:strCache>
                <c:ptCount val="1"/>
                <c:pt idx="0">
                  <c:v>2017г.</c:v>
                </c:pt>
              </c:strCache>
            </c:strRef>
          </c:tx>
          <c:invertIfNegative val="0"/>
          <c:dLbls>
            <c:showLegendKey val="0"/>
            <c:showVal val="1"/>
            <c:showCatName val="0"/>
            <c:showSerName val="0"/>
            <c:showPercent val="0"/>
            <c:showBubbleSize val="0"/>
            <c:showLeaderLines val="0"/>
          </c:dLbls>
          <c:cat>
            <c:strRef>
              <c:f>Лист1!$A$2:$A$5</c:f>
              <c:strCache>
                <c:ptCount val="4"/>
                <c:pt idx="0">
                  <c:v>ОП Разград</c:v>
                </c:pt>
                <c:pt idx="1">
                  <c:v>РП Разград</c:v>
                </c:pt>
                <c:pt idx="2">
                  <c:v>РП Исперих</c:v>
                </c:pt>
                <c:pt idx="3">
                  <c:v>РП Кубрат</c:v>
                </c:pt>
              </c:strCache>
            </c:strRef>
          </c:cat>
          <c:val>
            <c:numRef>
              <c:f>Лист1!$D$2:$D$5</c:f>
              <c:numCache>
                <c:formatCode>General</c:formatCode>
                <c:ptCount val="4"/>
                <c:pt idx="0">
                  <c:v>45</c:v>
                </c:pt>
                <c:pt idx="1">
                  <c:v>295</c:v>
                </c:pt>
                <c:pt idx="2">
                  <c:v>220</c:v>
                </c:pt>
                <c:pt idx="3">
                  <c:v>154</c:v>
                </c:pt>
              </c:numCache>
            </c:numRef>
          </c:val>
        </c:ser>
        <c:dLbls>
          <c:showLegendKey val="0"/>
          <c:showVal val="0"/>
          <c:showCatName val="0"/>
          <c:showSerName val="0"/>
          <c:showPercent val="0"/>
          <c:showBubbleSize val="0"/>
        </c:dLbls>
        <c:gapWidth val="150"/>
        <c:axId val="223315456"/>
        <c:axId val="223419136"/>
      </c:barChart>
      <c:catAx>
        <c:axId val="223315456"/>
        <c:scaling>
          <c:orientation val="minMax"/>
        </c:scaling>
        <c:delete val="0"/>
        <c:axPos val="b"/>
        <c:majorTickMark val="none"/>
        <c:minorTickMark val="none"/>
        <c:tickLblPos val="nextTo"/>
        <c:crossAx val="223419136"/>
        <c:crosses val="autoZero"/>
        <c:auto val="1"/>
        <c:lblAlgn val="ctr"/>
        <c:lblOffset val="100"/>
        <c:noMultiLvlLbl val="0"/>
      </c:catAx>
      <c:valAx>
        <c:axId val="223419136"/>
        <c:scaling>
          <c:orientation val="minMax"/>
        </c:scaling>
        <c:delete val="0"/>
        <c:axPos val="l"/>
        <c:numFmt formatCode="General" sourceLinked="1"/>
        <c:majorTickMark val="none"/>
        <c:minorTickMark val="none"/>
        <c:tickLblPos val="nextTo"/>
        <c:crossAx val="223315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Осъдени и санкционирани лица</c:v>
                </c:pt>
              </c:strCache>
            </c:strRef>
          </c:tx>
          <c:invertIfNegative val="0"/>
          <c:dLbls>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724</c:v>
                </c:pt>
                <c:pt idx="1">
                  <c:v>656</c:v>
                </c:pt>
                <c:pt idx="2">
                  <c:v>799</c:v>
                </c:pt>
              </c:numCache>
            </c:numRef>
          </c:val>
        </c:ser>
        <c:ser>
          <c:idx val="1"/>
          <c:order val="1"/>
          <c:tx>
            <c:strRef>
              <c:f>Лист1!$C$1</c:f>
              <c:strCache>
                <c:ptCount val="1"/>
                <c:pt idx="0">
                  <c:v>Осъдени и санкционирани лица с влязъл в сила съдебен акт</c:v>
                </c:pt>
              </c:strCache>
            </c:strRef>
          </c:tx>
          <c:invertIfNegative val="0"/>
          <c:dLbls>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General</c:formatCode>
                <c:ptCount val="3"/>
                <c:pt idx="0">
                  <c:v>950</c:v>
                </c:pt>
                <c:pt idx="1">
                  <c:v>691</c:v>
                </c:pt>
                <c:pt idx="2">
                  <c:v>806</c:v>
                </c:pt>
              </c:numCache>
            </c:numRef>
          </c:val>
        </c:ser>
        <c:dLbls>
          <c:showLegendKey val="0"/>
          <c:showVal val="0"/>
          <c:showCatName val="0"/>
          <c:showSerName val="0"/>
          <c:showPercent val="0"/>
          <c:showBubbleSize val="0"/>
        </c:dLbls>
        <c:gapWidth val="150"/>
        <c:axId val="224324096"/>
        <c:axId val="223726976"/>
      </c:barChart>
      <c:catAx>
        <c:axId val="224324096"/>
        <c:scaling>
          <c:orientation val="minMax"/>
        </c:scaling>
        <c:delete val="0"/>
        <c:axPos val="b"/>
        <c:majorTickMark val="none"/>
        <c:minorTickMark val="none"/>
        <c:tickLblPos val="nextTo"/>
        <c:crossAx val="223726976"/>
        <c:crosses val="autoZero"/>
        <c:auto val="1"/>
        <c:lblAlgn val="ctr"/>
        <c:lblOffset val="100"/>
        <c:noMultiLvlLbl val="0"/>
      </c:catAx>
      <c:valAx>
        <c:axId val="223726976"/>
        <c:scaling>
          <c:orientation val="minMax"/>
        </c:scaling>
        <c:delete val="0"/>
        <c:axPos val="l"/>
        <c:numFmt formatCode="General" sourceLinked="1"/>
        <c:majorTickMark val="none"/>
        <c:minorTickMark val="none"/>
        <c:tickLblPos val="nextTo"/>
        <c:crossAx val="2243240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Колона1</c:v>
                </c:pt>
              </c:strCache>
            </c:strRef>
          </c:tx>
          <c:cat>
            <c:strRef>
              <c:f>Лист1!$A$2:$A$11</c:f>
              <c:strCache>
                <c:ptCount val="10"/>
                <c:pt idx="0">
                  <c:v>Престъпления против личността</c:v>
                </c:pt>
                <c:pt idx="1">
                  <c:v>Престъпления против правата на гражданите </c:v>
                </c:pt>
                <c:pt idx="2">
                  <c:v>Престъпления против брака и семейството</c:v>
                </c:pt>
                <c:pt idx="3">
                  <c:v>Престъпления против собствеността</c:v>
                </c:pt>
                <c:pt idx="4">
                  <c:v>Престъпления против стопанството</c:v>
                </c:pt>
                <c:pt idx="5">
                  <c:v>Престъпления против финансовата, данъчната и осигуриталната система</c:v>
                </c:pt>
                <c:pt idx="6">
                  <c:v>Престъпления против дейността на държавни органи и обществени организации</c:v>
                </c:pt>
                <c:pt idx="7">
                  <c:v>Документни престъпления</c:v>
                </c:pt>
                <c:pt idx="8">
                  <c:v>Престъпления против реда и общественото спокойствие</c:v>
                </c:pt>
                <c:pt idx="9">
                  <c:v>Общоопасни престъпления</c:v>
                </c:pt>
              </c:strCache>
            </c:strRef>
          </c:cat>
          <c:val>
            <c:numRef>
              <c:f>Лист1!$B$2:$B$11</c:f>
              <c:numCache>
                <c:formatCode>General</c:formatCode>
                <c:ptCount val="10"/>
                <c:pt idx="0">
                  <c:v>65</c:v>
                </c:pt>
                <c:pt idx="1">
                  <c:v>7</c:v>
                </c:pt>
                <c:pt idx="2">
                  <c:v>23</c:v>
                </c:pt>
                <c:pt idx="3">
                  <c:v>122</c:v>
                </c:pt>
                <c:pt idx="4">
                  <c:v>67</c:v>
                </c:pt>
                <c:pt idx="5">
                  <c:v>9</c:v>
                </c:pt>
                <c:pt idx="6">
                  <c:v>26</c:v>
                </c:pt>
                <c:pt idx="7">
                  <c:v>53</c:v>
                </c:pt>
                <c:pt idx="8">
                  <c:v>17</c:v>
                </c:pt>
                <c:pt idx="9">
                  <c:v>357</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65293438320209973"/>
          <c:y val="5.6831305177761866E-2"/>
          <c:w val="0.33980582524271857"/>
          <c:h val="0.859377723415641"/>
        </c:manualLayout>
      </c:layout>
      <c:overlay val="0"/>
    </c:legend>
    <c:plotVisOnly val="1"/>
    <c:dispBlanksAs val="zero"/>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Серия 1</c:v>
                </c:pt>
              </c:strCache>
            </c:strRef>
          </c:tx>
          <c:invertIfNegative val="0"/>
          <c:dLbls>
            <c:showLegendKey val="0"/>
            <c:showVal val="1"/>
            <c:showCatName val="0"/>
            <c:showSerName val="0"/>
            <c:showPercent val="0"/>
            <c:showBubbleSize val="0"/>
            <c:showLeaderLines val="0"/>
          </c:dLbls>
          <c:cat>
            <c:strRef>
              <c:f>Лист1!$A$2:$A$8</c:f>
              <c:strCache>
                <c:ptCount val="7"/>
                <c:pt idx="0">
                  <c:v>Доживотен затвор</c:v>
                </c:pt>
                <c:pt idx="1">
                  <c:v>ЛС - ефективно</c:v>
                </c:pt>
                <c:pt idx="2">
                  <c:v>ЛС - условно</c:v>
                </c:pt>
                <c:pt idx="3">
                  <c:v>пробация</c:v>
                </c:pt>
                <c:pt idx="4">
                  <c:v>лишаване от права</c:v>
                </c:pt>
                <c:pt idx="5">
                  <c:v>Глоба</c:v>
                </c:pt>
                <c:pt idx="6">
                  <c:v>Други</c:v>
                </c:pt>
              </c:strCache>
            </c:strRef>
          </c:cat>
          <c:val>
            <c:numRef>
              <c:f>Лист1!$B$2:$B$8</c:f>
              <c:numCache>
                <c:formatCode>General</c:formatCode>
                <c:ptCount val="7"/>
                <c:pt idx="0">
                  <c:v>0</c:v>
                </c:pt>
                <c:pt idx="1">
                  <c:v>94</c:v>
                </c:pt>
                <c:pt idx="2">
                  <c:v>281</c:v>
                </c:pt>
                <c:pt idx="3">
                  <c:v>109</c:v>
                </c:pt>
                <c:pt idx="4">
                  <c:v>115</c:v>
                </c:pt>
                <c:pt idx="5">
                  <c:v>314</c:v>
                </c:pt>
                <c:pt idx="6">
                  <c:v>37</c:v>
                </c:pt>
              </c:numCache>
            </c:numRef>
          </c:val>
        </c:ser>
        <c:dLbls>
          <c:showLegendKey val="0"/>
          <c:showVal val="0"/>
          <c:showCatName val="0"/>
          <c:showSerName val="0"/>
          <c:showPercent val="0"/>
          <c:showBubbleSize val="0"/>
        </c:dLbls>
        <c:gapWidth val="150"/>
        <c:axId val="223772672"/>
        <c:axId val="223731008"/>
      </c:barChart>
      <c:valAx>
        <c:axId val="223731008"/>
        <c:scaling>
          <c:orientation val="minMax"/>
        </c:scaling>
        <c:delete val="0"/>
        <c:axPos val="l"/>
        <c:numFmt formatCode="General" sourceLinked="1"/>
        <c:majorTickMark val="none"/>
        <c:minorTickMark val="none"/>
        <c:tickLblPos val="nextTo"/>
        <c:crossAx val="223772672"/>
        <c:crosses val="autoZero"/>
        <c:crossBetween val="between"/>
      </c:valAx>
      <c:catAx>
        <c:axId val="223772672"/>
        <c:scaling>
          <c:orientation val="minMax"/>
        </c:scaling>
        <c:delete val="1"/>
        <c:axPos val="b"/>
        <c:majorTickMark val="none"/>
        <c:minorTickMark val="none"/>
        <c:tickLblPos val="nextTo"/>
        <c:crossAx val="223731008"/>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68834166813489"/>
          <c:y val="1.8001532994216446E-2"/>
          <c:w val="0.63869317540126769"/>
          <c:h val="0.63138526931921124"/>
        </c:manualLayout>
      </c:layout>
      <c:barChart>
        <c:barDir val="col"/>
        <c:grouping val="clustered"/>
        <c:varyColors val="0"/>
        <c:ser>
          <c:idx val="0"/>
          <c:order val="0"/>
          <c:tx>
            <c:strRef>
              <c:f>Лист1!$B$1</c:f>
              <c:strCache>
                <c:ptCount val="1"/>
                <c:pt idx="0">
                  <c:v>2019-внесени в съда дела</c:v>
                </c:pt>
              </c:strCache>
            </c:strRef>
          </c:tx>
          <c:invertIfNegative val="0"/>
          <c:dLbls>
            <c:showLegendKey val="0"/>
            <c:showVal val="1"/>
            <c:showCatName val="0"/>
            <c:showSerName val="0"/>
            <c:showPercent val="0"/>
            <c:showBubbleSize val="0"/>
            <c:showLeaderLines val="0"/>
          </c:dLbls>
          <c:cat>
            <c:strRef>
              <c:f>Лист1!$A$2:$A$5</c:f>
              <c:strCache>
                <c:ptCount val="4"/>
                <c:pt idx="0">
                  <c:v>ОП Разград</c:v>
                </c:pt>
                <c:pt idx="1">
                  <c:v>РП Разград</c:v>
                </c:pt>
                <c:pt idx="2">
                  <c:v>РП Исперих</c:v>
                </c:pt>
                <c:pt idx="3">
                  <c:v>РП Кубрат</c:v>
                </c:pt>
              </c:strCache>
            </c:strRef>
          </c:cat>
          <c:val>
            <c:numRef>
              <c:f>Лист1!$B$2:$B$5</c:f>
              <c:numCache>
                <c:formatCode>General</c:formatCode>
                <c:ptCount val="4"/>
                <c:pt idx="0">
                  <c:v>40</c:v>
                </c:pt>
                <c:pt idx="1">
                  <c:v>296</c:v>
                </c:pt>
                <c:pt idx="2">
                  <c:v>191</c:v>
                </c:pt>
                <c:pt idx="3">
                  <c:v>146</c:v>
                </c:pt>
              </c:numCache>
            </c:numRef>
          </c:val>
        </c:ser>
        <c:ser>
          <c:idx val="1"/>
          <c:order val="1"/>
          <c:tx>
            <c:strRef>
              <c:f>Лист1!$C$1</c:f>
              <c:strCache>
                <c:ptCount val="1"/>
                <c:pt idx="0">
                  <c:v>2019-върнати от съда дела</c:v>
                </c:pt>
              </c:strCache>
            </c:strRef>
          </c:tx>
          <c:invertIfNegative val="0"/>
          <c:dLbls>
            <c:showLegendKey val="0"/>
            <c:showVal val="1"/>
            <c:showCatName val="0"/>
            <c:showSerName val="0"/>
            <c:showPercent val="0"/>
            <c:showBubbleSize val="0"/>
            <c:showLeaderLines val="0"/>
          </c:dLbls>
          <c:cat>
            <c:strRef>
              <c:f>Лист1!$A$2:$A$5</c:f>
              <c:strCache>
                <c:ptCount val="4"/>
                <c:pt idx="0">
                  <c:v>ОП Разград</c:v>
                </c:pt>
                <c:pt idx="1">
                  <c:v>РП Разград</c:v>
                </c:pt>
                <c:pt idx="2">
                  <c:v>РП Исперих</c:v>
                </c:pt>
                <c:pt idx="3">
                  <c:v>РП Кубрат</c:v>
                </c:pt>
              </c:strCache>
            </c:strRef>
          </c:cat>
          <c:val>
            <c:numRef>
              <c:f>Лист1!$C$2:$C$5</c:f>
              <c:numCache>
                <c:formatCode>General</c:formatCode>
                <c:ptCount val="4"/>
                <c:pt idx="0">
                  <c:v>3</c:v>
                </c:pt>
                <c:pt idx="1">
                  <c:v>8</c:v>
                </c:pt>
                <c:pt idx="2">
                  <c:v>6</c:v>
                </c:pt>
                <c:pt idx="3">
                  <c:v>1</c:v>
                </c:pt>
              </c:numCache>
            </c:numRef>
          </c:val>
        </c:ser>
        <c:ser>
          <c:idx val="2"/>
          <c:order val="2"/>
          <c:tx>
            <c:strRef>
              <c:f>Лист1!$D$1</c:f>
              <c:strCache>
                <c:ptCount val="1"/>
                <c:pt idx="0">
                  <c:v>2018-внесени в съда дела2</c:v>
                </c:pt>
              </c:strCache>
            </c:strRef>
          </c:tx>
          <c:invertIfNegative val="0"/>
          <c:dLbls>
            <c:showLegendKey val="0"/>
            <c:showVal val="1"/>
            <c:showCatName val="0"/>
            <c:showSerName val="0"/>
            <c:showPercent val="0"/>
            <c:showBubbleSize val="0"/>
            <c:showLeaderLines val="0"/>
          </c:dLbls>
          <c:cat>
            <c:strRef>
              <c:f>Лист1!$A$2:$A$5</c:f>
              <c:strCache>
                <c:ptCount val="4"/>
                <c:pt idx="0">
                  <c:v>ОП Разград</c:v>
                </c:pt>
                <c:pt idx="1">
                  <c:v>РП Разград</c:v>
                </c:pt>
                <c:pt idx="2">
                  <c:v>РП Исперих</c:v>
                </c:pt>
                <c:pt idx="3">
                  <c:v>РП Кубрат</c:v>
                </c:pt>
              </c:strCache>
            </c:strRef>
          </c:cat>
          <c:val>
            <c:numRef>
              <c:f>Лист1!$D$2:$D$5</c:f>
              <c:numCache>
                <c:formatCode>General</c:formatCode>
                <c:ptCount val="4"/>
                <c:pt idx="0">
                  <c:v>51</c:v>
                </c:pt>
                <c:pt idx="1">
                  <c:v>263</c:v>
                </c:pt>
                <c:pt idx="2">
                  <c:v>184</c:v>
                </c:pt>
                <c:pt idx="3">
                  <c:v>175</c:v>
                </c:pt>
              </c:numCache>
            </c:numRef>
          </c:val>
        </c:ser>
        <c:ser>
          <c:idx val="3"/>
          <c:order val="3"/>
          <c:tx>
            <c:strRef>
              <c:f>Лист1!$E$1</c:f>
              <c:strCache>
                <c:ptCount val="1"/>
                <c:pt idx="0">
                  <c:v>2018-върнати дела от съда</c:v>
                </c:pt>
              </c:strCache>
            </c:strRef>
          </c:tx>
          <c:invertIfNegative val="0"/>
          <c:dLbls>
            <c:showLegendKey val="0"/>
            <c:showVal val="1"/>
            <c:showCatName val="0"/>
            <c:showSerName val="0"/>
            <c:showPercent val="0"/>
            <c:showBubbleSize val="0"/>
            <c:showLeaderLines val="0"/>
          </c:dLbls>
          <c:cat>
            <c:strRef>
              <c:f>Лист1!$A$2:$A$5</c:f>
              <c:strCache>
                <c:ptCount val="4"/>
                <c:pt idx="0">
                  <c:v>ОП Разград</c:v>
                </c:pt>
                <c:pt idx="1">
                  <c:v>РП Разград</c:v>
                </c:pt>
                <c:pt idx="2">
                  <c:v>РП Исперих</c:v>
                </c:pt>
                <c:pt idx="3">
                  <c:v>РП Кубрат</c:v>
                </c:pt>
              </c:strCache>
            </c:strRef>
          </c:cat>
          <c:val>
            <c:numRef>
              <c:f>Лист1!$E$2:$E$5</c:f>
              <c:numCache>
                <c:formatCode>General</c:formatCode>
                <c:ptCount val="4"/>
                <c:pt idx="0">
                  <c:v>1</c:v>
                </c:pt>
                <c:pt idx="1">
                  <c:v>4</c:v>
                </c:pt>
                <c:pt idx="2">
                  <c:v>3</c:v>
                </c:pt>
                <c:pt idx="3">
                  <c:v>0</c:v>
                </c:pt>
              </c:numCache>
            </c:numRef>
          </c:val>
        </c:ser>
        <c:ser>
          <c:idx val="4"/>
          <c:order val="4"/>
          <c:tx>
            <c:strRef>
              <c:f>Лист1!$F$1</c:f>
              <c:strCache>
                <c:ptCount val="1"/>
                <c:pt idx="0">
                  <c:v>2017-внесени в съда дела2</c:v>
                </c:pt>
              </c:strCache>
            </c:strRef>
          </c:tx>
          <c:invertIfNegative val="0"/>
          <c:dLbls>
            <c:showLegendKey val="0"/>
            <c:showVal val="1"/>
            <c:showCatName val="0"/>
            <c:showSerName val="0"/>
            <c:showPercent val="0"/>
            <c:showBubbleSize val="0"/>
            <c:showLeaderLines val="0"/>
          </c:dLbls>
          <c:cat>
            <c:strRef>
              <c:f>Лист1!$A$2:$A$5</c:f>
              <c:strCache>
                <c:ptCount val="4"/>
                <c:pt idx="0">
                  <c:v>ОП Разград</c:v>
                </c:pt>
                <c:pt idx="1">
                  <c:v>РП Разград</c:v>
                </c:pt>
                <c:pt idx="2">
                  <c:v>РП Исперих</c:v>
                </c:pt>
                <c:pt idx="3">
                  <c:v>РП Кубрат</c:v>
                </c:pt>
              </c:strCache>
            </c:strRef>
          </c:cat>
          <c:val>
            <c:numRef>
              <c:f>Лист1!$F$2:$F$5</c:f>
              <c:numCache>
                <c:formatCode>General</c:formatCode>
                <c:ptCount val="4"/>
                <c:pt idx="0">
                  <c:v>45</c:v>
                </c:pt>
                <c:pt idx="1">
                  <c:v>295</c:v>
                </c:pt>
                <c:pt idx="2">
                  <c:v>220</c:v>
                </c:pt>
                <c:pt idx="3">
                  <c:v>154</c:v>
                </c:pt>
              </c:numCache>
            </c:numRef>
          </c:val>
        </c:ser>
        <c:ser>
          <c:idx val="5"/>
          <c:order val="5"/>
          <c:tx>
            <c:strRef>
              <c:f>Лист1!$G$1</c:f>
              <c:strCache>
                <c:ptCount val="1"/>
                <c:pt idx="0">
                  <c:v>2017-върнати от съда дела</c:v>
                </c:pt>
              </c:strCache>
            </c:strRef>
          </c:tx>
          <c:invertIfNegative val="0"/>
          <c:dLbls>
            <c:showLegendKey val="0"/>
            <c:showVal val="1"/>
            <c:showCatName val="0"/>
            <c:showSerName val="0"/>
            <c:showPercent val="0"/>
            <c:showBubbleSize val="0"/>
            <c:showLeaderLines val="0"/>
          </c:dLbls>
          <c:cat>
            <c:strRef>
              <c:f>Лист1!$A$2:$A$5</c:f>
              <c:strCache>
                <c:ptCount val="4"/>
                <c:pt idx="0">
                  <c:v>ОП Разград</c:v>
                </c:pt>
                <c:pt idx="1">
                  <c:v>РП Разград</c:v>
                </c:pt>
                <c:pt idx="2">
                  <c:v>РП Исперих</c:v>
                </c:pt>
                <c:pt idx="3">
                  <c:v>РП Кубрат</c:v>
                </c:pt>
              </c:strCache>
            </c:strRef>
          </c:cat>
          <c:val>
            <c:numRef>
              <c:f>Лист1!$G$2:$G$5</c:f>
              <c:numCache>
                <c:formatCode>General</c:formatCode>
                <c:ptCount val="4"/>
                <c:pt idx="0">
                  <c:v>4</c:v>
                </c:pt>
                <c:pt idx="1">
                  <c:v>9</c:v>
                </c:pt>
                <c:pt idx="2">
                  <c:v>5</c:v>
                </c:pt>
                <c:pt idx="3">
                  <c:v>0</c:v>
                </c:pt>
              </c:numCache>
            </c:numRef>
          </c:val>
        </c:ser>
        <c:dLbls>
          <c:showLegendKey val="0"/>
          <c:showVal val="0"/>
          <c:showCatName val="0"/>
          <c:showSerName val="0"/>
          <c:showPercent val="0"/>
          <c:showBubbleSize val="0"/>
        </c:dLbls>
        <c:gapWidth val="95"/>
        <c:axId val="223314944"/>
        <c:axId val="222167616"/>
      </c:barChart>
      <c:catAx>
        <c:axId val="223314944"/>
        <c:scaling>
          <c:orientation val="minMax"/>
        </c:scaling>
        <c:delete val="0"/>
        <c:axPos val="b"/>
        <c:majorTickMark val="none"/>
        <c:minorTickMark val="none"/>
        <c:tickLblPos val="nextTo"/>
        <c:crossAx val="222167616"/>
        <c:crosses val="autoZero"/>
        <c:auto val="1"/>
        <c:lblAlgn val="ctr"/>
        <c:lblOffset val="100"/>
        <c:noMultiLvlLbl val="0"/>
      </c:catAx>
      <c:valAx>
        <c:axId val="222167616"/>
        <c:scaling>
          <c:orientation val="minMax"/>
        </c:scaling>
        <c:delete val="0"/>
        <c:axPos val="l"/>
        <c:numFmt formatCode="General" sourceLinked="1"/>
        <c:majorTickMark val="none"/>
        <c:minorTickMark val="none"/>
        <c:tickLblPos val="nextTo"/>
        <c:crossAx val="2233149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2019г.</c:v>
                </c:pt>
              </c:strCache>
            </c:strRef>
          </c:tx>
          <c:invertIfNegative val="0"/>
          <c:cat>
            <c:strRef>
              <c:f>Лист1!$A$2:$A$5</c:f>
              <c:strCache>
                <c:ptCount val="4"/>
                <c:pt idx="0">
                  <c:v>ОП Разград</c:v>
                </c:pt>
                <c:pt idx="1">
                  <c:v>РП Разград</c:v>
                </c:pt>
                <c:pt idx="2">
                  <c:v>РП Исперих</c:v>
                </c:pt>
                <c:pt idx="3">
                  <c:v>РП Кубрат</c:v>
                </c:pt>
              </c:strCache>
            </c:strRef>
          </c:cat>
          <c:val>
            <c:numRef>
              <c:f>Лист1!$B$2:$B$5</c:f>
              <c:numCache>
                <c:formatCode>0.00%</c:formatCode>
                <c:ptCount val="4"/>
                <c:pt idx="0">
                  <c:v>7.5000000000000011E-2</c:v>
                </c:pt>
                <c:pt idx="1">
                  <c:v>2.7000000000000003E-2</c:v>
                </c:pt>
                <c:pt idx="2">
                  <c:v>3.1399999999999997E-2</c:v>
                </c:pt>
                <c:pt idx="3">
                  <c:v>6.8000000000000014E-3</c:v>
                </c:pt>
              </c:numCache>
            </c:numRef>
          </c:val>
        </c:ser>
        <c:ser>
          <c:idx val="1"/>
          <c:order val="1"/>
          <c:tx>
            <c:strRef>
              <c:f>Лист1!$C$1</c:f>
              <c:strCache>
                <c:ptCount val="1"/>
                <c:pt idx="0">
                  <c:v>2018г.</c:v>
                </c:pt>
              </c:strCache>
            </c:strRef>
          </c:tx>
          <c:invertIfNegative val="0"/>
          <c:cat>
            <c:strRef>
              <c:f>Лист1!$A$2:$A$5</c:f>
              <c:strCache>
                <c:ptCount val="4"/>
                <c:pt idx="0">
                  <c:v>ОП Разград</c:v>
                </c:pt>
                <c:pt idx="1">
                  <c:v>РП Разград</c:v>
                </c:pt>
                <c:pt idx="2">
                  <c:v>РП Исперих</c:v>
                </c:pt>
                <c:pt idx="3">
                  <c:v>РП Кубрат</c:v>
                </c:pt>
              </c:strCache>
            </c:strRef>
          </c:cat>
          <c:val>
            <c:numRef>
              <c:f>Лист1!$C$2:$C$5</c:f>
              <c:numCache>
                <c:formatCode>0.00%</c:formatCode>
                <c:ptCount val="4"/>
                <c:pt idx="0">
                  <c:v>1.9599999999999999E-2</c:v>
                </c:pt>
                <c:pt idx="1">
                  <c:v>1.5200000000000002E-2</c:v>
                </c:pt>
                <c:pt idx="2">
                  <c:v>1.6299999999999999E-2</c:v>
                </c:pt>
                <c:pt idx="3" formatCode="General">
                  <c:v>0</c:v>
                </c:pt>
              </c:numCache>
            </c:numRef>
          </c:val>
        </c:ser>
        <c:ser>
          <c:idx val="2"/>
          <c:order val="2"/>
          <c:tx>
            <c:strRef>
              <c:f>Лист1!$D$1</c:f>
              <c:strCache>
                <c:ptCount val="1"/>
                <c:pt idx="0">
                  <c:v>2017г.</c:v>
                </c:pt>
              </c:strCache>
            </c:strRef>
          </c:tx>
          <c:invertIfNegative val="0"/>
          <c:cat>
            <c:strRef>
              <c:f>Лист1!$A$2:$A$5</c:f>
              <c:strCache>
                <c:ptCount val="4"/>
                <c:pt idx="0">
                  <c:v>ОП Разград</c:v>
                </c:pt>
                <c:pt idx="1">
                  <c:v>РП Разград</c:v>
                </c:pt>
                <c:pt idx="2">
                  <c:v>РП Исперих</c:v>
                </c:pt>
                <c:pt idx="3">
                  <c:v>РП Кубрат</c:v>
                </c:pt>
              </c:strCache>
            </c:strRef>
          </c:cat>
          <c:val>
            <c:numRef>
              <c:f>Лист1!$D$2:$D$5</c:f>
              <c:numCache>
                <c:formatCode>0.00%</c:formatCode>
                <c:ptCount val="4"/>
                <c:pt idx="0">
                  <c:v>8.8800000000000018E-2</c:v>
                </c:pt>
                <c:pt idx="1">
                  <c:v>3.0500000000000003E-2</c:v>
                </c:pt>
                <c:pt idx="2">
                  <c:v>2.2700000000000001E-2</c:v>
                </c:pt>
                <c:pt idx="3" formatCode="General">
                  <c:v>0</c:v>
                </c:pt>
              </c:numCache>
            </c:numRef>
          </c:val>
        </c:ser>
        <c:dLbls>
          <c:showLegendKey val="0"/>
          <c:showVal val="1"/>
          <c:showCatName val="0"/>
          <c:showSerName val="0"/>
          <c:showPercent val="0"/>
          <c:showBubbleSize val="0"/>
        </c:dLbls>
        <c:gapWidth val="75"/>
        <c:axId val="226535936"/>
        <c:axId val="222169344"/>
      </c:barChart>
      <c:catAx>
        <c:axId val="226535936"/>
        <c:scaling>
          <c:orientation val="minMax"/>
        </c:scaling>
        <c:delete val="0"/>
        <c:axPos val="b"/>
        <c:majorTickMark val="none"/>
        <c:minorTickMark val="none"/>
        <c:tickLblPos val="nextTo"/>
        <c:crossAx val="222169344"/>
        <c:crosses val="autoZero"/>
        <c:auto val="1"/>
        <c:lblAlgn val="ctr"/>
        <c:lblOffset val="100"/>
        <c:noMultiLvlLbl val="0"/>
      </c:catAx>
      <c:valAx>
        <c:axId val="222169344"/>
        <c:scaling>
          <c:orientation val="minMax"/>
        </c:scaling>
        <c:delete val="0"/>
        <c:axPos val="l"/>
        <c:numFmt formatCode="0.00%" sourceLinked="1"/>
        <c:majorTickMark val="none"/>
        <c:minorTickMark val="none"/>
        <c:tickLblPos val="nextTo"/>
        <c:crossAx val="226535936"/>
        <c:crosses val="autoZero"/>
        <c:crossBetween val="between"/>
      </c:valAx>
    </c:plotArea>
    <c:legend>
      <c:legendPos val="b"/>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Прокуратура</c:v>
                </c:pt>
              </c:strCache>
            </c:strRef>
          </c:tx>
          <c:invertIfNegative val="0"/>
          <c:cat>
            <c:strRef>
              <c:f>Лист1!$A$2:$A$5</c:f>
              <c:strCache>
                <c:ptCount val="4"/>
                <c:pt idx="0">
                  <c:v>ОП Разград</c:v>
                </c:pt>
                <c:pt idx="1">
                  <c:v>РП Разград</c:v>
                </c:pt>
                <c:pt idx="2">
                  <c:v>РП Исперих</c:v>
                </c:pt>
                <c:pt idx="3">
                  <c:v>РП Кубрат</c:v>
                </c:pt>
              </c:strCache>
            </c:strRef>
          </c:cat>
          <c:val>
            <c:numRef>
              <c:f>Лист1!$B$2:$B$5</c:f>
              <c:numCache>
                <c:formatCode>General</c:formatCode>
                <c:ptCount val="4"/>
                <c:pt idx="0">
                  <c:v>0</c:v>
                </c:pt>
                <c:pt idx="1">
                  <c:v>0</c:v>
                </c:pt>
                <c:pt idx="2">
                  <c:v>0</c:v>
                </c:pt>
                <c:pt idx="3">
                  <c:v>0</c:v>
                </c:pt>
              </c:numCache>
            </c:numRef>
          </c:val>
        </c:ser>
        <c:ser>
          <c:idx val="1"/>
          <c:order val="1"/>
          <c:tx>
            <c:strRef>
              <c:f>Лист1!$C$1</c:f>
              <c:strCache>
                <c:ptCount val="1"/>
                <c:pt idx="0">
                  <c:v>2019г.</c:v>
                </c:pt>
              </c:strCache>
            </c:strRef>
          </c:tx>
          <c:invertIfNegative val="0"/>
          <c:dLbls>
            <c:dLbl>
              <c:idx val="0"/>
              <c:layout>
                <c:manualLayout>
                  <c:x val="0"/>
                  <c:y val="-2.3809523809523812E-2"/>
                </c:manualLayout>
              </c:layout>
              <c:showLegendKey val="0"/>
              <c:showVal val="1"/>
              <c:showCatName val="0"/>
              <c:showSerName val="0"/>
              <c:showPercent val="0"/>
              <c:showBubbleSize val="0"/>
            </c:dLbl>
            <c:dLbl>
              <c:idx val="1"/>
              <c:layout>
                <c:manualLayout>
                  <c:x val="-6.4412238325281821E-3"/>
                  <c:y val="1.97823936696341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Лист1!$A$2:$A$5</c:f>
              <c:strCache>
                <c:ptCount val="4"/>
                <c:pt idx="0">
                  <c:v>ОП Разград</c:v>
                </c:pt>
                <c:pt idx="1">
                  <c:v>РП Разград</c:v>
                </c:pt>
                <c:pt idx="2">
                  <c:v>РП Исперих</c:v>
                </c:pt>
                <c:pt idx="3">
                  <c:v>РП Кубрат</c:v>
                </c:pt>
              </c:strCache>
            </c:strRef>
          </c:cat>
          <c:val>
            <c:numRef>
              <c:f>Лист1!$C$2:$C$5</c:f>
              <c:numCache>
                <c:formatCode>0.00%</c:formatCode>
                <c:ptCount val="4"/>
                <c:pt idx="0">
                  <c:v>0</c:v>
                </c:pt>
                <c:pt idx="1">
                  <c:v>2.5499999999999998E-2</c:v>
                </c:pt>
                <c:pt idx="2">
                  <c:v>1.61E-2</c:v>
                </c:pt>
                <c:pt idx="3">
                  <c:v>3.8899999999999997E-2</c:v>
                </c:pt>
              </c:numCache>
            </c:numRef>
          </c:val>
        </c:ser>
        <c:ser>
          <c:idx val="2"/>
          <c:order val="2"/>
          <c:tx>
            <c:strRef>
              <c:f>Лист1!$D$1</c:f>
              <c:strCache>
                <c:ptCount val="1"/>
                <c:pt idx="0">
                  <c:v>2018г.</c:v>
                </c:pt>
              </c:strCache>
            </c:strRef>
          </c:tx>
          <c:invertIfNegative val="0"/>
          <c:dLbls>
            <c:showLegendKey val="0"/>
            <c:showVal val="1"/>
            <c:showCatName val="0"/>
            <c:showSerName val="0"/>
            <c:showPercent val="0"/>
            <c:showBubbleSize val="0"/>
            <c:showLeaderLines val="0"/>
          </c:dLbls>
          <c:cat>
            <c:strRef>
              <c:f>Лист1!$A$2:$A$5</c:f>
              <c:strCache>
                <c:ptCount val="4"/>
                <c:pt idx="0">
                  <c:v>ОП Разград</c:v>
                </c:pt>
                <c:pt idx="1">
                  <c:v>РП Разград</c:v>
                </c:pt>
                <c:pt idx="2">
                  <c:v>РП Исперих</c:v>
                </c:pt>
                <c:pt idx="3">
                  <c:v>РП Кубрат</c:v>
                </c:pt>
              </c:strCache>
            </c:strRef>
          </c:cat>
          <c:val>
            <c:numRef>
              <c:f>Лист1!$D$2:$D$5</c:f>
              <c:numCache>
                <c:formatCode>0.00%</c:formatCode>
                <c:ptCount val="4"/>
                <c:pt idx="0">
                  <c:v>5.5599999999999997E-2</c:v>
                </c:pt>
                <c:pt idx="1">
                  <c:v>2.4199999999999999E-2</c:v>
                </c:pt>
                <c:pt idx="2">
                  <c:v>2.0899999999999998E-2</c:v>
                </c:pt>
                <c:pt idx="3">
                  <c:v>1.01E-2</c:v>
                </c:pt>
              </c:numCache>
            </c:numRef>
          </c:val>
        </c:ser>
        <c:ser>
          <c:idx val="3"/>
          <c:order val="3"/>
          <c:tx>
            <c:strRef>
              <c:f>Лист1!$E$1</c:f>
              <c:strCache>
                <c:ptCount val="1"/>
                <c:pt idx="0">
                  <c:v>2017г.</c:v>
                </c:pt>
              </c:strCache>
            </c:strRef>
          </c:tx>
          <c:invertIfNegative val="0"/>
          <c:dLbls>
            <c:dLbl>
              <c:idx val="0"/>
              <c:layout>
                <c:manualLayout>
                  <c:x val="2.3617820719269999E-2"/>
                  <c:y val="0"/>
                </c:manualLayout>
              </c:layout>
              <c:showLegendKey val="0"/>
              <c:showVal val="1"/>
              <c:showCatName val="0"/>
              <c:showSerName val="0"/>
              <c:showPercent val="0"/>
              <c:showBubbleSize val="0"/>
            </c:dLbl>
            <c:dLbl>
              <c:idx val="1"/>
              <c:layout>
                <c:manualLayout>
                  <c:x val="1.7176596886741814E-2"/>
                  <c:y val="7.2534605529372125E-17"/>
                </c:manualLayout>
              </c:layout>
              <c:showLegendKey val="0"/>
              <c:showVal val="1"/>
              <c:showCatName val="0"/>
              <c:showSerName val="0"/>
              <c:showPercent val="0"/>
              <c:showBubbleSize val="0"/>
            </c:dLbl>
            <c:dLbl>
              <c:idx val="2"/>
              <c:layout>
                <c:manualLayout>
                  <c:x val="2.1470746108427276E-2"/>
                  <c:y val="7.2534605529372125E-17"/>
                </c:manualLayout>
              </c:layout>
              <c:showLegendKey val="0"/>
              <c:showVal val="1"/>
              <c:showCatName val="0"/>
              <c:showSerName val="0"/>
              <c:showPercent val="0"/>
              <c:showBubbleSize val="0"/>
            </c:dLbl>
            <c:dLbl>
              <c:idx val="3"/>
              <c:layout>
                <c:manualLayout>
                  <c:x val="2.1470746108427276E-2"/>
                  <c:y val="3.95647873392680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ОП Разград</c:v>
                </c:pt>
                <c:pt idx="1">
                  <c:v>РП Разград</c:v>
                </c:pt>
                <c:pt idx="2">
                  <c:v>РП Исперих</c:v>
                </c:pt>
                <c:pt idx="3">
                  <c:v>РП Кубрат</c:v>
                </c:pt>
              </c:strCache>
            </c:strRef>
          </c:cat>
          <c:val>
            <c:numRef>
              <c:f>Лист1!$E$2:$E$5</c:f>
              <c:numCache>
                <c:formatCode>0.00%</c:formatCode>
                <c:ptCount val="4"/>
                <c:pt idx="0">
                  <c:v>2.3800000000000002E-2</c:v>
                </c:pt>
                <c:pt idx="1">
                  <c:v>1.9599999999999999E-2</c:v>
                </c:pt>
                <c:pt idx="2">
                  <c:v>1.24E-2</c:v>
                </c:pt>
                <c:pt idx="3">
                  <c:v>9.4999999999999998E-3</c:v>
                </c:pt>
              </c:numCache>
            </c:numRef>
          </c:val>
        </c:ser>
        <c:dLbls>
          <c:showLegendKey val="0"/>
          <c:showVal val="0"/>
          <c:showCatName val="0"/>
          <c:showSerName val="0"/>
          <c:showPercent val="0"/>
          <c:showBubbleSize val="0"/>
        </c:dLbls>
        <c:gapWidth val="150"/>
        <c:axId val="223774208"/>
        <c:axId val="223727552"/>
      </c:barChart>
      <c:catAx>
        <c:axId val="223774208"/>
        <c:scaling>
          <c:orientation val="minMax"/>
        </c:scaling>
        <c:delete val="0"/>
        <c:axPos val="b"/>
        <c:majorTickMark val="out"/>
        <c:minorTickMark val="none"/>
        <c:tickLblPos val="nextTo"/>
        <c:crossAx val="223727552"/>
        <c:crosses val="autoZero"/>
        <c:auto val="1"/>
        <c:lblAlgn val="ctr"/>
        <c:lblOffset val="100"/>
        <c:noMultiLvlLbl val="0"/>
      </c:catAx>
      <c:valAx>
        <c:axId val="223727552"/>
        <c:scaling>
          <c:orientation val="minMax"/>
        </c:scaling>
        <c:delete val="0"/>
        <c:axPos val="l"/>
        <c:numFmt formatCode="General" sourceLinked="1"/>
        <c:majorTickMark val="out"/>
        <c:minorTickMark val="none"/>
        <c:tickLblPos val="nextTo"/>
        <c:crossAx val="22377420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видове престъпления</a:t>
            </a:r>
          </a:p>
        </c:rich>
      </c:tx>
      <c:overlay val="0"/>
    </c:title>
    <c:autoTitleDeleted val="0"/>
    <c:plotArea>
      <c:layout/>
      <c:pieChart>
        <c:varyColors val="1"/>
        <c:ser>
          <c:idx val="0"/>
          <c:order val="0"/>
          <c:tx>
            <c:strRef>
              <c:f>Лист1!$B$1</c:f>
              <c:strCache>
                <c:ptCount val="1"/>
                <c:pt idx="0">
                  <c:v>брой ДП</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Lbls>
            <c:dLbl>
              <c:idx val="0"/>
              <c:tx>
                <c:rich>
                  <a:bodyPr/>
                  <a:lstStyle/>
                  <a:p>
                    <a:pPr>
                      <a:defRPr/>
                    </a:pPr>
                    <a:r>
                      <a:rPr lang="bg-BG"/>
                      <a:t>брой ДП-336; 26,69%</a:t>
                    </a:r>
                  </a:p>
                </c:rich>
              </c:tx>
              <c:numFmt formatCode="0.00%" sourceLinked="0"/>
              <c:spPr/>
              <c:dLblPos val="bestFit"/>
              <c:showLegendKey val="0"/>
              <c:showVal val="0"/>
              <c:showCatName val="0"/>
              <c:showSerName val="0"/>
              <c:showPercent val="0"/>
              <c:showBubbleSize val="0"/>
            </c:dLbl>
            <c:dLbl>
              <c:idx val="1"/>
              <c:layout>
                <c:manualLayout>
                  <c:x val="-9.3823064137356346E-2"/>
                  <c:y val="-0.20351949945650732"/>
                </c:manualLayout>
              </c:layout>
              <c:tx>
                <c:rich>
                  <a:bodyPr/>
                  <a:lstStyle/>
                  <a:p>
                    <a:pPr>
                      <a:defRPr/>
                    </a:pPr>
                    <a:r>
                      <a:rPr lang="bg-BG"/>
                      <a:t>брой ДП-421; 33,44%</a:t>
                    </a:r>
                  </a:p>
                </c:rich>
              </c:tx>
              <c:numFmt formatCode="0.00%" sourceLinked="0"/>
              <c:spPr/>
              <c:dLblPos val="bestFit"/>
              <c:showLegendKey val="0"/>
              <c:showVal val="0"/>
              <c:showCatName val="0"/>
              <c:showSerName val="0"/>
              <c:showPercent val="0"/>
              <c:showBubbleSize val="0"/>
            </c:dLbl>
            <c:dLbl>
              <c:idx val="2"/>
              <c:tx>
                <c:rich>
                  <a:bodyPr/>
                  <a:lstStyle/>
                  <a:p>
                    <a:pPr>
                      <a:defRPr/>
                    </a:pPr>
                    <a:r>
                      <a:rPr lang="bg-BG"/>
                      <a:t>брой ДП-154; 12,23%</a:t>
                    </a:r>
                  </a:p>
                </c:rich>
              </c:tx>
              <c:numFmt formatCode="0.00%" sourceLinked="0"/>
              <c:spPr/>
              <c:dLblPos val="bestFit"/>
              <c:showLegendKey val="0"/>
              <c:showVal val="0"/>
              <c:showCatName val="0"/>
              <c:showSerName val="0"/>
              <c:showPercent val="0"/>
              <c:showBubbleSize val="0"/>
            </c:dLbl>
            <c:dLbl>
              <c:idx val="3"/>
              <c:tx>
                <c:rich>
                  <a:bodyPr/>
                  <a:lstStyle/>
                  <a:p>
                    <a:pPr>
                      <a:defRPr/>
                    </a:pPr>
                    <a:r>
                      <a:rPr lang="bg-BG"/>
                      <a:t>брой ДП-101; 8,02%</a:t>
                    </a:r>
                  </a:p>
                </c:rich>
              </c:tx>
              <c:numFmt formatCode="0.00%" sourceLinked="0"/>
              <c:spPr/>
              <c:dLblPos val="bestFit"/>
              <c:showLegendKey val="0"/>
              <c:showVal val="0"/>
              <c:showCatName val="0"/>
              <c:showSerName val="0"/>
              <c:showPercent val="0"/>
              <c:showBubbleSize val="0"/>
            </c:dLbl>
            <c:dLbl>
              <c:idx val="4"/>
              <c:tx>
                <c:rich>
                  <a:bodyPr/>
                  <a:lstStyle/>
                  <a:p>
                    <a:pPr>
                      <a:defRPr/>
                    </a:pPr>
                    <a:r>
                      <a:rPr lang="bg-BG"/>
                      <a:t>брой ДП-14; 1,11%</a:t>
                    </a:r>
                  </a:p>
                </c:rich>
              </c:tx>
              <c:numFmt formatCode="0.00%" sourceLinked="0"/>
              <c:spPr/>
              <c:dLblPos val="bestFit"/>
              <c:showLegendKey val="0"/>
              <c:showVal val="0"/>
              <c:showCatName val="0"/>
              <c:showSerName val="0"/>
              <c:showPercent val="0"/>
              <c:showBubbleSize val="0"/>
            </c:dLbl>
            <c:dLbl>
              <c:idx val="5"/>
              <c:layout>
                <c:manualLayout>
                  <c:x val="0.10865874363327674"/>
                  <c:y val="8.9758901349452525E-2"/>
                </c:manualLayout>
              </c:layout>
              <c:tx>
                <c:rich>
                  <a:bodyPr/>
                  <a:lstStyle/>
                  <a:p>
                    <a:pPr>
                      <a:defRPr/>
                    </a:pPr>
                    <a:r>
                      <a:rPr lang="bg-BG"/>
                      <a:t>брой ДП- 100; 7,94%</a:t>
                    </a:r>
                  </a:p>
                </c:rich>
              </c:tx>
              <c:numFmt formatCode="0.00%" sourceLinked="0"/>
              <c:spPr/>
              <c:dLblPos val="bestFit"/>
              <c:showLegendKey val="0"/>
              <c:showVal val="0"/>
              <c:showCatName val="0"/>
              <c:showSerName val="0"/>
              <c:showPercent val="0"/>
              <c:showBubbleSize val="0"/>
            </c:dLbl>
            <c:dLbl>
              <c:idx val="6"/>
              <c:layout>
                <c:manualLayout>
                  <c:x val="1.2280256139459648E-3"/>
                  <c:y val="3.4845250404305521E-2"/>
                </c:manualLayout>
              </c:layout>
              <c:tx>
                <c:rich>
                  <a:bodyPr/>
                  <a:lstStyle/>
                  <a:p>
                    <a:pPr>
                      <a:defRPr/>
                    </a:pPr>
                    <a:r>
                      <a:rPr lang="bg-BG"/>
                      <a:t>брой ДП-29; 2,30%</a:t>
                    </a:r>
                  </a:p>
                </c:rich>
              </c:tx>
              <c:numFmt formatCode="0.00%" sourceLinked="0"/>
              <c:spPr/>
              <c:dLblPos val="bestFit"/>
              <c:showLegendKey val="0"/>
              <c:showVal val="0"/>
              <c:showCatName val="0"/>
              <c:showSerName val="0"/>
              <c:showPercent val="0"/>
              <c:showBubbleSize val="0"/>
            </c:dLbl>
            <c:dLbl>
              <c:idx val="7"/>
              <c:tx>
                <c:rich>
                  <a:bodyPr/>
                  <a:lstStyle/>
                  <a:p>
                    <a:pPr>
                      <a:defRPr/>
                    </a:pPr>
                    <a:r>
                      <a:rPr lang="bg-BG"/>
                      <a:t>брой ДП-49; 3,89%</a:t>
                    </a:r>
                  </a:p>
                </c:rich>
              </c:tx>
              <c:numFmt formatCode="0.00%" sourceLinked="0"/>
              <c:spPr/>
              <c:dLblPos val="bestFit"/>
              <c:showLegendKey val="0"/>
              <c:showVal val="0"/>
              <c:showCatName val="0"/>
              <c:showSerName val="0"/>
              <c:showPercent val="0"/>
              <c:showBubbleSize val="0"/>
            </c:dLbl>
            <c:dLbl>
              <c:idx val="8"/>
              <c:layout>
                <c:manualLayout>
                  <c:x val="-1.3782958793987764E-2"/>
                  <c:y val="-2.463628410085103E-2"/>
                </c:manualLayout>
              </c:layout>
              <c:tx>
                <c:rich>
                  <a:bodyPr/>
                  <a:lstStyle/>
                  <a:p>
                    <a:pPr>
                      <a:defRPr/>
                    </a:pPr>
                    <a:r>
                      <a:rPr lang="bg-BG"/>
                      <a:t>брой ДП-42; 3,34%</a:t>
                    </a:r>
                  </a:p>
                </c:rich>
              </c:tx>
              <c:numFmt formatCode="0.00%" sourceLinked="0"/>
              <c:spPr/>
              <c:dLblPos val="bestFit"/>
              <c:showLegendKey val="0"/>
              <c:showVal val="0"/>
              <c:showCatName val="0"/>
              <c:showSerName val="0"/>
              <c:showPercent val="0"/>
              <c:showBubbleSize val="0"/>
            </c:dLbl>
            <c:dLbl>
              <c:idx val="9"/>
              <c:layout>
                <c:manualLayout>
                  <c:x val="0.11994340690435767"/>
                  <c:y val="-1.6854741642143217E-2"/>
                </c:manualLayout>
              </c:layout>
              <c:tx>
                <c:rich>
                  <a:bodyPr/>
                  <a:lstStyle/>
                  <a:p>
                    <a:pPr>
                      <a:defRPr/>
                    </a:pPr>
                    <a:r>
                      <a:rPr lang="bg-BG"/>
                      <a:t>брой ДП-13; 1,03%</a:t>
                    </a:r>
                  </a:p>
                </c:rich>
              </c:tx>
              <c:numFmt formatCode="0.00%" sourceLinked="0"/>
              <c:spPr/>
              <c:dLblPos val="bestFit"/>
              <c:showLegendKey val="0"/>
              <c:showVal val="0"/>
              <c:showCatName val="0"/>
              <c:showSerName val="0"/>
              <c:showPercent val="0"/>
              <c:showBubbleSize val="0"/>
            </c:dLbl>
            <c:dLbl>
              <c:idx val="10"/>
              <c:numFmt formatCode="0.00%" sourceLinked="0"/>
              <c:spPr/>
              <c:txPr>
                <a:bodyPr/>
                <a:lstStyle/>
                <a:p>
                  <a:pPr>
                    <a:defRPr/>
                  </a:pPr>
                  <a:endParaRPr lang="bg-BG"/>
                </a:p>
              </c:txPr>
              <c:dLblPos val="bestFit"/>
              <c:showLegendKey val="0"/>
              <c:showVal val="1"/>
              <c:showCatName val="0"/>
              <c:showSerName val="1"/>
              <c:showPercent val="1"/>
              <c:showBubbleSize val="0"/>
            </c:dLbl>
            <c:spPr>
              <a:noFill/>
              <a:ln w="25399">
                <a:noFill/>
              </a:ln>
            </c:spPr>
            <c:dLblPos val="bestFit"/>
            <c:showLegendKey val="0"/>
            <c:showVal val="1"/>
            <c:showCatName val="0"/>
            <c:showSerName val="1"/>
            <c:showPercent val="1"/>
            <c:showBubbleSize val="0"/>
            <c:showLeaderLines val="1"/>
          </c:dLbls>
          <c:cat>
            <c:strRef>
              <c:f>Лист1!$A$2:$A$12</c:f>
              <c:strCache>
                <c:ptCount val="10"/>
                <c:pt idx="0">
                  <c:v>против собствеността</c:v>
                </c:pt>
                <c:pt idx="1">
                  <c:v>общоопасни</c:v>
                </c:pt>
                <c:pt idx="2">
                  <c:v>против личността</c:v>
                </c:pt>
                <c:pt idx="3">
                  <c:v>против стопанството</c:v>
                </c:pt>
                <c:pt idx="4">
                  <c:v>против финансово-данъчната и осигурителна система</c:v>
                </c:pt>
                <c:pt idx="5">
                  <c:v>документни</c:v>
                </c:pt>
                <c:pt idx="6">
                  <c:v>против брака, семейството и младежта </c:v>
                </c:pt>
                <c:pt idx="7">
                  <c:v>против реда и общественото спокойствие </c:v>
                </c:pt>
                <c:pt idx="8">
                  <c:v>против дейността на държавните органи</c:v>
                </c:pt>
                <c:pt idx="9">
                  <c:v>против правата на гражданите</c:v>
                </c:pt>
              </c:strCache>
            </c:strRef>
          </c:cat>
          <c:val>
            <c:numRef>
              <c:f>Лист1!$B$2:$B$12</c:f>
              <c:numCache>
                <c:formatCode>General</c:formatCode>
                <c:ptCount val="10"/>
                <c:pt idx="0">
                  <c:v>336</c:v>
                </c:pt>
                <c:pt idx="1">
                  <c:v>421</c:v>
                </c:pt>
                <c:pt idx="2">
                  <c:v>154</c:v>
                </c:pt>
                <c:pt idx="3">
                  <c:v>101</c:v>
                </c:pt>
                <c:pt idx="4">
                  <c:v>14</c:v>
                </c:pt>
                <c:pt idx="5">
                  <c:v>100</c:v>
                </c:pt>
                <c:pt idx="6">
                  <c:v>29</c:v>
                </c:pt>
                <c:pt idx="7">
                  <c:v>49</c:v>
                </c:pt>
                <c:pt idx="8">
                  <c:v>42</c:v>
                </c:pt>
                <c:pt idx="9">
                  <c:v>13</c:v>
                </c:pt>
              </c:numCache>
            </c:numRef>
          </c:val>
        </c:ser>
        <c:ser>
          <c:idx val="1"/>
          <c:order val="1"/>
          <c:tx>
            <c:strRef>
              <c:f>Лист1!$C$1</c:f>
              <c:strCache>
                <c:ptCount val="1"/>
                <c:pt idx="0">
                  <c:v>Колона1</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cat>
            <c:strRef>
              <c:f>Лист1!$A$2:$A$12</c:f>
              <c:strCache>
                <c:ptCount val="10"/>
                <c:pt idx="0">
                  <c:v>против собствеността</c:v>
                </c:pt>
                <c:pt idx="1">
                  <c:v>общоопасни</c:v>
                </c:pt>
                <c:pt idx="2">
                  <c:v>против личността</c:v>
                </c:pt>
                <c:pt idx="3">
                  <c:v>против стопанството</c:v>
                </c:pt>
                <c:pt idx="4">
                  <c:v>против финансово-данъчната и осигурителна система</c:v>
                </c:pt>
                <c:pt idx="5">
                  <c:v>документни</c:v>
                </c:pt>
                <c:pt idx="6">
                  <c:v>против брака, семейството и младежта </c:v>
                </c:pt>
                <c:pt idx="7">
                  <c:v>против реда и общественото спокойствие </c:v>
                </c:pt>
                <c:pt idx="8">
                  <c:v>против дейността на държавните органи</c:v>
                </c:pt>
                <c:pt idx="9">
                  <c:v>против правата на гражданите</c:v>
                </c:pt>
              </c:strCache>
            </c:strRef>
          </c:cat>
          <c:val>
            <c:numRef>
              <c:f>Лист1!$C$2:$C$12</c:f>
              <c:numCache>
                <c:formatCode>0.00%</c:formatCode>
                <c:ptCount val="10"/>
                <c:pt idx="0">
                  <c:v>0.26690000000000003</c:v>
                </c:pt>
                <c:pt idx="1">
                  <c:v>0.33439999999999998</c:v>
                </c:pt>
                <c:pt idx="2">
                  <c:v>0.12230000000000001</c:v>
                </c:pt>
                <c:pt idx="3">
                  <c:v>8.0199999999999994E-2</c:v>
                </c:pt>
                <c:pt idx="4">
                  <c:v>1.11E-2</c:v>
                </c:pt>
                <c:pt idx="5">
                  <c:v>7.9500000000000001E-2</c:v>
                </c:pt>
                <c:pt idx="6">
                  <c:v>2.3E-2</c:v>
                </c:pt>
                <c:pt idx="7">
                  <c:v>3.8899999999999997E-2</c:v>
                </c:pt>
                <c:pt idx="8">
                  <c:v>3.3399999999999999E-2</c:v>
                </c:pt>
                <c:pt idx="9">
                  <c:v>1.03E-2</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r"/>
      <c:layout>
        <c:manualLayout>
          <c:xMode val="edge"/>
          <c:yMode val="edge"/>
          <c:x val="0.66632787677856065"/>
          <c:y val="0.18649461270171416"/>
          <c:w val="0.31978311921536129"/>
          <c:h val="0.81239552603094423"/>
        </c:manualLayout>
      </c:layout>
      <c:overlay val="0"/>
    </c:legend>
    <c:plotVisOnly val="1"/>
    <c:dispBlanksAs val="gap"/>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5427889474980679E-2"/>
          <c:y val="7.1718635170603687E-2"/>
          <c:w val="0.7249291168701002"/>
          <c:h val="0.60593105861767294"/>
        </c:manualLayout>
      </c:layout>
      <c:barChart>
        <c:barDir val="col"/>
        <c:grouping val="clustered"/>
        <c:varyColors val="0"/>
        <c:ser>
          <c:idx val="0"/>
          <c:order val="0"/>
          <c:tx>
            <c:strRef>
              <c:f>Лист1!$B$1</c:f>
              <c:strCache>
                <c:ptCount val="1"/>
                <c:pt idx="0">
                  <c:v>ОП Разград</c:v>
                </c:pt>
              </c:strCache>
            </c:strRef>
          </c:tx>
          <c:invertIfNegative val="0"/>
          <c:dLbls>
            <c:showLegendKey val="0"/>
            <c:showVal val="1"/>
            <c:showCatName val="0"/>
            <c:showSerName val="0"/>
            <c:showPercent val="0"/>
            <c:showBubbleSize val="0"/>
            <c:showLeaderLines val="0"/>
          </c:dLbls>
          <c:cat>
            <c:strRef>
              <c:f>Лист1!$A$2:$A$6</c:f>
              <c:strCache>
                <c:ptCount val="5"/>
                <c:pt idx="0">
                  <c:v>Доживотен затвор</c:v>
                </c:pt>
                <c:pt idx="1">
                  <c:v>Лишаване от свобода</c:v>
                </c:pt>
                <c:pt idx="2">
                  <c:v>Лишаване от права</c:v>
                </c:pt>
                <c:pt idx="3">
                  <c:v>Пробация</c:v>
                </c:pt>
                <c:pt idx="4">
                  <c:v>Обществено порицание</c:v>
                </c:pt>
              </c:strCache>
            </c:strRef>
          </c:cat>
          <c:val>
            <c:numRef>
              <c:f>Лист1!$B$2:$B$6</c:f>
              <c:numCache>
                <c:formatCode>General</c:formatCode>
                <c:ptCount val="5"/>
                <c:pt idx="0">
                  <c:v>0</c:v>
                </c:pt>
                <c:pt idx="1">
                  <c:v>9</c:v>
                </c:pt>
                <c:pt idx="2">
                  <c:v>8</c:v>
                </c:pt>
                <c:pt idx="3">
                  <c:v>2</c:v>
                </c:pt>
                <c:pt idx="4">
                  <c:v>0</c:v>
                </c:pt>
              </c:numCache>
            </c:numRef>
          </c:val>
        </c:ser>
        <c:ser>
          <c:idx val="1"/>
          <c:order val="1"/>
          <c:tx>
            <c:strRef>
              <c:f>Лист1!$C$1</c:f>
              <c:strCache>
                <c:ptCount val="1"/>
                <c:pt idx="0">
                  <c:v>РП Разград</c:v>
                </c:pt>
              </c:strCache>
            </c:strRef>
          </c:tx>
          <c:invertIfNegative val="0"/>
          <c:dLbls>
            <c:showLegendKey val="0"/>
            <c:showVal val="1"/>
            <c:showCatName val="0"/>
            <c:showSerName val="0"/>
            <c:showPercent val="0"/>
            <c:showBubbleSize val="0"/>
            <c:showLeaderLines val="0"/>
          </c:dLbls>
          <c:cat>
            <c:strRef>
              <c:f>Лист1!$A$2:$A$6</c:f>
              <c:strCache>
                <c:ptCount val="5"/>
                <c:pt idx="0">
                  <c:v>Доживотен затвор</c:v>
                </c:pt>
                <c:pt idx="1">
                  <c:v>Лишаване от свобода</c:v>
                </c:pt>
                <c:pt idx="2">
                  <c:v>Лишаване от права</c:v>
                </c:pt>
                <c:pt idx="3">
                  <c:v>Пробация</c:v>
                </c:pt>
                <c:pt idx="4">
                  <c:v>Обществено порицание</c:v>
                </c:pt>
              </c:strCache>
            </c:strRef>
          </c:cat>
          <c:val>
            <c:numRef>
              <c:f>Лист1!$C$2:$C$6</c:f>
              <c:numCache>
                <c:formatCode>General</c:formatCode>
                <c:ptCount val="5"/>
                <c:pt idx="0">
                  <c:v>0</c:v>
                </c:pt>
                <c:pt idx="1">
                  <c:v>51</c:v>
                </c:pt>
                <c:pt idx="2">
                  <c:v>62</c:v>
                </c:pt>
                <c:pt idx="3">
                  <c:v>57</c:v>
                </c:pt>
                <c:pt idx="4">
                  <c:v>10</c:v>
                </c:pt>
              </c:numCache>
            </c:numRef>
          </c:val>
        </c:ser>
        <c:ser>
          <c:idx val="2"/>
          <c:order val="2"/>
          <c:tx>
            <c:strRef>
              <c:f>Лист1!$D$1</c:f>
              <c:strCache>
                <c:ptCount val="1"/>
                <c:pt idx="0">
                  <c:v>РП Исперих</c:v>
                </c:pt>
              </c:strCache>
            </c:strRef>
          </c:tx>
          <c:invertIfNegative val="0"/>
          <c:dLbls>
            <c:showLegendKey val="0"/>
            <c:showVal val="1"/>
            <c:showCatName val="0"/>
            <c:showSerName val="0"/>
            <c:showPercent val="0"/>
            <c:showBubbleSize val="0"/>
            <c:showLeaderLines val="0"/>
          </c:dLbls>
          <c:cat>
            <c:strRef>
              <c:f>Лист1!$A$2:$A$6</c:f>
              <c:strCache>
                <c:ptCount val="5"/>
                <c:pt idx="0">
                  <c:v>Доживотен затвор</c:v>
                </c:pt>
                <c:pt idx="1">
                  <c:v>Лишаване от свобода</c:v>
                </c:pt>
                <c:pt idx="2">
                  <c:v>Лишаване от права</c:v>
                </c:pt>
                <c:pt idx="3">
                  <c:v>Пробация</c:v>
                </c:pt>
                <c:pt idx="4">
                  <c:v>Обществено порицание</c:v>
                </c:pt>
              </c:strCache>
            </c:strRef>
          </c:cat>
          <c:val>
            <c:numRef>
              <c:f>Лист1!$D$2:$D$6</c:f>
              <c:numCache>
                <c:formatCode>General</c:formatCode>
                <c:ptCount val="5"/>
                <c:pt idx="0">
                  <c:v>0</c:v>
                </c:pt>
                <c:pt idx="1">
                  <c:v>34</c:v>
                </c:pt>
                <c:pt idx="2">
                  <c:v>32</c:v>
                </c:pt>
                <c:pt idx="3">
                  <c:v>20</c:v>
                </c:pt>
                <c:pt idx="4">
                  <c:v>3</c:v>
                </c:pt>
              </c:numCache>
            </c:numRef>
          </c:val>
        </c:ser>
        <c:ser>
          <c:idx val="3"/>
          <c:order val="3"/>
          <c:tx>
            <c:strRef>
              <c:f>Лист1!$E$1</c:f>
              <c:strCache>
                <c:ptCount val="1"/>
                <c:pt idx="0">
                  <c:v>РП Кубрат</c:v>
                </c:pt>
              </c:strCache>
            </c:strRef>
          </c:tx>
          <c:invertIfNegative val="0"/>
          <c:dLbls>
            <c:showLegendKey val="0"/>
            <c:showVal val="1"/>
            <c:showCatName val="0"/>
            <c:showSerName val="0"/>
            <c:showPercent val="0"/>
            <c:showBubbleSize val="0"/>
            <c:showLeaderLines val="0"/>
          </c:dLbls>
          <c:cat>
            <c:strRef>
              <c:f>Лист1!$A$2:$A$6</c:f>
              <c:strCache>
                <c:ptCount val="5"/>
                <c:pt idx="0">
                  <c:v>Доживотен затвор</c:v>
                </c:pt>
                <c:pt idx="1">
                  <c:v>Лишаване от свобода</c:v>
                </c:pt>
                <c:pt idx="2">
                  <c:v>Лишаване от права</c:v>
                </c:pt>
                <c:pt idx="3">
                  <c:v>Пробация</c:v>
                </c:pt>
                <c:pt idx="4">
                  <c:v>Обществено порицание</c:v>
                </c:pt>
              </c:strCache>
            </c:strRef>
          </c:cat>
          <c:val>
            <c:numRef>
              <c:f>Лист1!$E$2:$E$6</c:f>
              <c:numCache>
                <c:formatCode>General</c:formatCode>
                <c:ptCount val="5"/>
                <c:pt idx="0">
                  <c:v>0</c:v>
                </c:pt>
                <c:pt idx="1">
                  <c:v>15</c:v>
                </c:pt>
                <c:pt idx="2">
                  <c:v>11</c:v>
                </c:pt>
                <c:pt idx="3">
                  <c:v>46</c:v>
                </c:pt>
                <c:pt idx="4">
                  <c:v>18</c:v>
                </c:pt>
              </c:numCache>
            </c:numRef>
          </c:val>
        </c:ser>
        <c:dLbls>
          <c:showLegendKey val="0"/>
          <c:showVal val="0"/>
          <c:showCatName val="0"/>
          <c:showSerName val="0"/>
          <c:showPercent val="0"/>
          <c:showBubbleSize val="0"/>
        </c:dLbls>
        <c:gapWidth val="150"/>
        <c:axId val="224322048"/>
        <c:axId val="222174528"/>
      </c:barChart>
      <c:catAx>
        <c:axId val="224322048"/>
        <c:scaling>
          <c:orientation val="minMax"/>
        </c:scaling>
        <c:delete val="0"/>
        <c:axPos val="b"/>
        <c:title>
          <c:tx>
            <c:rich>
              <a:bodyPr/>
              <a:lstStyle/>
              <a:p>
                <a:pPr>
                  <a:defRPr sz="746" b="1" i="0" u="none" strike="noStrike" baseline="0">
                    <a:solidFill>
                      <a:srgbClr val="000000"/>
                    </a:solidFill>
                    <a:latin typeface="Calibri"/>
                    <a:ea typeface="Calibri"/>
                    <a:cs typeface="Calibri"/>
                  </a:defRPr>
                </a:pPr>
                <a:r>
                  <a:rPr lang="bg-BG"/>
                  <a:t>Видове наказания</a:t>
                </a:r>
              </a:p>
            </c:rich>
          </c:tx>
          <c:overlay val="0"/>
        </c:title>
        <c:numFmt formatCode="General" sourceLinked="1"/>
        <c:majorTickMark val="out"/>
        <c:minorTickMark val="none"/>
        <c:tickLblPos val="nextTo"/>
        <c:crossAx val="222174528"/>
        <c:crosses val="autoZero"/>
        <c:auto val="1"/>
        <c:lblAlgn val="ctr"/>
        <c:lblOffset val="100"/>
        <c:noMultiLvlLbl val="0"/>
      </c:catAx>
      <c:valAx>
        <c:axId val="222174528"/>
        <c:scaling>
          <c:orientation val="minMax"/>
        </c:scaling>
        <c:delete val="0"/>
        <c:axPos val="l"/>
        <c:numFmt formatCode="General" sourceLinked="1"/>
        <c:majorTickMark val="out"/>
        <c:minorTickMark val="none"/>
        <c:tickLblPos val="nextTo"/>
        <c:crossAx val="224322048"/>
        <c:crosses val="autoZero"/>
        <c:crossBetween val="between"/>
      </c:valAx>
      <c:spPr>
        <a:noFill/>
        <a:ln w="25417">
          <a:noFill/>
        </a:ln>
      </c:spPr>
    </c:plotArea>
    <c:legend>
      <c:legendPos val="r"/>
      <c:overlay val="0"/>
    </c:legend>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bg-BG" sz="1400"/>
              <a:t>Видове наказания</a:t>
            </a:r>
          </a:p>
        </c:rich>
      </c:tx>
      <c:overlay val="0"/>
    </c:title>
    <c:autoTitleDeleted val="0"/>
    <c:plotArea>
      <c:layout/>
      <c:barChart>
        <c:barDir val="col"/>
        <c:grouping val="clustered"/>
        <c:varyColors val="0"/>
        <c:ser>
          <c:idx val="0"/>
          <c:order val="0"/>
          <c:tx>
            <c:strRef>
              <c:f>Лист1!$B$1</c:f>
              <c:strCache>
                <c:ptCount val="1"/>
                <c:pt idx="0">
                  <c:v>2019г.</c:v>
                </c:pt>
              </c:strCache>
            </c:strRef>
          </c:tx>
          <c:invertIfNegative val="0"/>
          <c:dLbls>
            <c:showLegendKey val="0"/>
            <c:showVal val="1"/>
            <c:showCatName val="0"/>
            <c:showSerName val="0"/>
            <c:showPercent val="0"/>
            <c:showBubbleSize val="0"/>
            <c:showLeaderLines val="0"/>
          </c:dLbls>
          <c:cat>
            <c:strRef>
              <c:f>Лист1!$A$2:$A$4</c:f>
              <c:strCache>
                <c:ptCount val="3"/>
                <c:pt idx="0">
                  <c:v>лишаване от свобода</c:v>
                </c:pt>
                <c:pt idx="1">
                  <c:v>лишаване от права</c:v>
                </c:pt>
                <c:pt idx="2">
                  <c:v>пробация</c:v>
                </c:pt>
              </c:strCache>
            </c:strRef>
          </c:cat>
          <c:val>
            <c:numRef>
              <c:f>Лист1!$B$2:$B$4</c:f>
              <c:numCache>
                <c:formatCode>General</c:formatCode>
                <c:ptCount val="3"/>
                <c:pt idx="0">
                  <c:v>9</c:v>
                </c:pt>
                <c:pt idx="1">
                  <c:v>8</c:v>
                </c:pt>
                <c:pt idx="2">
                  <c:v>2</c:v>
                </c:pt>
              </c:numCache>
            </c:numRef>
          </c:val>
        </c:ser>
        <c:ser>
          <c:idx val="1"/>
          <c:order val="1"/>
          <c:tx>
            <c:strRef>
              <c:f>Лист1!$C$1</c:f>
              <c:strCache>
                <c:ptCount val="1"/>
                <c:pt idx="0">
                  <c:v>2018г.</c:v>
                </c:pt>
              </c:strCache>
            </c:strRef>
          </c:tx>
          <c:invertIfNegative val="0"/>
          <c:dLbls>
            <c:showLegendKey val="0"/>
            <c:showVal val="1"/>
            <c:showCatName val="0"/>
            <c:showSerName val="0"/>
            <c:showPercent val="0"/>
            <c:showBubbleSize val="0"/>
            <c:showLeaderLines val="0"/>
          </c:dLbls>
          <c:cat>
            <c:strRef>
              <c:f>Лист1!$A$2:$A$4</c:f>
              <c:strCache>
                <c:ptCount val="3"/>
                <c:pt idx="0">
                  <c:v>лишаване от свобода</c:v>
                </c:pt>
                <c:pt idx="1">
                  <c:v>лишаване от права</c:v>
                </c:pt>
                <c:pt idx="2">
                  <c:v>пробация</c:v>
                </c:pt>
              </c:strCache>
            </c:strRef>
          </c:cat>
          <c:val>
            <c:numRef>
              <c:f>Лист1!$C$2:$C$4</c:f>
              <c:numCache>
                <c:formatCode>General</c:formatCode>
                <c:ptCount val="3"/>
                <c:pt idx="0">
                  <c:v>21</c:v>
                </c:pt>
                <c:pt idx="1">
                  <c:v>7</c:v>
                </c:pt>
                <c:pt idx="2">
                  <c:v>7</c:v>
                </c:pt>
              </c:numCache>
            </c:numRef>
          </c:val>
        </c:ser>
        <c:ser>
          <c:idx val="2"/>
          <c:order val="2"/>
          <c:tx>
            <c:strRef>
              <c:f>Лист1!$D$1</c:f>
              <c:strCache>
                <c:ptCount val="1"/>
                <c:pt idx="0">
                  <c:v>2017г.</c:v>
                </c:pt>
              </c:strCache>
            </c:strRef>
          </c:tx>
          <c:invertIfNegative val="0"/>
          <c:dLbls>
            <c:showLegendKey val="0"/>
            <c:showVal val="1"/>
            <c:showCatName val="0"/>
            <c:showSerName val="0"/>
            <c:showPercent val="0"/>
            <c:showBubbleSize val="0"/>
            <c:showLeaderLines val="0"/>
          </c:dLbls>
          <c:cat>
            <c:strRef>
              <c:f>Лист1!$A$2:$A$4</c:f>
              <c:strCache>
                <c:ptCount val="3"/>
                <c:pt idx="0">
                  <c:v>лишаване от свобода</c:v>
                </c:pt>
                <c:pt idx="1">
                  <c:v>лишаване от права</c:v>
                </c:pt>
                <c:pt idx="2">
                  <c:v>пробация</c:v>
                </c:pt>
              </c:strCache>
            </c:strRef>
          </c:cat>
          <c:val>
            <c:numRef>
              <c:f>Лист1!$D$2:$D$4</c:f>
              <c:numCache>
                <c:formatCode>General</c:formatCode>
                <c:ptCount val="3"/>
                <c:pt idx="0">
                  <c:v>22</c:v>
                </c:pt>
                <c:pt idx="1">
                  <c:v>3</c:v>
                </c:pt>
                <c:pt idx="2">
                  <c:v>15</c:v>
                </c:pt>
              </c:numCache>
            </c:numRef>
          </c:val>
        </c:ser>
        <c:dLbls>
          <c:showLegendKey val="0"/>
          <c:showVal val="0"/>
          <c:showCatName val="0"/>
          <c:showSerName val="0"/>
          <c:showPercent val="0"/>
          <c:showBubbleSize val="0"/>
        </c:dLbls>
        <c:gapWidth val="150"/>
        <c:overlap val="-25"/>
        <c:axId val="226536448"/>
        <c:axId val="223725248"/>
      </c:barChart>
      <c:catAx>
        <c:axId val="226536448"/>
        <c:scaling>
          <c:orientation val="minMax"/>
        </c:scaling>
        <c:delete val="0"/>
        <c:axPos val="b"/>
        <c:numFmt formatCode="General" sourceLinked="1"/>
        <c:majorTickMark val="none"/>
        <c:minorTickMark val="none"/>
        <c:tickLblPos val="nextTo"/>
        <c:crossAx val="223725248"/>
        <c:crosses val="autoZero"/>
        <c:auto val="1"/>
        <c:lblAlgn val="ctr"/>
        <c:lblOffset val="100"/>
        <c:noMultiLvlLbl val="0"/>
      </c:catAx>
      <c:valAx>
        <c:axId val="223725248"/>
        <c:scaling>
          <c:orientation val="minMax"/>
        </c:scaling>
        <c:delete val="1"/>
        <c:axPos val="l"/>
        <c:numFmt formatCode="General" sourceLinked="1"/>
        <c:majorTickMark val="out"/>
        <c:minorTickMark val="none"/>
        <c:tickLblPos val="nextTo"/>
        <c:crossAx val="226536448"/>
        <c:crosses val="autoZero"/>
        <c:crossBetween val="between"/>
      </c:valAx>
    </c:plotArea>
    <c:legend>
      <c:legendPos val="t"/>
      <c:overlay val="0"/>
    </c:legend>
    <c:plotVisOnly val="1"/>
    <c:dispBlanksAs val="gap"/>
    <c:showDLblsOverMax val="0"/>
  </c:chart>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bg-BG" sz="1400"/>
              <a:t>видове наказания</a:t>
            </a:r>
          </a:p>
        </c:rich>
      </c:tx>
      <c:overlay val="0"/>
    </c:title>
    <c:autoTitleDeleted val="0"/>
    <c:plotArea>
      <c:layout/>
      <c:barChart>
        <c:barDir val="col"/>
        <c:grouping val="clustered"/>
        <c:varyColors val="0"/>
        <c:ser>
          <c:idx val="0"/>
          <c:order val="0"/>
          <c:tx>
            <c:strRef>
              <c:f>Лист1!$B$1</c:f>
              <c:strCache>
                <c:ptCount val="1"/>
                <c:pt idx="0">
                  <c:v>2019г.</c:v>
                </c:pt>
              </c:strCache>
            </c:strRef>
          </c:tx>
          <c:invertIfNegative val="0"/>
          <c:dLbls>
            <c:showLegendKey val="0"/>
            <c:showVal val="1"/>
            <c:showCatName val="0"/>
            <c:showSerName val="0"/>
            <c:showPercent val="0"/>
            <c:showBubbleSize val="0"/>
            <c:showLeaderLines val="0"/>
          </c:dLbls>
          <c:cat>
            <c:strRef>
              <c:f>Лист1!$A$2:$A$5</c:f>
              <c:strCache>
                <c:ptCount val="4"/>
                <c:pt idx="0">
                  <c:v>лишаване от свобода</c:v>
                </c:pt>
                <c:pt idx="1">
                  <c:v>лишаване от права</c:v>
                </c:pt>
                <c:pt idx="2">
                  <c:v>пробация</c:v>
                </c:pt>
                <c:pt idx="3">
                  <c:v>обществено порицание</c:v>
                </c:pt>
              </c:strCache>
            </c:strRef>
          </c:cat>
          <c:val>
            <c:numRef>
              <c:f>Лист1!$B$2:$B$5</c:f>
              <c:numCache>
                <c:formatCode>General</c:formatCode>
                <c:ptCount val="4"/>
                <c:pt idx="0">
                  <c:v>51</c:v>
                </c:pt>
                <c:pt idx="1">
                  <c:v>62</c:v>
                </c:pt>
                <c:pt idx="2">
                  <c:v>57</c:v>
                </c:pt>
                <c:pt idx="3">
                  <c:v>10</c:v>
                </c:pt>
              </c:numCache>
            </c:numRef>
          </c:val>
        </c:ser>
        <c:ser>
          <c:idx val="1"/>
          <c:order val="1"/>
          <c:tx>
            <c:strRef>
              <c:f>Лист1!$C$1</c:f>
              <c:strCache>
                <c:ptCount val="1"/>
                <c:pt idx="0">
                  <c:v>2018г.</c:v>
                </c:pt>
              </c:strCache>
            </c:strRef>
          </c:tx>
          <c:invertIfNegative val="0"/>
          <c:dLbls>
            <c:showLegendKey val="0"/>
            <c:showVal val="1"/>
            <c:showCatName val="0"/>
            <c:showSerName val="0"/>
            <c:showPercent val="0"/>
            <c:showBubbleSize val="0"/>
            <c:showLeaderLines val="0"/>
          </c:dLbls>
          <c:cat>
            <c:strRef>
              <c:f>Лист1!$A$2:$A$5</c:f>
              <c:strCache>
                <c:ptCount val="4"/>
                <c:pt idx="0">
                  <c:v>лишаване от свобода</c:v>
                </c:pt>
                <c:pt idx="1">
                  <c:v>лишаване от права</c:v>
                </c:pt>
                <c:pt idx="2">
                  <c:v>пробация</c:v>
                </c:pt>
                <c:pt idx="3">
                  <c:v>обществено порицание</c:v>
                </c:pt>
              </c:strCache>
            </c:strRef>
          </c:cat>
          <c:val>
            <c:numRef>
              <c:f>Лист1!$C$2:$C$5</c:f>
              <c:numCache>
                <c:formatCode>General</c:formatCode>
                <c:ptCount val="4"/>
                <c:pt idx="0">
                  <c:v>41</c:v>
                </c:pt>
                <c:pt idx="1">
                  <c:v>58</c:v>
                </c:pt>
                <c:pt idx="2">
                  <c:v>33</c:v>
                </c:pt>
                <c:pt idx="3">
                  <c:v>5</c:v>
                </c:pt>
              </c:numCache>
            </c:numRef>
          </c:val>
        </c:ser>
        <c:ser>
          <c:idx val="2"/>
          <c:order val="2"/>
          <c:tx>
            <c:strRef>
              <c:f>Лист1!$D$1</c:f>
              <c:strCache>
                <c:ptCount val="1"/>
                <c:pt idx="0">
                  <c:v>2017г.</c:v>
                </c:pt>
              </c:strCache>
            </c:strRef>
          </c:tx>
          <c:invertIfNegative val="0"/>
          <c:dLbls>
            <c:showLegendKey val="0"/>
            <c:showVal val="1"/>
            <c:showCatName val="0"/>
            <c:showSerName val="0"/>
            <c:showPercent val="0"/>
            <c:showBubbleSize val="0"/>
            <c:showLeaderLines val="0"/>
          </c:dLbls>
          <c:cat>
            <c:strRef>
              <c:f>Лист1!$A$2:$A$5</c:f>
              <c:strCache>
                <c:ptCount val="4"/>
                <c:pt idx="0">
                  <c:v>лишаване от свобода</c:v>
                </c:pt>
                <c:pt idx="1">
                  <c:v>лишаване от права</c:v>
                </c:pt>
                <c:pt idx="2">
                  <c:v>пробация</c:v>
                </c:pt>
                <c:pt idx="3">
                  <c:v>обществено порицание</c:v>
                </c:pt>
              </c:strCache>
            </c:strRef>
          </c:cat>
          <c:val>
            <c:numRef>
              <c:f>Лист1!$D$2:$D$5</c:f>
              <c:numCache>
                <c:formatCode>General</c:formatCode>
                <c:ptCount val="4"/>
                <c:pt idx="0">
                  <c:v>40</c:v>
                </c:pt>
                <c:pt idx="1">
                  <c:v>37</c:v>
                </c:pt>
                <c:pt idx="2">
                  <c:v>55</c:v>
                </c:pt>
                <c:pt idx="3">
                  <c:v>8</c:v>
                </c:pt>
              </c:numCache>
            </c:numRef>
          </c:val>
        </c:ser>
        <c:dLbls>
          <c:showLegendKey val="0"/>
          <c:showVal val="0"/>
          <c:showCatName val="0"/>
          <c:showSerName val="0"/>
          <c:showPercent val="0"/>
          <c:showBubbleSize val="0"/>
        </c:dLbls>
        <c:gapWidth val="150"/>
        <c:overlap val="-25"/>
        <c:axId val="224323584"/>
        <c:axId val="226797824"/>
      </c:barChart>
      <c:catAx>
        <c:axId val="224323584"/>
        <c:scaling>
          <c:orientation val="minMax"/>
        </c:scaling>
        <c:delete val="0"/>
        <c:axPos val="b"/>
        <c:numFmt formatCode="General" sourceLinked="1"/>
        <c:majorTickMark val="none"/>
        <c:minorTickMark val="none"/>
        <c:tickLblPos val="nextTo"/>
        <c:crossAx val="226797824"/>
        <c:crosses val="autoZero"/>
        <c:auto val="1"/>
        <c:lblAlgn val="ctr"/>
        <c:lblOffset val="100"/>
        <c:noMultiLvlLbl val="0"/>
      </c:catAx>
      <c:valAx>
        <c:axId val="226797824"/>
        <c:scaling>
          <c:orientation val="minMax"/>
        </c:scaling>
        <c:delete val="1"/>
        <c:axPos val="l"/>
        <c:numFmt formatCode="General" sourceLinked="1"/>
        <c:majorTickMark val="out"/>
        <c:minorTickMark val="none"/>
        <c:tickLblPos val="nextTo"/>
        <c:crossAx val="224323584"/>
        <c:crosses val="autoZero"/>
        <c:crossBetween val="between"/>
      </c:valAx>
    </c:plotArea>
    <c:legend>
      <c:legendPos val="t"/>
      <c:overlay val="0"/>
    </c:legend>
    <c:plotVisOnly val="1"/>
    <c:dispBlanksAs val="gap"/>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400"/>
              <a:t>видове наказания</a:t>
            </a:r>
          </a:p>
        </c:rich>
      </c:tx>
      <c:overlay val="0"/>
    </c:title>
    <c:autoTitleDeleted val="0"/>
    <c:plotArea>
      <c:layout/>
      <c:barChart>
        <c:barDir val="col"/>
        <c:grouping val="clustered"/>
        <c:varyColors val="0"/>
        <c:ser>
          <c:idx val="0"/>
          <c:order val="0"/>
          <c:tx>
            <c:strRef>
              <c:f>Лист1!$B$1</c:f>
              <c:strCache>
                <c:ptCount val="1"/>
                <c:pt idx="0">
                  <c:v>2019г.</c:v>
                </c:pt>
              </c:strCache>
            </c:strRef>
          </c:tx>
          <c:invertIfNegative val="0"/>
          <c:dLbls>
            <c:showLegendKey val="0"/>
            <c:showVal val="1"/>
            <c:showCatName val="0"/>
            <c:showSerName val="0"/>
            <c:showPercent val="0"/>
            <c:showBubbleSize val="0"/>
            <c:showLeaderLines val="0"/>
          </c:dLbls>
          <c:cat>
            <c:strRef>
              <c:f>Лист1!$A$2:$A$5</c:f>
              <c:strCache>
                <c:ptCount val="4"/>
                <c:pt idx="0">
                  <c:v>лишаване от свобода</c:v>
                </c:pt>
                <c:pt idx="1">
                  <c:v>лишаване от права</c:v>
                </c:pt>
                <c:pt idx="2">
                  <c:v>пробация</c:v>
                </c:pt>
                <c:pt idx="3">
                  <c:v>обществено порицание</c:v>
                </c:pt>
              </c:strCache>
            </c:strRef>
          </c:cat>
          <c:val>
            <c:numRef>
              <c:f>Лист1!$B$2:$B$5</c:f>
              <c:numCache>
                <c:formatCode>General</c:formatCode>
                <c:ptCount val="4"/>
                <c:pt idx="0">
                  <c:v>34</c:v>
                </c:pt>
                <c:pt idx="1">
                  <c:v>32</c:v>
                </c:pt>
                <c:pt idx="2">
                  <c:v>20</c:v>
                </c:pt>
                <c:pt idx="3">
                  <c:v>3</c:v>
                </c:pt>
              </c:numCache>
            </c:numRef>
          </c:val>
        </c:ser>
        <c:ser>
          <c:idx val="1"/>
          <c:order val="1"/>
          <c:tx>
            <c:strRef>
              <c:f>Лист1!$C$1</c:f>
              <c:strCache>
                <c:ptCount val="1"/>
                <c:pt idx="0">
                  <c:v>2018г.</c:v>
                </c:pt>
              </c:strCache>
            </c:strRef>
          </c:tx>
          <c:invertIfNegative val="0"/>
          <c:dLbls>
            <c:showLegendKey val="0"/>
            <c:showVal val="1"/>
            <c:showCatName val="0"/>
            <c:showSerName val="0"/>
            <c:showPercent val="0"/>
            <c:showBubbleSize val="0"/>
            <c:showLeaderLines val="0"/>
          </c:dLbls>
          <c:cat>
            <c:strRef>
              <c:f>Лист1!$A$2:$A$5</c:f>
              <c:strCache>
                <c:ptCount val="4"/>
                <c:pt idx="0">
                  <c:v>лишаване от свобода</c:v>
                </c:pt>
                <c:pt idx="1">
                  <c:v>лишаване от права</c:v>
                </c:pt>
                <c:pt idx="2">
                  <c:v>пробация</c:v>
                </c:pt>
                <c:pt idx="3">
                  <c:v>обществено порицание</c:v>
                </c:pt>
              </c:strCache>
            </c:strRef>
          </c:cat>
          <c:val>
            <c:numRef>
              <c:f>Лист1!$C$2:$C$5</c:f>
              <c:numCache>
                <c:formatCode>General</c:formatCode>
                <c:ptCount val="4"/>
                <c:pt idx="0">
                  <c:v>25</c:v>
                </c:pt>
                <c:pt idx="1">
                  <c:v>36</c:v>
                </c:pt>
                <c:pt idx="2">
                  <c:v>41</c:v>
                </c:pt>
                <c:pt idx="3">
                  <c:v>5</c:v>
                </c:pt>
              </c:numCache>
            </c:numRef>
          </c:val>
        </c:ser>
        <c:ser>
          <c:idx val="2"/>
          <c:order val="2"/>
          <c:tx>
            <c:strRef>
              <c:f>Лист1!$D$1</c:f>
              <c:strCache>
                <c:ptCount val="1"/>
                <c:pt idx="0">
                  <c:v>2017г.</c:v>
                </c:pt>
              </c:strCache>
            </c:strRef>
          </c:tx>
          <c:invertIfNegative val="0"/>
          <c:dLbls>
            <c:showLegendKey val="0"/>
            <c:showVal val="1"/>
            <c:showCatName val="0"/>
            <c:showSerName val="0"/>
            <c:showPercent val="0"/>
            <c:showBubbleSize val="0"/>
            <c:showLeaderLines val="0"/>
          </c:dLbls>
          <c:cat>
            <c:strRef>
              <c:f>Лист1!$A$2:$A$5</c:f>
              <c:strCache>
                <c:ptCount val="4"/>
                <c:pt idx="0">
                  <c:v>лишаване от свобода</c:v>
                </c:pt>
                <c:pt idx="1">
                  <c:v>лишаване от права</c:v>
                </c:pt>
                <c:pt idx="2">
                  <c:v>пробация</c:v>
                </c:pt>
                <c:pt idx="3">
                  <c:v>обществено порицание</c:v>
                </c:pt>
              </c:strCache>
            </c:strRef>
          </c:cat>
          <c:val>
            <c:numRef>
              <c:f>Лист1!$D$2:$D$5</c:f>
              <c:numCache>
                <c:formatCode>General</c:formatCode>
                <c:ptCount val="4"/>
                <c:pt idx="0">
                  <c:v>31</c:v>
                </c:pt>
                <c:pt idx="1">
                  <c:v>36</c:v>
                </c:pt>
                <c:pt idx="2">
                  <c:v>61</c:v>
                </c:pt>
                <c:pt idx="3">
                  <c:v>12</c:v>
                </c:pt>
              </c:numCache>
            </c:numRef>
          </c:val>
        </c:ser>
        <c:dLbls>
          <c:showLegendKey val="0"/>
          <c:showVal val="0"/>
          <c:showCatName val="0"/>
          <c:showSerName val="0"/>
          <c:showPercent val="0"/>
          <c:showBubbleSize val="0"/>
        </c:dLbls>
        <c:gapWidth val="150"/>
        <c:overlap val="-25"/>
        <c:axId val="226534912"/>
        <c:axId val="226799552"/>
      </c:barChart>
      <c:catAx>
        <c:axId val="226534912"/>
        <c:scaling>
          <c:orientation val="minMax"/>
        </c:scaling>
        <c:delete val="0"/>
        <c:axPos val="b"/>
        <c:numFmt formatCode="General" sourceLinked="1"/>
        <c:majorTickMark val="none"/>
        <c:minorTickMark val="none"/>
        <c:tickLblPos val="nextTo"/>
        <c:crossAx val="226799552"/>
        <c:crosses val="autoZero"/>
        <c:auto val="1"/>
        <c:lblAlgn val="ctr"/>
        <c:lblOffset val="100"/>
        <c:noMultiLvlLbl val="0"/>
      </c:catAx>
      <c:valAx>
        <c:axId val="226799552"/>
        <c:scaling>
          <c:orientation val="minMax"/>
        </c:scaling>
        <c:delete val="1"/>
        <c:axPos val="l"/>
        <c:numFmt formatCode="General" sourceLinked="1"/>
        <c:majorTickMark val="out"/>
        <c:minorTickMark val="none"/>
        <c:tickLblPos val="nextTo"/>
        <c:crossAx val="226534912"/>
        <c:crosses val="autoZero"/>
        <c:crossBetween val="between"/>
      </c:valAx>
    </c:plotArea>
    <c:legend>
      <c:legendPos val="t"/>
      <c:overlay val="0"/>
    </c:legend>
    <c:plotVisOnly val="1"/>
    <c:dispBlanksAs val="gap"/>
    <c:showDLblsOverMax val="0"/>
  </c:chart>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400"/>
              <a:t>Видове</a:t>
            </a:r>
            <a:r>
              <a:rPr lang="bg-BG" sz="1400" baseline="0"/>
              <a:t> наказания</a:t>
            </a:r>
            <a:endParaRPr lang="bg-BG" sz="1400"/>
          </a:p>
        </c:rich>
      </c:tx>
      <c:overlay val="0"/>
    </c:title>
    <c:autoTitleDeleted val="0"/>
    <c:plotArea>
      <c:layout/>
      <c:barChart>
        <c:barDir val="col"/>
        <c:grouping val="clustered"/>
        <c:varyColors val="0"/>
        <c:ser>
          <c:idx val="0"/>
          <c:order val="0"/>
          <c:tx>
            <c:strRef>
              <c:f>Лист1!$B$1</c:f>
              <c:strCache>
                <c:ptCount val="1"/>
                <c:pt idx="0">
                  <c:v>2019г.</c:v>
                </c:pt>
              </c:strCache>
            </c:strRef>
          </c:tx>
          <c:invertIfNegative val="0"/>
          <c:dLbls>
            <c:showLegendKey val="0"/>
            <c:showVal val="1"/>
            <c:showCatName val="0"/>
            <c:showSerName val="0"/>
            <c:showPercent val="0"/>
            <c:showBubbleSize val="0"/>
            <c:showLeaderLines val="0"/>
          </c:dLbls>
          <c:cat>
            <c:strRef>
              <c:f>Лист1!$A$2:$A$5</c:f>
              <c:strCache>
                <c:ptCount val="4"/>
                <c:pt idx="0">
                  <c:v>лишаване от свобода</c:v>
                </c:pt>
                <c:pt idx="1">
                  <c:v>лишаване от права</c:v>
                </c:pt>
                <c:pt idx="2">
                  <c:v>пробация</c:v>
                </c:pt>
                <c:pt idx="3">
                  <c:v>обществено порицание</c:v>
                </c:pt>
              </c:strCache>
            </c:strRef>
          </c:cat>
          <c:val>
            <c:numRef>
              <c:f>Лист1!$B$2:$B$5</c:f>
              <c:numCache>
                <c:formatCode>General</c:formatCode>
                <c:ptCount val="4"/>
                <c:pt idx="0">
                  <c:v>15</c:v>
                </c:pt>
                <c:pt idx="1">
                  <c:v>11</c:v>
                </c:pt>
                <c:pt idx="2">
                  <c:v>46</c:v>
                </c:pt>
                <c:pt idx="3">
                  <c:v>18</c:v>
                </c:pt>
              </c:numCache>
            </c:numRef>
          </c:val>
        </c:ser>
        <c:ser>
          <c:idx val="1"/>
          <c:order val="1"/>
          <c:tx>
            <c:strRef>
              <c:f>Лист1!$C$1</c:f>
              <c:strCache>
                <c:ptCount val="1"/>
                <c:pt idx="0">
                  <c:v>2018г.</c:v>
                </c:pt>
              </c:strCache>
            </c:strRef>
          </c:tx>
          <c:invertIfNegative val="0"/>
          <c:dLbls>
            <c:showLegendKey val="0"/>
            <c:showVal val="1"/>
            <c:showCatName val="0"/>
            <c:showSerName val="0"/>
            <c:showPercent val="0"/>
            <c:showBubbleSize val="0"/>
            <c:showLeaderLines val="0"/>
          </c:dLbls>
          <c:cat>
            <c:strRef>
              <c:f>Лист1!$A$2:$A$5</c:f>
              <c:strCache>
                <c:ptCount val="4"/>
                <c:pt idx="0">
                  <c:v>лишаване от свобода</c:v>
                </c:pt>
                <c:pt idx="1">
                  <c:v>лишаване от права</c:v>
                </c:pt>
                <c:pt idx="2">
                  <c:v>пробация</c:v>
                </c:pt>
                <c:pt idx="3">
                  <c:v>обществено порицание</c:v>
                </c:pt>
              </c:strCache>
            </c:strRef>
          </c:cat>
          <c:val>
            <c:numRef>
              <c:f>Лист1!$C$2:$C$5</c:f>
              <c:numCache>
                <c:formatCode>General</c:formatCode>
                <c:ptCount val="4"/>
                <c:pt idx="0">
                  <c:v>38</c:v>
                </c:pt>
                <c:pt idx="1">
                  <c:v>17</c:v>
                </c:pt>
                <c:pt idx="2">
                  <c:v>27</c:v>
                </c:pt>
                <c:pt idx="3">
                  <c:v>3</c:v>
                </c:pt>
              </c:numCache>
            </c:numRef>
          </c:val>
        </c:ser>
        <c:ser>
          <c:idx val="2"/>
          <c:order val="2"/>
          <c:tx>
            <c:strRef>
              <c:f>Лист1!$D$1</c:f>
              <c:strCache>
                <c:ptCount val="1"/>
                <c:pt idx="0">
                  <c:v>2017г.</c:v>
                </c:pt>
              </c:strCache>
            </c:strRef>
          </c:tx>
          <c:invertIfNegative val="0"/>
          <c:dLbls>
            <c:showLegendKey val="0"/>
            <c:showVal val="1"/>
            <c:showCatName val="0"/>
            <c:showSerName val="0"/>
            <c:showPercent val="0"/>
            <c:showBubbleSize val="0"/>
            <c:showLeaderLines val="0"/>
          </c:dLbls>
          <c:cat>
            <c:strRef>
              <c:f>Лист1!$A$2:$A$5</c:f>
              <c:strCache>
                <c:ptCount val="4"/>
                <c:pt idx="0">
                  <c:v>лишаване от свобода</c:v>
                </c:pt>
                <c:pt idx="1">
                  <c:v>лишаване от права</c:v>
                </c:pt>
                <c:pt idx="2">
                  <c:v>пробация</c:v>
                </c:pt>
                <c:pt idx="3">
                  <c:v>обществено порицание</c:v>
                </c:pt>
              </c:strCache>
            </c:strRef>
          </c:cat>
          <c:val>
            <c:numRef>
              <c:f>Лист1!$D$2:$D$5</c:f>
              <c:numCache>
                <c:formatCode>General</c:formatCode>
                <c:ptCount val="4"/>
                <c:pt idx="0">
                  <c:v>25</c:v>
                </c:pt>
                <c:pt idx="1">
                  <c:v>10</c:v>
                </c:pt>
                <c:pt idx="2">
                  <c:v>31</c:v>
                </c:pt>
                <c:pt idx="3">
                  <c:v>11</c:v>
                </c:pt>
              </c:numCache>
            </c:numRef>
          </c:val>
        </c:ser>
        <c:dLbls>
          <c:showLegendKey val="0"/>
          <c:showVal val="0"/>
          <c:showCatName val="0"/>
          <c:showSerName val="0"/>
          <c:showPercent val="0"/>
          <c:showBubbleSize val="0"/>
        </c:dLbls>
        <c:gapWidth val="150"/>
        <c:overlap val="-25"/>
        <c:axId val="227269120"/>
        <c:axId val="226798400"/>
      </c:barChart>
      <c:catAx>
        <c:axId val="227269120"/>
        <c:scaling>
          <c:orientation val="minMax"/>
        </c:scaling>
        <c:delete val="0"/>
        <c:axPos val="b"/>
        <c:numFmt formatCode="General" sourceLinked="1"/>
        <c:majorTickMark val="none"/>
        <c:minorTickMark val="none"/>
        <c:tickLblPos val="nextTo"/>
        <c:crossAx val="226798400"/>
        <c:crosses val="autoZero"/>
        <c:auto val="1"/>
        <c:lblAlgn val="ctr"/>
        <c:lblOffset val="100"/>
        <c:noMultiLvlLbl val="0"/>
      </c:catAx>
      <c:valAx>
        <c:axId val="226798400"/>
        <c:scaling>
          <c:orientation val="minMax"/>
        </c:scaling>
        <c:delete val="1"/>
        <c:axPos val="l"/>
        <c:numFmt formatCode="General" sourceLinked="1"/>
        <c:majorTickMark val="out"/>
        <c:minorTickMark val="none"/>
        <c:tickLblPos val="nextTo"/>
        <c:crossAx val="227269120"/>
        <c:crosses val="autoZero"/>
        <c:crossBetween val="between"/>
      </c:valAx>
    </c:plotArea>
    <c:legend>
      <c:legendPos val="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новообразувани ДП за общоопсани престъпления</c:v>
                </c:pt>
              </c:strCache>
            </c:strRef>
          </c:tx>
          <c:spPr>
            <a:ln w="28628">
              <a:noFill/>
            </a:ln>
          </c:spPr>
          <c:invertIfNegative val="0"/>
          <c:dLbls>
            <c:spPr>
              <a:noFill/>
              <a:ln w="25447">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421</c:v>
                </c:pt>
                <c:pt idx="1">
                  <c:v>486</c:v>
                </c:pt>
                <c:pt idx="2">
                  <c:v>480</c:v>
                </c:pt>
              </c:numCache>
            </c:numRef>
          </c:val>
        </c:ser>
        <c:ser>
          <c:idx val="1"/>
          <c:order val="1"/>
          <c:tx>
            <c:strRef>
              <c:f>Лист1!$C$1</c:f>
              <c:strCache>
                <c:ptCount val="1"/>
                <c:pt idx="0">
                  <c:v>дял в % от всички новообразувани ДП</c:v>
                </c:pt>
              </c:strCache>
            </c:strRef>
          </c:tx>
          <c:spPr>
            <a:ln w="28628">
              <a:noFill/>
            </a:ln>
          </c:spPr>
          <c:invertIfNegative val="0"/>
          <c:dLbls>
            <c:dLbl>
              <c:idx val="0"/>
              <c:layout>
                <c:manualLayout>
                  <c:x val="3.0551009274413531E-2"/>
                  <c:y val="-2.6560424966799469E-2"/>
                </c:manualLayout>
              </c:layout>
              <c:spPr>
                <a:noFill/>
                <a:ln w="25447">
                  <a:noFill/>
                </a:ln>
              </c:spPr>
              <c:txPr>
                <a:bodyPr/>
                <a:lstStyle/>
                <a:p>
                  <a:pPr>
                    <a:defRPr/>
                  </a:pPr>
                  <a:endParaRPr lang="bg-BG"/>
                </a:p>
              </c:txPr>
              <c:showLegendKey val="0"/>
              <c:showVal val="1"/>
              <c:showCatName val="0"/>
              <c:showSerName val="0"/>
              <c:showPercent val="0"/>
              <c:showBubbleSize val="0"/>
            </c:dLbl>
            <c:dLbl>
              <c:idx val="1"/>
              <c:layout>
                <c:manualLayout>
                  <c:x val="2.1822149481723951E-2"/>
                  <c:y val="-2.1248339973439574E-2"/>
                </c:manualLayout>
              </c:layout>
              <c:spPr>
                <a:noFill/>
                <a:ln w="25447">
                  <a:noFill/>
                </a:ln>
              </c:spPr>
              <c:txPr>
                <a:bodyPr/>
                <a:lstStyle/>
                <a:p>
                  <a:pPr>
                    <a:defRPr/>
                  </a:pPr>
                  <a:endParaRPr lang="bg-BG"/>
                </a:p>
              </c:txPr>
              <c:showLegendKey val="0"/>
              <c:showVal val="1"/>
              <c:showCatName val="0"/>
              <c:showSerName val="0"/>
              <c:showPercent val="0"/>
              <c:showBubbleSize val="0"/>
            </c:dLbl>
            <c:dLbl>
              <c:idx val="2"/>
              <c:layout>
                <c:manualLayout>
                  <c:x val="2.6186579378068661E-2"/>
                  <c:y val="-2.6560424966799372E-2"/>
                </c:manualLayout>
              </c:layout>
              <c:spPr>
                <a:noFill/>
                <a:ln w="25447">
                  <a:noFill/>
                </a:ln>
              </c:spPr>
              <c:txPr>
                <a:bodyPr/>
                <a:lstStyle/>
                <a:p>
                  <a:pPr>
                    <a:defRPr/>
                  </a:pPr>
                  <a:endParaRPr lang="bg-BG"/>
                </a:p>
              </c:txPr>
              <c:showLegendKey val="0"/>
              <c:showVal val="1"/>
              <c:showCatName val="0"/>
              <c:showSerName val="0"/>
              <c:showPercent val="0"/>
              <c:showBubbleSize val="0"/>
            </c:dLbl>
            <c:spPr>
              <a:noFill/>
              <a:ln w="25447">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0.33439999999999998</c:v>
                </c:pt>
                <c:pt idx="1">
                  <c:v>0.3785</c:v>
                </c:pt>
                <c:pt idx="2">
                  <c:v>0.35499999999999998</c:v>
                </c:pt>
              </c:numCache>
            </c:numRef>
          </c:val>
        </c:ser>
        <c:dLbls>
          <c:showLegendKey val="0"/>
          <c:showVal val="0"/>
          <c:showCatName val="0"/>
          <c:showSerName val="0"/>
          <c:showPercent val="0"/>
          <c:showBubbleSize val="0"/>
        </c:dLbls>
        <c:gapWidth val="150"/>
        <c:shape val="box"/>
        <c:axId val="220485120"/>
        <c:axId val="172738816"/>
        <c:axId val="0"/>
      </c:bar3DChart>
      <c:catAx>
        <c:axId val="220485120"/>
        <c:scaling>
          <c:orientation val="minMax"/>
        </c:scaling>
        <c:delete val="0"/>
        <c:axPos val="b"/>
        <c:numFmt formatCode="General" sourceLinked="0"/>
        <c:majorTickMark val="out"/>
        <c:minorTickMark val="none"/>
        <c:tickLblPos val="nextTo"/>
        <c:crossAx val="172738816"/>
        <c:crosses val="autoZero"/>
        <c:auto val="1"/>
        <c:lblAlgn val="ctr"/>
        <c:lblOffset val="100"/>
        <c:noMultiLvlLbl val="0"/>
      </c:catAx>
      <c:valAx>
        <c:axId val="172738816"/>
        <c:scaling>
          <c:orientation val="minMax"/>
        </c:scaling>
        <c:delete val="0"/>
        <c:axPos val="l"/>
        <c:numFmt formatCode="General" sourceLinked="1"/>
        <c:majorTickMark val="out"/>
        <c:minorTickMark val="none"/>
        <c:tickLblPos val="nextTo"/>
        <c:crossAx val="220485120"/>
        <c:crosses val="autoZero"/>
        <c:crossBetween val="between"/>
      </c:valAx>
      <c:spPr>
        <a:noFill/>
        <a:ln w="25447">
          <a:noFill/>
        </a:ln>
      </c:spPr>
    </c:plotArea>
    <c:legend>
      <c:legendPos val="r"/>
      <c:legendEntry>
        <c:idx val="0"/>
        <c:txPr>
          <a:bodyPr/>
          <a:lstStyle/>
          <a:p>
            <a:pPr rtl="0">
              <a:defRPr>
                <a:solidFill>
                  <a:sysClr val="windowText" lastClr="000000"/>
                </a:solidFill>
              </a:defRPr>
            </a:pPr>
            <a:endParaRPr lang="bg-BG"/>
          </a:p>
        </c:txPr>
      </c:legendEntry>
      <c:overlay val="0"/>
      <c:txPr>
        <a:bodyPr/>
        <a:lstStyle/>
        <a:p>
          <a:pPr rtl="0">
            <a:defRPr/>
          </a:pPr>
          <a:endParaRPr lang="bg-BG"/>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новообразувани ДП за престъпления  против собтвеността</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336</c:v>
                </c:pt>
                <c:pt idx="1">
                  <c:v>365</c:v>
                </c:pt>
                <c:pt idx="2">
                  <c:v>435</c:v>
                </c:pt>
              </c:numCache>
            </c:numRef>
          </c:val>
        </c:ser>
        <c:ser>
          <c:idx val="1"/>
          <c:order val="1"/>
          <c:tx>
            <c:strRef>
              <c:f>Лист1!$C$1</c:f>
              <c:strCache>
                <c:ptCount val="1"/>
                <c:pt idx="0">
                  <c:v>дял в % от всички новообразувани ДП</c:v>
                </c:pt>
              </c:strCache>
            </c:strRef>
          </c:tx>
          <c:spPr>
            <a:ln w="28574">
              <a:noFill/>
            </a:ln>
          </c:spPr>
          <c:invertIfNegative val="0"/>
          <c:dLbls>
            <c:dLbl>
              <c:idx val="0"/>
              <c:layout>
                <c:manualLayout>
                  <c:x val="3.0803080308030802E-2"/>
                  <c:y val="-4.6783625730994045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1.7601760176017601E-2"/>
                  <c:y val="-4.0935672514619777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1.7601760176017684E-2"/>
                  <c:y val="-3.5087719298245508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0.26690000000000003</c:v>
                </c:pt>
                <c:pt idx="1">
                  <c:v>0.2843</c:v>
                </c:pt>
                <c:pt idx="2">
                  <c:v>0.32100000000000001</c:v>
                </c:pt>
              </c:numCache>
            </c:numRef>
          </c:val>
        </c:ser>
        <c:dLbls>
          <c:showLegendKey val="0"/>
          <c:showVal val="0"/>
          <c:showCatName val="0"/>
          <c:showSerName val="0"/>
          <c:showPercent val="0"/>
          <c:showBubbleSize val="0"/>
        </c:dLbls>
        <c:gapWidth val="150"/>
        <c:shape val="box"/>
        <c:axId val="200287744"/>
        <c:axId val="172740544"/>
        <c:axId val="0"/>
      </c:bar3DChart>
      <c:catAx>
        <c:axId val="200287744"/>
        <c:scaling>
          <c:orientation val="minMax"/>
        </c:scaling>
        <c:delete val="0"/>
        <c:axPos val="b"/>
        <c:numFmt formatCode="General" sourceLinked="0"/>
        <c:majorTickMark val="out"/>
        <c:minorTickMark val="none"/>
        <c:tickLblPos val="nextTo"/>
        <c:crossAx val="172740544"/>
        <c:crosses val="autoZero"/>
        <c:auto val="1"/>
        <c:lblAlgn val="ctr"/>
        <c:lblOffset val="100"/>
        <c:noMultiLvlLbl val="0"/>
      </c:catAx>
      <c:valAx>
        <c:axId val="172740544"/>
        <c:scaling>
          <c:orientation val="minMax"/>
        </c:scaling>
        <c:delete val="0"/>
        <c:axPos val="l"/>
        <c:numFmt formatCode="General" sourceLinked="1"/>
        <c:majorTickMark val="out"/>
        <c:minorTickMark val="none"/>
        <c:tickLblPos val="nextTo"/>
        <c:crossAx val="200287744"/>
        <c:crosses val="autoZero"/>
        <c:crossBetween val="between"/>
      </c:valAx>
      <c:spPr>
        <a:noFill/>
        <a:ln w="25399">
          <a:noFill/>
        </a:ln>
      </c:spPr>
    </c:plotArea>
    <c:legend>
      <c:legendPos val="r"/>
      <c:legendEntry>
        <c:idx val="0"/>
        <c:txPr>
          <a:bodyPr/>
          <a:lstStyle/>
          <a:p>
            <a:pPr rtl="0">
              <a:defRPr>
                <a:solidFill>
                  <a:sysClr val="windowText" lastClr="000000"/>
                </a:solidFill>
              </a:defRPr>
            </a:pPr>
            <a:endParaRPr lang="bg-BG"/>
          </a:p>
        </c:txPr>
      </c:legendEntry>
      <c:overlay val="0"/>
      <c:txPr>
        <a:bodyPr/>
        <a:lstStyle/>
        <a:p>
          <a:pPr rtl="0">
            <a:defRPr>
              <a:solidFill>
                <a:sysClr val="windowText" lastClr="000000"/>
              </a:solidFill>
            </a:defRPr>
          </a:pPr>
          <a:endParaRPr lang="bg-BG"/>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новообразувани ДП за престъпления против стопанството</c:v>
                </c:pt>
              </c:strCache>
            </c:strRef>
          </c:tx>
          <c:spPr>
            <a:ln w="28574">
              <a:noFill/>
            </a:ln>
          </c:spPr>
          <c:invertIfNegative val="0"/>
          <c:dLbls>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101</c:v>
                </c:pt>
                <c:pt idx="1">
                  <c:v>59</c:v>
                </c:pt>
                <c:pt idx="2">
                  <c:v>78</c:v>
                </c:pt>
              </c:numCache>
            </c:numRef>
          </c:val>
        </c:ser>
        <c:ser>
          <c:idx val="1"/>
          <c:order val="1"/>
          <c:tx>
            <c:strRef>
              <c:f>Лист1!$C$1</c:f>
              <c:strCache>
                <c:ptCount val="1"/>
                <c:pt idx="0">
                  <c:v>дял в % от всички новообразувани ДП</c:v>
                </c:pt>
              </c:strCache>
            </c:strRef>
          </c:tx>
          <c:spPr>
            <a:ln w="28574">
              <a:noFill/>
            </a:ln>
          </c:spPr>
          <c:invertIfNegative val="0"/>
          <c:dLbls>
            <c:dLbl>
              <c:idx val="0"/>
              <c:layout>
                <c:manualLayout>
                  <c:x val="1.757276221856123E-2"/>
                  <c:y val="-4.5007032348804502E-2"/>
                </c:manualLayout>
              </c:layout>
              <c:spPr>
                <a:noFill/>
                <a:ln w="25399">
                  <a:noFill/>
                </a:ln>
              </c:spPr>
              <c:txPr>
                <a:bodyPr/>
                <a:lstStyle/>
                <a:p>
                  <a:pPr>
                    <a:defRPr/>
                  </a:pPr>
                  <a:endParaRPr lang="bg-BG"/>
                </a:p>
              </c:txPr>
              <c:showLegendKey val="0"/>
              <c:showVal val="1"/>
              <c:showCatName val="0"/>
              <c:showSerName val="0"/>
              <c:showPercent val="0"/>
              <c:showBubbleSize val="0"/>
            </c:dLbl>
            <c:dLbl>
              <c:idx val="1"/>
              <c:layout>
                <c:manualLayout>
                  <c:x val="1.0982976386600769E-2"/>
                  <c:y val="-3.3755274261603373E-2"/>
                </c:manualLayout>
              </c:layout>
              <c:spPr>
                <a:noFill/>
                <a:ln w="25399">
                  <a:noFill/>
                </a:ln>
              </c:spPr>
              <c:txPr>
                <a:bodyPr/>
                <a:lstStyle/>
                <a:p>
                  <a:pPr>
                    <a:defRPr/>
                  </a:pPr>
                  <a:endParaRPr lang="bg-BG"/>
                </a:p>
              </c:txPr>
              <c:showLegendKey val="0"/>
              <c:showVal val="1"/>
              <c:showCatName val="0"/>
              <c:showSerName val="0"/>
              <c:showPercent val="0"/>
              <c:showBubbleSize val="0"/>
            </c:dLbl>
            <c:dLbl>
              <c:idx val="2"/>
              <c:layout>
                <c:manualLayout>
                  <c:x val="1.757276221856131E-2"/>
                  <c:y val="-3.3755274261603373E-2"/>
                </c:manualLayout>
              </c:layout>
              <c:spPr>
                <a:noFill/>
                <a:ln w="25399">
                  <a:noFill/>
                </a:ln>
              </c:spPr>
              <c:txPr>
                <a:bodyPr/>
                <a:lstStyle/>
                <a:p>
                  <a:pPr>
                    <a:defRPr/>
                  </a:pPr>
                  <a:endParaRPr lang="bg-BG"/>
                </a:p>
              </c:txPr>
              <c:showLegendKey val="0"/>
              <c:showVal val="1"/>
              <c:showCatName val="0"/>
              <c:showSerName val="0"/>
              <c:showPercent val="0"/>
              <c:showBubbleSize val="0"/>
            </c:dLbl>
            <c:spPr>
              <a:noFill/>
              <a:ln w="25399">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8.2000000000000003E-2</c:v>
                </c:pt>
                <c:pt idx="1">
                  <c:v>4.5999999999999999E-2</c:v>
                </c:pt>
                <c:pt idx="2">
                  <c:v>5.8000000000000003E-2</c:v>
                </c:pt>
              </c:numCache>
            </c:numRef>
          </c:val>
        </c:ser>
        <c:dLbls>
          <c:showLegendKey val="0"/>
          <c:showVal val="0"/>
          <c:showCatName val="0"/>
          <c:showSerName val="0"/>
          <c:showPercent val="0"/>
          <c:showBubbleSize val="0"/>
        </c:dLbls>
        <c:gapWidth val="150"/>
        <c:shape val="box"/>
        <c:axId val="220483584"/>
        <c:axId val="172739392"/>
        <c:axId val="0"/>
      </c:bar3DChart>
      <c:catAx>
        <c:axId val="220483584"/>
        <c:scaling>
          <c:orientation val="minMax"/>
        </c:scaling>
        <c:delete val="0"/>
        <c:axPos val="b"/>
        <c:numFmt formatCode="General" sourceLinked="0"/>
        <c:majorTickMark val="out"/>
        <c:minorTickMark val="none"/>
        <c:tickLblPos val="nextTo"/>
        <c:crossAx val="172739392"/>
        <c:crosses val="autoZero"/>
        <c:auto val="1"/>
        <c:lblAlgn val="ctr"/>
        <c:lblOffset val="100"/>
        <c:noMultiLvlLbl val="0"/>
      </c:catAx>
      <c:valAx>
        <c:axId val="172739392"/>
        <c:scaling>
          <c:orientation val="minMax"/>
        </c:scaling>
        <c:delete val="0"/>
        <c:axPos val="l"/>
        <c:numFmt formatCode="General" sourceLinked="1"/>
        <c:majorTickMark val="out"/>
        <c:minorTickMark val="none"/>
        <c:tickLblPos val="nextTo"/>
        <c:crossAx val="220483584"/>
        <c:crosses val="autoZero"/>
        <c:crossBetween val="between"/>
      </c:valAx>
      <c:spPr>
        <a:noFill/>
        <a:ln w="25399">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новообразувани ДП за престъпления против брака и семейството</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29</c:v>
                </c:pt>
                <c:pt idx="1">
                  <c:v>42</c:v>
                </c:pt>
                <c:pt idx="2">
                  <c:v>40</c:v>
                </c:pt>
              </c:numCache>
            </c:numRef>
          </c:val>
        </c:ser>
        <c:ser>
          <c:idx val="1"/>
          <c:order val="1"/>
          <c:tx>
            <c:strRef>
              <c:f>Лист1!$C$1</c:f>
              <c:strCache>
                <c:ptCount val="1"/>
                <c:pt idx="0">
                  <c:v>дял в % от всички новообразувани ДП</c:v>
                </c:pt>
              </c:strCache>
            </c:strRef>
          </c:tx>
          <c:spPr>
            <a:ln w="28575">
              <a:noFill/>
            </a:ln>
          </c:spPr>
          <c:invertIfNegative val="0"/>
          <c:dLbls>
            <c:dLbl>
              <c:idx val="0"/>
              <c:layout>
                <c:manualLayout>
                  <c:x val="2.1965952773201538E-2"/>
                  <c:y val="-2.886002886002886E-2"/>
                </c:manualLayout>
              </c:layout>
              <c:spPr>
                <a:noFill/>
                <a:ln w="25400">
                  <a:noFill/>
                </a:ln>
              </c:spPr>
              <c:txPr>
                <a:bodyPr/>
                <a:lstStyle/>
                <a:p>
                  <a:pPr>
                    <a:defRPr/>
                  </a:pPr>
                  <a:endParaRPr lang="bg-BG"/>
                </a:p>
              </c:txPr>
              <c:showLegendKey val="0"/>
              <c:showVal val="1"/>
              <c:showCatName val="0"/>
              <c:showSerName val="0"/>
              <c:showPercent val="0"/>
              <c:showBubbleSize val="0"/>
            </c:dLbl>
            <c:dLbl>
              <c:idx val="1"/>
              <c:layout>
                <c:manualLayout>
                  <c:x val="1.3179571663920923E-2"/>
                  <c:y val="-1.7316017316017316E-2"/>
                </c:manualLayout>
              </c:layout>
              <c:spPr>
                <a:noFill/>
                <a:ln w="25400">
                  <a:noFill/>
                </a:ln>
              </c:spPr>
              <c:txPr>
                <a:bodyPr/>
                <a:lstStyle/>
                <a:p>
                  <a:pPr>
                    <a:defRPr/>
                  </a:pPr>
                  <a:endParaRPr lang="bg-BG"/>
                </a:p>
              </c:txPr>
              <c:showLegendKey val="0"/>
              <c:showVal val="1"/>
              <c:showCatName val="0"/>
              <c:showSerName val="0"/>
              <c:showPercent val="0"/>
              <c:showBubbleSize val="0"/>
            </c:dLbl>
            <c:dLbl>
              <c:idx val="2"/>
              <c:layout>
                <c:manualLayout>
                  <c:x val="1.3179571663920841E-2"/>
                  <c:y val="-2.3088023088023088E-2"/>
                </c:manualLayout>
              </c:layout>
              <c:spPr>
                <a:noFill/>
                <a:ln w="25400">
                  <a:noFill/>
                </a:ln>
              </c:spPr>
              <c:txPr>
                <a:bodyPr/>
                <a:lstStyle/>
                <a:p>
                  <a:pPr>
                    <a:defRPr/>
                  </a:pPr>
                  <a:endParaRPr lang="bg-BG"/>
                </a:p>
              </c:txPr>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2.3E-2</c:v>
                </c:pt>
                <c:pt idx="1">
                  <c:v>3.27E-2</c:v>
                </c:pt>
                <c:pt idx="2">
                  <c:v>0.03</c:v>
                </c:pt>
              </c:numCache>
            </c:numRef>
          </c:val>
        </c:ser>
        <c:dLbls>
          <c:showLegendKey val="0"/>
          <c:showVal val="0"/>
          <c:showCatName val="0"/>
          <c:showSerName val="0"/>
          <c:showPercent val="0"/>
          <c:showBubbleSize val="0"/>
        </c:dLbls>
        <c:gapWidth val="150"/>
        <c:shape val="box"/>
        <c:axId val="220585984"/>
        <c:axId val="172741696"/>
        <c:axId val="0"/>
      </c:bar3DChart>
      <c:catAx>
        <c:axId val="220585984"/>
        <c:scaling>
          <c:orientation val="minMax"/>
        </c:scaling>
        <c:delete val="0"/>
        <c:axPos val="b"/>
        <c:numFmt formatCode="General" sourceLinked="0"/>
        <c:majorTickMark val="out"/>
        <c:minorTickMark val="none"/>
        <c:tickLblPos val="nextTo"/>
        <c:crossAx val="172741696"/>
        <c:crosses val="autoZero"/>
        <c:auto val="1"/>
        <c:lblAlgn val="ctr"/>
        <c:lblOffset val="100"/>
        <c:noMultiLvlLbl val="0"/>
      </c:catAx>
      <c:valAx>
        <c:axId val="172741696"/>
        <c:scaling>
          <c:orientation val="minMax"/>
        </c:scaling>
        <c:delete val="0"/>
        <c:axPos val="l"/>
        <c:numFmt formatCode="General" sourceLinked="1"/>
        <c:majorTickMark val="out"/>
        <c:minorTickMark val="none"/>
        <c:tickLblPos val="nextTo"/>
        <c:crossAx val="220585984"/>
        <c:crosses val="autoZero"/>
        <c:crossBetween val="between"/>
      </c:valAx>
      <c:spPr>
        <a:noFill/>
        <a:ln w="25400">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8.0797370916870684E-2"/>
          <c:y val="4.4723140725234117E-2"/>
          <c:w val="0.64434663314144558"/>
          <c:h val="0.84227926192005476"/>
        </c:manualLayout>
      </c:layout>
      <c:bar3DChart>
        <c:barDir val="col"/>
        <c:grouping val="clustered"/>
        <c:varyColors val="0"/>
        <c:ser>
          <c:idx val="0"/>
          <c:order val="0"/>
          <c:tx>
            <c:strRef>
              <c:f>Лист1!$B$1</c:f>
              <c:strCache>
                <c:ptCount val="1"/>
                <c:pt idx="0">
                  <c:v>новообразувани ДП за престъпления против финансовата, данъчната и осигурителната систама</c:v>
                </c:pt>
              </c:strCache>
            </c:strRef>
          </c:tx>
          <c:spPr>
            <a:ln w="28575">
              <a:noFill/>
            </a:ln>
          </c:spPr>
          <c:invertIfNegative val="0"/>
          <c:dLbls>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Лист1!$B$2:$B$4</c:f>
              <c:numCache>
                <c:formatCode>General</c:formatCode>
                <c:ptCount val="3"/>
                <c:pt idx="0">
                  <c:v>14</c:v>
                </c:pt>
                <c:pt idx="1">
                  <c:v>14</c:v>
                </c:pt>
                <c:pt idx="2">
                  <c:v>28</c:v>
                </c:pt>
              </c:numCache>
            </c:numRef>
          </c:val>
        </c:ser>
        <c:ser>
          <c:idx val="1"/>
          <c:order val="1"/>
          <c:tx>
            <c:strRef>
              <c:f>Лист1!$C$1</c:f>
              <c:strCache>
                <c:ptCount val="1"/>
                <c:pt idx="0">
                  <c:v>дял в % от всички новообразувани ДП</c:v>
                </c:pt>
              </c:strCache>
            </c:strRef>
          </c:tx>
          <c:spPr>
            <a:ln w="28575">
              <a:noFill/>
            </a:ln>
          </c:spPr>
          <c:invertIfNegative val="0"/>
          <c:dLbls>
            <c:dLbl>
              <c:idx val="0"/>
              <c:layout>
                <c:manualLayout>
                  <c:x val="2.2038567493112948E-2"/>
                  <c:y val="-3.1872509960159362E-2"/>
                </c:manualLayout>
              </c:layout>
              <c:spPr>
                <a:noFill/>
                <a:ln w="25400">
                  <a:noFill/>
                </a:ln>
              </c:spPr>
              <c:txPr>
                <a:bodyPr/>
                <a:lstStyle/>
                <a:p>
                  <a:pPr>
                    <a:defRPr/>
                  </a:pPr>
                  <a:endParaRPr lang="bg-BG"/>
                </a:p>
              </c:txPr>
              <c:showLegendKey val="0"/>
              <c:showVal val="1"/>
              <c:showCatName val="0"/>
              <c:showSerName val="0"/>
              <c:showPercent val="0"/>
              <c:showBubbleSize val="0"/>
            </c:dLbl>
            <c:dLbl>
              <c:idx val="1"/>
              <c:layout>
                <c:manualLayout>
                  <c:x val="1.3223140495867768E-2"/>
                  <c:y val="-3.1872509960159265E-2"/>
                </c:manualLayout>
              </c:layout>
              <c:spPr>
                <a:noFill/>
                <a:ln w="25400">
                  <a:noFill/>
                </a:ln>
              </c:spPr>
              <c:txPr>
                <a:bodyPr/>
                <a:lstStyle/>
                <a:p>
                  <a:pPr>
                    <a:defRPr/>
                  </a:pPr>
                  <a:endParaRPr lang="bg-BG"/>
                </a:p>
              </c:txPr>
              <c:showLegendKey val="0"/>
              <c:showVal val="1"/>
              <c:showCatName val="0"/>
              <c:showSerName val="0"/>
              <c:showPercent val="0"/>
              <c:showBubbleSize val="0"/>
            </c:dLbl>
            <c:dLbl>
              <c:idx val="2"/>
              <c:layout>
                <c:manualLayout>
                  <c:x val="1.3223140495867768E-2"/>
                  <c:y val="-3.1872509960159362E-2"/>
                </c:manualLayout>
              </c:layout>
              <c:tx>
                <c:rich>
                  <a:bodyPr/>
                  <a:lstStyle/>
                  <a:p>
                    <a:pPr>
                      <a:defRPr/>
                    </a:pPr>
                    <a:r>
                      <a:rPr lang="en-US"/>
                      <a:t>1,80%</a:t>
                    </a:r>
                  </a:p>
                </c:rich>
              </c:tx>
              <c:spPr>
                <a:noFill/>
                <a:ln w="25400">
                  <a:noFill/>
                </a:ln>
              </c:spPr>
              <c:showLegendKey val="0"/>
              <c:showVal val="0"/>
              <c:showCatName val="0"/>
              <c:showSerName val="0"/>
              <c:showPercent val="0"/>
              <c:showBubbleSize val="0"/>
            </c:dLbl>
            <c:spPr>
              <a:noFill/>
              <a:ln w="25400">
                <a:noFill/>
              </a:ln>
            </c:spPr>
            <c:showLegendKey val="0"/>
            <c:showVal val="1"/>
            <c:showCatName val="0"/>
            <c:showSerName val="0"/>
            <c:showPercent val="0"/>
            <c:showBubbleSize val="0"/>
            <c:showLeaderLines val="0"/>
          </c:dLbls>
          <c:cat>
            <c:strRef>
              <c:f>Лист1!$A$2:$A$4</c:f>
              <c:strCache>
                <c:ptCount val="3"/>
                <c:pt idx="0">
                  <c:v>2019г.</c:v>
                </c:pt>
                <c:pt idx="1">
                  <c:v>2018г.</c:v>
                </c:pt>
                <c:pt idx="2">
                  <c:v>2017г.</c:v>
                </c:pt>
              </c:strCache>
            </c:strRef>
          </c:cat>
          <c:val>
            <c:numRef>
              <c:f>Лист1!$C$2:$C$4</c:f>
              <c:numCache>
                <c:formatCode>0.00%</c:formatCode>
                <c:ptCount val="3"/>
                <c:pt idx="0">
                  <c:v>1.0999999999999999E-2</c:v>
                </c:pt>
                <c:pt idx="1">
                  <c:v>1.09E-2</c:v>
                </c:pt>
                <c:pt idx="2">
                  <c:v>2.1000000000000001E-2</c:v>
                </c:pt>
              </c:numCache>
            </c:numRef>
          </c:val>
        </c:ser>
        <c:dLbls>
          <c:showLegendKey val="0"/>
          <c:showVal val="0"/>
          <c:showCatName val="0"/>
          <c:showSerName val="0"/>
          <c:showPercent val="0"/>
          <c:showBubbleSize val="0"/>
        </c:dLbls>
        <c:gapWidth val="150"/>
        <c:shape val="box"/>
        <c:axId val="220587008"/>
        <c:axId val="221021312"/>
        <c:axId val="0"/>
      </c:bar3DChart>
      <c:catAx>
        <c:axId val="220587008"/>
        <c:scaling>
          <c:orientation val="minMax"/>
        </c:scaling>
        <c:delete val="0"/>
        <c:axPos val="b"/>
        <c:numFmt formatCode="General" sourceLinked="0"/>
        <c:majorTickMark val="out"/>
        <c:minorTickMark val="none"/>
        <c:tickLblPos val="nextTo"/>
        <c:crossAx val="221021312"/>
        <c:crosses val="autoZero"/>
        <c:auto val="1"/>
        <c:lblAlgn val="ctr"/>
        <c:lblOffset val="100"/>
        <c:noMultiLvlLbl val="0"/>
      </c:catAx>
      <c:valAx>
        <c:axId val="221021312"/>
        <c:scaling>
          <c:orientation val="minMax"/>
        </c:scaling>
        <c:delete val="0"/>
        <c:axPos val="l"/>
        <c:numFmt formatCode="General" sourceLinked="1"/>
        <c:majorTickMark val="out"/>
        <c:minorTickMark val="none"/>
        <c:tickLblPos val="nextTo"/>
        <c:crossAx val="220587008"/>
        <c:crosses val="autoZero"/>
        <c:crossBetween val="between"/>
      </c:valAx>
      <c:spPr>
        <a:noFill/>
        <a:ln w="25400">
          <a:noFill/>
        </a:ln>
      </c:spPr>
    </c:plotArea>
    <c:legend>
      <c:legendPos val="r"/>
      <c:overlay val="0"/>
      <c:txPr>
        <a:bodyPr/>
        <a:lstStyle/>
        <a:p>
          <a:pPr rtl="0">
            <a:defRPr/>
          </a:pPr>
          <a:endParaRPr lang="bg-BG"/>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7BA0-1019-4F7C-B201-6AB1C304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14561</Words>
  <Characters>83002</Characters>
  <Application>Microsoft Office Word</Application>
  <DocSecurity>0</DocSecurity>
  <Lines>691</Lines>
  <Paragraphs>194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Павлина Радева</cp:lastModifiedBy>
  <cp:revision>5</cp:revision>
  <cp:lastPrinted>2018-02-12T11:33:00Z</cp:lastPrinted>
  <dcterms:created xsi:type="dcterms:W3CDTF">2021-05-31T15:29:00Z</dcterms:created>
  <dcterms:modified xsi:type="dcterms:W3CDTF">2021-06-02T10:29:00Z</dcterms:modified>
</cp:coreProperties>
</file>