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4C81" w14:textId="77777777" w:rsidR="00897C29" w:rsidRPr="0049713A" w:rsidRDefault="00897C29" w:rsidP="00897C29">
      <w:pPr>
        <w:ind w:firstLine="709"/>
        <w:jc w:val="center"/>
        <w:rPr>
          <w:rFonts w:ascii="Times New Roman" w:eastAsia="Calibri" w:hAnsi="Times New Roman" w:cs="Times New Roman"/>
          <w:b/>
          <w:sz w:val="36"/>
          <w:szCs w:val="36"/>
        </w:rPr>
      </w:pPr>
    </w:p>
    <w:p w14:paraId="36EBEFDE" w14:textId="50F4775A" w:rsidR="00897C29" w:rsidRPr="0049713A" w:rsidRDefault="00897C29" w:rsidP="00897C29">
      <w:pPr>
        <w:ind w:firstLine="709"/>
        <w:jc w:val="center"/>
        <w:rPr>
          <w:rFonts w:ascii="Times New Roman" w:eastAsia="Calibri" w:hAnsi="Times New Roman" w:cs="Times New Roman"/>
          <w:b/>
          <w:sz w:val="36"/>
          <w:szCs w:val="36"/>
        </w:rPr>
      </w:pPr>
    </w:p>
    <w:p w14:paraId="145DECFF" w14:textId="4D93A311" w:rsidR="00897C29" w:rsidRPr="0049713A" w:rsidRDefault="00A80C0D" w:rsidP="00897C29">
      <w:pPr>
        <w:ind w:firstLine="709"/>
        <w:jc w:val="center"/>
        <w:rPr>
          <w:rFonts w:ascii="Times New Roman" w:eastAsia="Calibri" w:hAnsi="Times New Roman" w:cs="Times New Roman"/>
          <w:b/>
          <w:sz w:val="36"/>
          <w:szCs w:val="36"/>
        </w:rPr>
      </w:pPr>
      <w:r w:rsidRPr="0049713A">
        <w:rPr>
          <w:rFonts w:ascii="Calibri" w:eastAsia="Calibri" w:hAnsi="Calibri" w:cs="Times New Roman"/>
          <w:b/>
          <w:bCs/>
          <w:caps/>
          <w:noProof/>
          <w:color w:val="000000"/>
          <w:kern w:val="32"/>
          <w:sz w:val="36"/>
          <w:szCs w:val="36"/>
          <w:lang w:eastAsia="bg-BG"/>
        </w:rPr>
        <w:drawing>
          <wp:anchor distT="0" distB="0" distL="114300" distR="114300" simplePos="0" relativeHeight="251659264" behindDoc="1" locked="0" layoutInCell="1" allowOverlap="1" wp14:anchorId="1EED9148" wp14:editId="33E3A82E">
            <wp:simplePos x="0" y="0"/>
            <wp:positionH relativeFrom="column">
              <wp:posOffset>-61595</wp:posOffset>
            </wp:positionH>
            <wp:positionV relativeFrom="paragraph">
              <wp:posOffset>72390</wp:posOffset>
            </wp:positionV>
            <wp:extent cx="6000750" cy="8048625"/>
            <wp:effectExtent l="0" t="0" r="0" b="9525"/>
            <wp:wrapNone/>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8048625"/>
                    </a:xfrm>
                    <a:prstGeom prst="rect">
                      <a:avLst/>
                    </a:prstGeom>
                    <a:noFill/>
                  </pic:spPr>
                </pic:pic>
              </a:graphicData>
            </a:graphic>
            <wp14:sizeRelH relativeFrom="page">
              <wp14:pctWidth>0</wp14:pctWidth>
            </wp14:sizeRelH>
            <wp14:sizeRelV relativeFrom="page">
              <wp14:pctHeight>0</wp14:pctHeight>
            </wp14:sizeRelV>
          </wp:anchor>
        </w:drawing>
      </w:r>
    </w:p>
    <w:p w14:paraId="7259A1D7" w14:textId="77777777" w:rsidR="00897C29" w:rsidRPr="00501952" w:rsidRDefault="00897C29" w:rsidP="00897C29">
      <w:pPr>
        <w:ind w:firstLine="709"/>
        <w:jc w:val="center"/>
        <w:rPr>
          <w:rFonts w:ascii="Times New Roman" w:eastAsia="Calibri" w:hAnsi="Times New Roman" w:cs="Times New Roman"/>
          <w:b/>
          <w:sz w:val="36"/>
          <w:szCs w:val="36"/>
        </w:rPr>
      </w:pPr>
    </w:p>
    <w:p w14:paraId="73A29F93" w14:textId="77777777" w:rsidR="00897C29" w:rsidRPr="0049713A" w:rsidRDefault="00897C29" w:rsidP="00897C29">
      <w:pPr>
        <w:ind w:firstLine="709"/>
        <w:jc w:val="center"/>
        <w:rPr>
          <w:rFonts w:ascii="Times New Roman" w:eastAsia="Calibri" w:hAnsi="Times New Roman" w:cs="Times New Roman"/>
          <w:b/>
          <w:sz w:val="36"/>
          <w:szCs w:val="36"/>
        </w:rPr>
      </w:pPr>
    </w:p>
    <w:p w14:paraId="40D0CEF3" w14:textId="77777777" w:rsidR="00897C29" w:rsidRPr="0049713A" w:rsidRDefault="00897C29" w:rsidP="00897C29">
      <w:pPr>
        <w:ind w:firstLine="709"/>
        <w:jc w:val="center"/>
        <w:rPr>
          <w:rFonts w:ascii="Times New Roman" w:eastAsia="Calibri" w:hAnsi="Times New Roman" w:cs="Times New Roman"/>
          <w:b/>
          <w:sz w:val="36"/>
          <w:szCs w:val="36"/>
        </w:rPr>
      </w:pPr>
    </w:p>
    <w:p w14:paraId="25A0268E" w14:textId="77777777" w:rsidR="00897C29" w:rsidRPr="0049713A" w:rsidRDefault="00897C29" w:rsidP="00897C29">
      <w:pPr>
        <w:ind w:firstLine="709"/>
        <w:jc w:val="center"/>
        <w:rPr>
          <w:rFonts w:ascii="Times New Roman" w:eastAsia="Calibri" w:hAnsi="Times New Roman" w:cs="Times New Roman"/>
          <w:b/>
          <w:sz w:val="36"/>
          <w:szCs w:val="36"/>
        </w:rPr>
      </w:pPr>
    </w:p>
    <w:p w14:paraId="0BF3ED1B" w14:textId="77777777" w:rsidR="00897C29" w:rsidRPr="0049713A" w:rsidRDefault="00897C29" w:rsidP="00897C29">
      <w:pPr>
        <w:ind w:firstLine="709"/>
        <w:jc w:val="center"/>
        <w:rPr>
          <w:rFonts w:ascii="Times New Roman" w:eastAsia="Calibri" w:hAnsi="Times New Roman" w:cs="Times New Roman"/>
          <w:b/>
          <w:sz w:val="36"/>
          <w:szCs w:val="36"/>
        </w:rPr>
      </w:pPr>
    </w:p>
    <w:p w14:paraId="27DBDE48" w14:textId="77777777" w:rsidR="00897C29" w:rsidRPr="0049713A" w:rsidRDefault="00897C29" w:rsidP="00897C29">
      <w:pPr>
        <w:ind w:firstLine="709"/>
        <w:jc w:val="center"/>
        <w:rPr>
          <w:rFonts w:ascii="Times New Roman" w:eastAsia="Calibri" w:hAnsi="Times New Roman" w:cs="Times New Roman"/>
          <w:b/>
          <w:sz w:val="36"/>
          <w:szCs w:val="36"/>
        </w:rPr>
      </w:pPr>
    </w:p>
    <w:p w14:paraId="38EB2FD9" w14:textId="77777777" w:rsidR="00897C29" w:rsidRPr="0049713A" w:rsidRDefault="00897C29" w:rsidP="00897C29">
      <w:pPr>
        <w:ind w:firstLine="709"/>
        <w:jc w:val="center"/>
        <w:rPr>
          <w:rFonts w:ascii="Times New Roman" w:eastAsia="Calibri" w:hAnsi="Times New Roman" w:cs="Times New Roman"/>
          <w:b/>
          <w:sz w:val="36"/>
          <w:szCs w:val="36"/>
        </w:rPr>
      </w:pPr>
      <w:r w:rsidRPr="0049713A">
        <w:rPr>
          <w:rFonts w:ascii="Times New Roman" w:eastAsia="Calibri" w:hAnsi="Times New Roman" w:cs="Times New Roman"/>
          <w:b/>
          <w:sz w:val="36"/>
          <w:szCs w:val="36"/>
        </w:rPr>
        <w:t xml:space="preserve">ДОКЛАД </w:t>
      </w:r>
    </w:p>
    <w:p w14:paraId="31975A72" w14:textId="77777777" w:rsidR="00897C29" w:rsidRPr="0049713A" w:rsidRDefault="00897C29" w:rsidP="00897C29">
      <w:pPr>
        <w:ind w:firstLine="709"/>
        <w:jc w:val="center"/>
        <w:rPr>
          <w:rFonts w:ascii="Times New Roman" w:eastAsia="Calibri" w:hAnsi="Times New Roman" w:cs="Times New Roman"/>
          <w:b/>
          <w:sz w:val="36"/>
          <w:szCs w:val="36"/>
        </w:rPr>
      </w:pPr>
      <w:r w:rsidRPr="0049713A">
        <w:rPr>
          <w:rFonts w:ascii="Times New Roman" w:eastAsia="Calibri" w:hAnsi="Times New Roman" w:cs="Times New Roman"/>
          <w:b/>
          <w:sz w:val="36"/>
          <w:szCs w:val="36"/>
        </w:rPr>
        <w:t xml:space="preserve">ЗА ДЕЙНОСТТА НА </w:t>
      </w:r>
    </w:p>
    <w:p w14:paraId="16758D40" w14:textId="77777777" w:rsidR="00897C29" w:rsidRPr="0049713A" w:rsidRDefault="00897C29" w:rsidP="00897C29">
      <w:pPr>
        <w:ind w:firstLine="709"/>
        <w:jc w:val="center"/>
        <w:rPr>
          <w:rFonts w:ascii="Times New Roman" w:eastAsia="Calibri" w:hAnsi="Times New Roman" w:cs="Times New Roman"/>
          <w:b/>
          <w:sz w:val="36"/>
          <w:szCs w:val="36"/>
        </w:rPr>
      </w:pPr>
      <w:r w:rsidRPr="0049713A">
        <w:rPr>
          <w:rFonts w:ascii="Times New Roman" w:eastAsia="Calibri" w:hAnsi="Times New Roman" w:cs="Times New Roman"/>
          <w:b/>
          <w:sz w:val="36"/>
          <w:szCs w:val="36"/>
        </w:rPr>
        <w:t>ОКРЪЖНА ПРОКУРАТУРА – МОНТАНА И</w:t>
      </w:r>
    </w:p>
    <w:p w14:paraId="36B88ED1" w14:textId="77777777" w:rsidR="00897C29" w:rsidRPr="0049713A" w:rsidRDefault="00897C29" w:rsidP="00897C29">
      <w:pPr>
        <w:ind w:firstLine="709"/>
        <w:jc w:val="center"/>
        <w:rPr>
          <w:rFonts w:ascii="Times New Roman" w:eastAsia="Calibri" w:hAnsi="Times New Roman" w:cs="Times New Roman"/>
          <w:b/>
          <w:sz w:val="36"/>
          <w:szCs w:val="36"/>
        </w:rPr>
      </w:pPr>
      <w:r w:rsidRPr="0049713A">
        <w:rPr>
          <w:rFonts w:ascii="Times New Roman" w:eastAsia="Calibri" w:hAnsi="Times New Roman" w:cs="Times New Roman"/>
          <w:b/>
          <w:sz w:val="36"/>
          <w:szCs w:val="36"/>
        </w:rPr>
        <w:t xml:space="preserve">ТЕРИТОРИАЛНИТЕ ПРОКУРАТУРИ </w:t>
      </w:r>
    </w:p>
    <w:p w14:paraId="614BB51A" w14:textId="60B51625" w:rsidR="00897C29" w:rsidRPr="0049713A" w:rsidRDefault="006E2B0E" w:rsidP="00897C29">
      <w:pPr>
        <w:ind w:firstLine="709"/>
        <w:jc w:val="center"/>
        <w:rPr>
          <w:rFonts w:ascii="Times New Roman" w:eastAsia="Calibri" w:hAnsi="Times New Roman" w:cs="Times New Roman"/>
          <w:b/>
          <w:sz w:val="36"/>
          <w:szCs w:val="36"/>
        </w:rPr>
      </w:pPr>
      <w:r>
        <w:rPr>
          <w:rFonts w:ascii="Times New Roman" w:eastAsia="Calibri" w:hAnsi="Times New Roman" w:cs="Times New Roman"/>
          <w:b/>
          <w:sz w:val="36"/>
          <w:szCs w:val="36"/>
        </w:rPr>
        <w:t>ПРЕЗ 20</w:t>
      </w:r>
      <w:r w:rsidR="00D355CF">
        <w:rPr>
          <w:rFonts w:ascii="Times New Roman" w:eastAsia="Calibri" w:hAnsi="Times New Roman" w:cs="Times New Roman"/>
          <w:b/>
          <w:sz w:val="36"/>
          <w:szCs w:val="36"/>
        </w:rPr>
        <w:t>2</w:t>
      </w:r>
      <w:r w:rsidR="00E903FC">
        <w:rPr>
          <w:rFonts w:ascii="Times New Roman" w:eastAsia="Calibri" w:hAnsi="Times New Roman" w:cs="Times New Roman"/>
          <w:b/>
          <w:sz w:val="36"/>
          <w:szCs w:val="36"/>
        </w:rPr>
        <w:t>2</w:t>
      </w:r>
      <w:r w:rsidR="00897C29" w:rsidRPr="0049713A">
        <w:rPr>
          <w:rFonts w:ascii="Times New Roman" w:eastAsia="Calibri" w:hAnsi="Times New Roman" w:cs="Times New Roman"/>
          <w:b/>
          <w:sz w:val="36"/>
          <w:szCs w:val="36"/>
        </w:rPr>
        <w:t xml:space="preserve"> г.</w:t>
      </w:r>
    </w:p>
    <w:p w14:paraId="306F83BB"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p w14:paraId="411D7C3E"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p w14:paraId="2334322A"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p w14:paraId="24752E5B"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p w14:paraId="3E801C45"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p w14:paraId="53C95A48"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p w14:paraId="6E99667A"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p w14:paraId="0DFD4CDC"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p w14:paraId="497A552F"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p w14:paraId="7522CDED"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p w14:paraId="534305D7"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p w14:paraId="4D43F5FA"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p w14:paraId="43404EBD"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sdt>
      <w:sdtPr>
        <w:rPr>
          <w:rFonts w:asciiTheme="minorHAnsi" w:eastAsiaTheme="minorHAnsi" w:hAnsiTheme="minorHAnsi" w:cstheme="minorBidi"/>
          <w:b w:val="0"/>
          <w:bCs w:val="0"/>
          <w:color w:val="auto"/>
          <w:sz w:val="22"/>
          <w:szCs w:val="22"/>
          <w:lang w:eastAsia="en-US"/>
        </w:rPr>
        <w:id w:val="1167982829"/>
        <w:docPartObj>
          <w:docPartGallery w:val="Table of Contents"/>
          <w:docPartUnique/>
        </w:docPartObj>
      </w:sdtPr>
      <w:sdtContent>
        <w:p w14:paraId="1519771D" w14:textId="77777777" w:rsidR="00E7381E" w:rsidRPr="00FB5817" w:rsidRDefault="00E7381E">
          <w:pPr>
            <w:pStyle w:val="afd"/>
            <w:rPr>
              <w:rFonts w:ascii="Times New Roman" w:hAnsi="Times New Roman" w:cs="Times New Roman"/>
              <w:color w:val="auto"/>
              <w:sz w:val="32"/>
              <w:szCs w:val="32"/>
            </w:rPr>
          </w:pPr>
          <w:r w:rsidRPr="00FB5817">
            <w:rPr>
              <w:rFonts w:ascii="Times New Roman" w:hAnsi="Times New Roman" w:cs="Times New Roman"/>
              <w:color w:val="auto"/>
              <w:sz w:val="32"/>
              <w:szCs w:val="32"/>
            </w:rPr>
            <w:t>Съдържание</w:t>
          </w:r>
        </w:p>
        <w:p w14:paraId="10492131" w14:textId="76583375" w:rsidR="00E3018B" w:rsidRDefault="00E7381E">
          <w:pPr>
            <w:pStyle w:val="22"/>
            <w:tabs>
              <w:tab w:val="right" w:leader="dot" w:pos="9487"/>
            </w:tabs>
            <w:rPr>
              <w:noProof/>
            </w:rPr>
          </w:pPr>
          <w:r>
            <w:fldChar w:fldCharType="begin"/>
          </w:r>
          <w:r>
            <w:instrText xml:space="preserve"> TOC \o "1-3" \h \z \u </w:instrText>
          </w:r>
          <w:r>
            <w:fldChar w:fldCharType="separate"/>
          </w:r>
          <w:hyperlink w:anchor="_Toc127370233" w:history="1">
            <w:r w:rsidR="00E3018B" w:rsidRPr="00097654">
              <w:rPr>
                <w:rStyle w:val="afb"/>
                <w:rFonts w:ascii="Times New Roman" w:eastAsia="Calibri" w:hAnsi="Times New Roman" w:cs="Arial"/>
                <w:b/>
                <w:iCs/>
                <w:noProof/>
              </w:rPr>
              <w:t>РАЗДЕЛ I</w:t>
            </w:r>
            <w:r w:rsidR="00594361">
              <w:rPr>
                <w:rStyle w:val="afb"/>
                <w:rFonts w:ascii="Times New Roman" w:eastAsia="Calibri" w:hAnsi="Times New Roman" w:cs="Arial"/>
                <w:b/>
                <w:iCs/>
                <w:noProof/>
              </w:rPr>
              <w:t xml:space="preserve"> </w:t>
            </w:r>
            <w:r w:rsidR="00E3018B">
              <w:rPr>
                <w:noProof/>
                <w:webHidden/>
              </w:rPr>
              <w:tab/>
            </w:r>
            <w:r w:rsidR="00E3018B">
              <w:rPr>
                <w:noProof/>
                <w:webHidden/>
              </w:rPr>
              <w:fldChar w:fldCharType="begin"/>
            </w:r>
            <w:r w:rsidR="00E3018B">
              <w:rPr>
                <w:noProof/>
                <w:webHidden/>
              </w:rPr>
              <w:instrText xml:space="preserve"> PAGEREF _Toc127370233 \h </w:instrText>
            </w:r>
            <w:r w:rsidR="00E3018B">
              <w:rPr>
                <w:noProof/>
                <w:webHidden/>
              </w:rPr>
            </w:r>
            <w:r w:rsidR="00E3018B">
              <w:rPr>
                <w:noProof/>
                <w:webHidden/>
              </w:rPr>
              <w:fldChar w:fldCharType="separate"/>
            </w:r>
            <w:r w:rsidR="00594361">
              <w:rPr>
                <w:noProof/>
                <w:webHidden/>
              </w:rPr>
              <w:t>5</w:t>
            </w:r>
            <w:r w:rsidR="00E3018B">
              <w:rPr>
                <w:noProof/>
                <w:webHidden/>
              </w:rPr>
              <w:fldChar w:fldCharType="end"/>
            </w:r>
          </w:hyperlink>
        </w:p>
        <w:p w14:paraId="608B1C81" w14:textId="77777777" w:rsidR="00E3018B" w:rsidRDefault="00E3018B">
          <w:pPr>
            <w:pStyle w:val="22"/>
            <w:tabs>
              <w:tab w:val="right" w:leader="dot" w:pos="9487"/>
            </w:tabs>
            <w:rPr>
              <w:noProof/>
            </w:rPr>
          </w:pPr>
          <w:hyperlink w:anchor="_Toc127370234" w:history="1">
            <w:r w:rsidRPr="00097654">
              <w:rPr>
                <w:rStyle w:val="afb"/>
                <w:rFonts w:ascii="Times New Roman" w:eastAsia="Calibri" w:hAnsi="Times New Roman" w:cs="Arial"/>
                <w:b/>
                <w:iCs/>
                <w:noProof/>
              </w:rPr>
              <w:t>ОБОБЩЕНИ ИЗВО</w:t>
            </w:r>
            <w:bookmarkStart w:id="0" w:name="_GoBack"/>
            <w:bookmarkEnd w:id="0"/>
            <w:r w:rsidRPr="00097654">
              <w:rPr>
                <w:rStyle w:val="afb"/>
                <w:rFonts w:ascii="Times New Roman" w:eastAsia="Calibri" w:hAnsi="Times New Roman" w:cs="Arial"/>
                <w:b/>
                <w:iCs/>
                <w:noProof/>
              </w:rPr>
              <w:t>ДИ ЗА ДЕЙНОСТТА НА ПРОКУРАТУРАТА И НА РАЗСЛЕДВАЩИТЕ ОРГАНИ</w:t>
            </w:r>
            <w:r>
              <w:rPr>
                <w:noProof/>
                <w:webHidden/>
              </w:rPr>
              <w:tab/>
            </w:r>
            <w:r>
              <w:rPr>
                <w:noProof/>
                <w:webHidden/>
              </w:rPr>
              <w:fldChar w:fldCharType="begin"/>
            </w:r>
            <w:r>
              <w:rPr>
                <w:noProof/>
                <w:webHidden/>
              </w:rPr>
              <w:instrText xml:space="preserve"> PAGEREF _Toc127370234 \h </w:instrText>
            </w:r>
            <w:r>
              <w:rPr>
                <w:noProof/>
                <w:webHidden/>
              </w:rPr>
            </w:r>
            <w:r>
              <w:rPr>
                <w:noProof/>
                <w:webHidden/>
              </w:rPr>
              <w:fldChar w:fldCharType="separate"/>
            </w:r>
            <w:r w:rsidR="00594361">
              <w:rPr>
                <w:noProof/>
                <w:webHidden/>
              </w:rPr>
              <w:t>5</w:t>
            </w:r>
            <w:r>
              <w:rPr>
                <w:noProof/>
                <w:webHidden/>
              </w:rPr>
              <w:fldChar w:fldCharType="end"/>
            </w:r>
          </w:hyperlink>
        </w:p>
        <w:p w14:paraId="53D17A8C" w14:textId="77777777" w:rsidR="00E3018B" w:rsidRDefault="00E3018B">
          <w:pPr>
            <w:pStyle w:val="22"/>
            <w:tabs>
              <w:tab w:val="right" w:leader="dot" w:pos="9487"/>
            </w:tabs>
            <w:rPr>
              <w:noProof/>
            </w:rPr>
          </w:pPr>
          <w:hyperlink w:anchor="_Toc127370235" w:history="1">
            <w:r w:rsidRPr="00097654">
              <w:rPr>
                <w:rStyle w:val="afb"/>
                <w:rFonts w:ascii="Times New Roman" w:eastAsia="Calibri" w:hAnsi="Times New Roman" w:cs="Arial"/>
                <w:b/>
                <w:iCs/>
                <w:noProof/>
              </w:rPr>
              <w:t>1. Резултати и тенденции в противодействието на престъпността.</w:t>
            </w:r>
            <w:r>
              <w:rPr>
                <w:noProof/>
                <w:webHidden/>
              </w:rPr>
              <w:tab/>
            </w:r>
            <w:r>
              <w:rPr>
                <w:noProof/>
                <w:webHidden/>
              </w:rPr>
              <w:fldChar w:fldCharType="begin"/>
            </w:r>
            <w:r>
              <w:rPr>
                <w:noProof/>
                <w:webHidden/>
              </w:rPr>
              <w:instrText xml:space="preserve"> PAGEREF _Toc127370235 \h </w:instrText>
            </w:r>
            <w:r>
              <w:rPr>
                <w:noProof/>
                <w:webHidden/>
              </w:rPr>
            </w:r>
            <w:r>
              <w:rPr>
                <w:noProof/>
                <w:webHidden/>
              </w:rPr>
              <w:fldChar w:fldCharType="separate"/>
            </w:r>
            <w:r w:rsidR="00594361">
              <w:rPr>
                <w:noProof/>
                <w:webHidden/>
              </w:rPr>
              <w:t>6</w:t>
            </w:r>
            <w:r>
              <w:rPr>
                <w:noProof/>
                <w:webHidden/>
              </w:rPr>
              <w:fldChar w:fldCharType="end"/>
            </w:r>
          </w:hyperlink>
        </w:p>
        <w:p w14:paraId="2657261A" w14:textId="77777777" w:rsidR="00E3018B" w:rsidRDefault="00E3018B">
          <w:pPr>
            <w:pStyle w:val="22"/>
            <w:tabs>
              <w:tab w:val="right" w:leader="dot" w:pos="9487"/>
            </w:tabs>
            <w:rPr>
              <w:noProof/>
            </w:rPr>
          </w:pPr>
          <w:hyperlink w:anchor="_Toc127370236" w:history="1">
            <w:r w:rsidRPr="00097654">
              <w:rPr>
                <w:rStyle w:val="afb"/>
                <w:rFonts w:ascii="Times New Roman" w:eastAsia="Calibri" w:hAnsi="Times New Roman" w:cs="Arial"/>
                <w:b/>
                <w:iCs/>
                <w:noProof/>
              </w:rPr>
              <w:t>2. Фактори с актуално и дългосрочно значение за ефективността на органите на досъдебното производство и другите правоприлагащи органи, ангажирани с противодействието на престъпността.</w:t>
            </w:r>
            <w:r>
              <w:rPr>
                <w:noProof/>
                <w:webHidden/>
              </w:rPr>
              <w:tab/>
            </w:r>
            <w:r>
              <w:rPr>
                <w:noProof/>
                <w:webHidden/>
              </w:rPr>
              <w:fldChar w:fldCharType="begin"/>
            </w:r>
            <w:r>
              <w:rPr>
                <w:noProof/>
                <w:webHidden/>
              </w:rPr>
              <w:instrText xml:space="preserve"> PAGEREF _Toc127370236 \h </w:instrText>
            </w:r>
            <w:r>
              <w:rPr>
                <w:noProof/>
                <w:webHidden/>
              </w:rPr>
            </w:r>
            <w:r>
              <w:rPr>
                <w:noProof/>
                <w:webHidden/>
              </w:rPr>
              <w:fldChar w:fldCharType="separate"/>
            </w:r>
            <w:r w:rsidR="00594361">
              <w:rPr>
                <w:noProof/>
                <w:webHidden/>
              </w:rPr>
              <w:t>18</w:t>
            </w:r>
            <w:r>
              <w:rPr>
                <w:noProof/>
                <w:webHidden/>
              </w:rPr>
              <w:fldChar w:fldCharType="end"/>
            </w:r>
          </w:hyperlink>
        </w:p>
        <w:p w14:paraId="785D73BB" w14:textId="77777777" w:rsidR="00E3018B" w:rsidRDefault="00E3018B">
          <w:pPr>
            <w:pStyle w:val="22"/>
            <w:tabs>
              <w:tab w:val="right" w:leader="dot" w:pos="9487"/>
            </w:tabs>
            <w:rPr>
              <w:noProof/>
            </w:rPr>
          </w:pPr>
          <w:hyperlink w:anchor="_Toc127370237" w:history="1">
            <w:r w:rsidRPr="00097654">
              <w:rPr>
                <w:rStyle w:val="afb"/>
                <w:rFonts w:ascii="Times New Roman" w:eastAsia="Calibri" w:hAnsi="Times New Roman" w:cs="Arial"/>
                <w:b/>
                <w:iCs/>
                <w:noProof/>
              </w:rPr>
              <w:t>3. Необходими мерки и законодателни промени.</w:t>
            </w:r>
            <w:r>
              <w:rPr>
                <w:noProof/>
                <w:webHidden/>
              </w:rPr>
              <w:tab/>
            </w:r>
            <w:r>
              <w:rPr>
                <w:noProof/>
                <w:webHidden/>
              </w:rPr>
              <w:fldChar w:fldCharType="begin"/>
            </w:r>
            <w:r>
              <w:rPr>
                <w:noProof/>
                <w:webHidden/>
              </w:rPr>
              <w:instrText xml:space="preserve"> PAGEREF _Toc127370237 \h </w:instrText>
            </w:r>
            <w:r>
              <w:rPr>
                <w:noProof/>
                <w:webHidden/>
              </w:rPr>
            </w:r>
            <w:r>
              <w:rPr>
                <w:noProof/>
                <w:webHidden/>
              </w:rPr>
              <w:fldChar w:fldCharType="separate"/>
            </w:r>
            <w:r w:rsidR="00594361">
              <w:rPr>
                <w:noProof/>
                <w:webHidden/>
              </w:rPr>
              <w:t>19</w:t>
            </w:r>
            <w:r>
              <w:rPr>
                <w:noProof/>
                <w:webHidden/>
              </w:rPr>
              <w:fldChar w:fldCharType="end"/>
            </w:r>
          </w:hyperlink>
        </w:p>
        <w:p w14:paraId="342DC74B" w14:textId="77777777" w:rsidR="00E3018B" w:rsidRDefault="00E3018B">
          <w:pPr>
            <w:pStyle w:val="22"/>
            <w:tabs>
              <w:tab w:val="right" w:leader="dot" w:pos="9487"/>
            </w:tabs>
            <w:rPr>
              <w:noProof/>
            </w:rPr>
          </w:pPr>
          <w:hyperlink w:anchor="_Toc127370238" w:history="1">
            <w:r w:rsidRPr="00097654">
              <w:rPr>
                <w:rStyle w:val="afb"/>
                <w:rFonts w:ascii="Times New Roman" w:eastAsia="Calibri" w:hAnsi="Times New Roman" w:cs="Arial"/>
                <w:b/>
                <w:iCs/>
                <w:noProof/>
              </w:rPr>
              <w:t>РАЗДЕЛ II</w:t>
            </w:r>
            <w:r>
              <w:rPr>
                <w:noProof/>
                <w:webHidden/>
              </w:rPr>
              <w:tab/>
            </w:r>
            <w:r>
              <w:rPr>
                <w:noProof/>
                <w:webHidden/>
              </w:rPr>
              <w:fldChar w:fldCharType="begin"/>
            </w:r>
            <w:r>
              <w:rPr>
                <w:noProof/>
                <w:webHidden/>
              </w:rPr>
              <w:instrText xml:space="preserve"> PAGEREF _Toc127370238 \h </w:instrText>
            </w:r>
            <w:r>
              <w:rPr>
                <w:noProof/>
                <w:webHidden/>
              </w:rPr>
            </w:r>
            <w:r>
              <w:rPr>
                <w:noProof/>
                <w:webHidden/>
              </w:rPr>
              <w:fldChar w:fldCharType="separate"/>
            </w:r>
            <w:r w:rsidR="00594361">
              <w:rPr>
                <w:noProof/>
                <w:webHidden/>
              </w:rPr>
              <w:t>23</w:t>
            </w:r>
            <w:r>
              <w:rPr>
                <w:noProof/>
                <w:webHidden/>
              </w:rPr>
              <w:fldChar w:fldCharType="end"/>
            </w:r>
          </w:hyperlink>
        </w:p>
        <w:p w14:paraId="5B43538C" w14:textId="77777777" w:rsidR="00E3018B" w:rsidRDefault="00E3018B">
          <w:pPr>
            <w:pStyle w:val="22"/>
            <w:tabs>
              <w:tab w:val="right" w:leader="dot" w:pos="9487"/>
            </w:tabs>
            <w:rPr>
              <w:noProof/>
            </w:rPr>
          </w:pPr>
          <w:hyperlink w:anchor="_Toc127370239" w:history="1">
            <w:r w:rsidRPr="00097654">
              <w:rPr>
                <w:rStyle w:val="afb"/>
                <w:rFonts w:ascii="Times New Roman" w:eastAsia="Calibri" w:hAnsi="Times New Roman" w:cs="Arial"/>
                <w:b/>
                <w:iCs/>
                <w:noProof/>
              </w:rPr>
              <w:t>ДЕЙНОСТ НА ТЕРИТОРИАЛНИТЕ ПРОКУРАТУРИ</w:t>
            </w:r>
            <w:r>
              <w:rPr>
                <w:noProof/>
                <w:webHidden/>
              </w:rPr>
              <w:tab/>
            </w:r>
            <w:r>
              <w:rPr>
                <w:noProof/>
                <w:webHidden/>
              </w:rPr>
              <w:fldChar w:fldCharType="begin"/>
            </w:r>
            <w:r>
              <w:rPr>
                <w:noProof/>
                <w:webHidden/>
              </w:rPr>
              <w:instrText xml:space="preserve"> PAGEREF _Toc127370239 \h </w:instrText>
            </w:r>
            <w:r>
              <w:rPr>
                <w:noProof/>
                <w:webHidden/>
              </w:rPr>
            </w:r>
            <w:r>
              <w:rPr>
                <w:noProof/>
                <w:webHidden/>
              </w:rPr>
              <w:fldChar w:fldCharType="separate"/>
            </w:r>
            <w:r w:rsidR="00594361">
              <w:rPr>
                <w:noProof/>
                <w:webHidden/>
              </w:rPr>
              <w:t>23</w:t>
            </w:r>
            <w:r>
              <w:rPr>
                <w:noProof/>
                <w:webHidden/>
              </w:rPr>
              <w:fldChar w:fldCharType="end"/>
            </w:r>
          </w:hyperlink>
        </w:p>
        <w:p w14:paraId="40E910C1" w14:textId="77777777" w:rsidR="00E3018B" w:rsidRDefault="00E3018B">
          <w:pPr>
            <w:pStyle w:val="22"/>
            <w:tabs>
              <w:tab w:val="right" w:leader="dot" w:pos="9487"/>
            </w:tabs>
            <w:rPr>
              <w:noProof/>
            </w:rPr>
          </w:pPr>
          <w:hyperlink w:anchor="_Toc127370240" w:history="1">
            <w:r w:rsidRPr="00097654">
              <w:rPr>
                <w:rStyle w:val="afb"/>
                <w:rFonts w:ascii="Times New Roman" w:eastAsia="Calibri" w:hAnsi="Times New Roman" w:cs="Arial"/>
                <w:b/>
                <w:iCs/>
                <w:noProof/>
              </w:rPr>
              <w:t>I. ДОСЪДЕБНА ФАЗА</w:t>
            </w:r>
            <w:r>
              <w:rPr>
                <w:noProof/>
                <w:webHidden/>
              </w:rPr>
              <w:tab/>
            </w:r>
            <w:r>
              <w:rPr>
                <w:noProof/>
                <w:webHidden/>
              </w:rPr>
              <w:fldChar w:fldCharType="begin"/>
            </w:r>
            <w:r>
              <w:rPr>
                <w:noProof/>
                <w:webHidden/>
              </w:rPr>
              <w:instrText xml:space="preserve"> PAGEREF _Toc127370240 \h </w:instrText>
            </w:r>
            <w:r>
              <w:rPr>
                <w:noProof/>
                <w:webHidden/>
              </w:rPr>
            </w:r>
            <w:r>
              <w:rPr>
                <w:noProof/>
                <w:webHidden/>
              </w:rPr>
              <w:fldChar w:fldCharType="separate"/>
            </w:r>
            <w:r w:rsidR="00594361">
              <w:rPr>
                <w:noProof/>
                <w:webHidden/>
              </w:rPr>
              <w:t>23</w:t>
            </w:r>
            <w:r>
              <w:rPr>
                <w:noProof/>
                <w:webHidden/>
              </w:rPr>
              <w:fldChar w:fldCharType="end"/>
            </w:r>
          </w:hyperlink>
        </w:p>
        <w:p w14:paraId="48348F5C" w14:textId="77777777" w:rsidR="00E3018B" w:rsidRDefault="00E3018B">
          <w:pPr>
            <w:pStyle w:val="22"/>
            <w:tabs>
              <w:tab w:val="right" w:leader="dot" w:pos="9487"/>
            </w:tabs>
            <w:rPr>
              <w:noProof/>
            </w:rPr>
          </w:pPr>
          <w:hyperlink w:anchor="_Toc127370241" w:history="1">
            <w:r w:rsidRPr="00097654">
              <w:rPr>
                <w:rStyle w:val="afb"/>
                <w:rFonts w:ascii="Times New Roman" w:eastAsia="Calibri" w:hAnsi="Times New Roman" w:cs="Arial"/>
                <w:b/>
                <w:iCs/>
                <w:noProof/>
              </w:rPr>
              <w:t>1. Преписки.</w:t>
            </w:r>
            <w:r>
              <w:rPr>
                <w:noProof/>
                <w:webHidden/>
              </w:rPr>
              <w:tab/>
            </w:r>
            <w:r>
              <w:rPr>
                <w:noProof/>
                <w:webHidden/>
              </w:rPr>
              <w:fldChar w:fldCharType="begin"/>
            </w:r>
            <w:r>
              <w:rPr>
                <w:noProof/>
                <w:webHidden/>
              </w:rPr>
              <w:instrText xml:space="preserve"> PAGEREF _Toc127370241 \h </w:instrText>
            </w:r>
            <w:r>
              <w:rPr>
                <w:noProof/>
                <w:webHidden/>
              </w:rPr>
            </w:r>
            <w:r>
              <w:rPr>
                <w:noProof/>
                <w:webHidden/>
              </w:rPr>
              <w:fldChar w:fldCharType="separate"/>
            </w:r>
            <w:r w:rsidR="00594361">
              <w:rPr>
                <w:noProof/>
                <w:webHidden/>
              </w:rPr>
              <w:t>23</w:t>
            </w:r>
            <w:r>
              <w:rPr>
                <w:noProof/>
                <w:webHidden/>
              </w:rPr>
              <w:fldChar w:fldCharType="end"/>
            </w:r>
          </w:hyperlink>
        </w:p>
        <w:p w14:paraId="236C8EB2" w14:textId="77777777" w:rsidR="00E3018B" w:rsidRDefault="00E3018B">
          <w:pPr>
            <w:pStyle w:val="22"/>
            <w:tabs>
              <w:tab w:val="right" w:leader="dot" w:pos="9487"/>
            </w:tabs>
            <w:rPr>
              <w:noProof/>
            </w:rPr>
          </w:pPr>
          <w:hyperlink w:anchor="_Toc127370242" w:history="1">
            <w:r w:rsidRPr="00097654">
              <w:rPr>
                <w:rStyle w:val="afb"/>
                <w:rFonts w:ascii="Times New Roman" w:eastAsia="Calibri" w:hAnsi="Times New Roman" w:cs="Arial"/>
                <w:b/>
                <w:iCs/>
                <w:noProof/>
              </w:rPr>
              <w:t>Проверки по чл. 145 ЗСВ – срочност, резултати, мерки.</w:t>
            </w:r>
            <w:r>
              <w:rPr>
                <w:noProof/>
                <w:webHidden/>
              </w:rPr>
              <w:tab/>
            </w:r>
            <w:r>
              <w:rPr>
                <w:noProof/>
                <w:webHidden/>
              </w:rPr>
              <w:fldChar w:fldCharType="begin"/>
            </w:r>
            <w:r>
              <w:rPr>
                <w:noProof/>
                <w:webHidden/>
              </w:rPr>
              <w:instrText xml:space="preserve"> PAGEREF _Toc127370242 \h </w:instrText>
            </w:r>
            <w:r>
              <w:rPr>
                <w:noProof/>
                <w:webHidden/>
              </w:rPr>
            </w:r>
            <w:r>
              <w:rPr>
                <w:noProof/>
                <w:webHidden/>
              </w:rPr>
              <w:fldChar w:fldCharType="separate"/>
            </w:r>
            <w:r w:rsidR="00594361">
              <w:rPr>
                <w:noProof/>
                <w:webHidden/>
              </w:rPr>
              <w:t>24</w:t>
            </w:r>
            <w:r>
              <w:rPr>
                <w:noProof/>
                <w:webHidden/>
              </w:rPr>
              <w:fldChar w:fldCharType="end"/>
            </w:r>
          </w:hyperlink>
        </w:p>
        <w:p w14:paraId="16AB0714" w14:textId="77777777" w:rsidR="00E3018B" w:rsidRDefault="00E3018B">
          <w:pPr>
            <w:pStyle w:val="22"/>
            <w:tabs>
              <w:tab w:val="right" w:leader="dot" w:pos="9487"/>
            </w:tabs>
            <w:rPr>
              <w:noProof/>
            </w:rPr>
          </w:pPr>
          <w:hyperlink w:anchor="_Toc127370243" w:history="1">
            <w:r w:rsidRPr="00097654">
              <w:rPr>
                <w:rStyle w:val="afb"/>
                <w:rFonts w:ascii="Times New Roman" w:eastAsia="Calibri" w:hAnsi="Times New Roman" w:cs="Arial"/>
                <w:b/>
                <w:iCs/>
                <w:noProof/>
              </w:rPr>
              <w:t>Инстанционен контрол, осъществяван от Окръжна прокуратура-Монтана. Потвърдени и отменени актове.</w:t>
            </w:r>
            <w:r>
              <w:rPr>
                <w:noProof/>
                <w:webHidden/>
              </w:rPr>
              <w:tab/>
            </w:r>
            <w:r>
              <w:rPr>
                <w:noProof/>
                <w:webHidden/>
              </w:rPr>
              <w:fldChar w:fldCharType="begin"/>
            </w:r>
            <w:r>
              <w:rPr>
                <w:noProof/>
                <w:webHidden/>
              </w:rPr>
              <w:instrText xml:space="preserve"> PAGEREF _Toc127370243 \h </w:instrText>
            </w:r>
            <w:r>
              <w:rPr>
                <w:noProof/>
                <w:webHidden/>
              </w:rPr>
            </w:r>
            <w:r>
              <w:rPr>
                <w:noProof/>
                <w:webHidden/>
              </w:rPr>
              <w:fldChar w:fldCharType="separate"/>
            </w:r>
            <w:r w:rsidR="00594361">
              <w:rPr>
                <w:noProof/>
                <w:webHidden/>
              </w:rPr>
              <w:t>26</w:t>
            </w:r>
            <w:r>
              <w:rPr>
                <w:noProof/>
                <w:webHidden/>
              </w:rPr>
              <w:fldChar w:fldCharType="end"/>
            </w:r>
          </w:hyperlink>
        </w:p>
        <w:p w14:paraId="3A3B3786" w14:textId="77777777" w:rsidR="00E3018B" w:rsidRDefault="00E3018B">
          <w:pPr>
            <w:pStyle w:val="22"/>
            <w:tabs>
              <w:tab w:val="right" w:leader="dot" w:pos="9487"/>
            </w:tabs>
            <w:rPr>
              <w:noProof/>
            </w:rPr>
          </w:pPr>
          <w:hyperlink w:anchor="_Toc127370244" w:history="1">
            <w:r w:rsidRPr="00097654">
              <w:rPr>
                <w:rStyle w:val="afb"/>
                <w:rFonts w:ascii="Times New Roman" w:eastAsia="Calibri" w:hAnsi="Times New Roman" w:cs="Arial"/>
                <w:b/>
                <w:iCs/>
                <w:noProof/>
              </w:rPr>
              <w:t>Преписки и наказателни производства, образувани след самосезиране и по сигнали на контролните органи и материали от ДАНС.</w:t>
            </w:r>
            <w:r>
              <w:rPr>
                <w:noProof/>
                <w:webHidden/>
              </w:rPr>
              <w:tab/>
            </w:r>
            <w:r>
              <w:rPr>
                <w:noProof/>
                <w:webHidden/>
              </w:rPr>
              <w:fldChar w:fldCharType="begin"/>
            </w:r>
            <w:r>
              <w:rPr>
                <w:noProof/>
                <w:webHidden/>
              </w:rPr>
              <w:instrText xml:space="preserve"> PAGEREF _Toc127370244 \h </w:instrText>
            </w:r>
            <w:r>
              <w:rPr>
                <w:noProof/>
                <w:webHidden/>
              </w:rPr>
            </w:r>
            <w:r>
              <w:rPr>
                <w:noProof/>
                <w:webHidden/>
              </w:rPr>
              <w:fldChar w:fldCharType="separate"/>
            </w:r>
            <w:r w:rsidR="00594361">
              <w:rPr>
                <w:noProof/>
                <w:webHidden/>
              </w:rPr>
              <w:t>28</w:t>
            </w:r>
            <w:r>
              <w:rPr>
                <w:noProof/>
                <w:webHidden/>
              </w:rPr>
              <w:fldChar w:fldCharType="end"/>
            </w:r>
          </w:hyperlink>
        </w:p>
        <w:p w14:paraId="0CCDDE6F" w14:textId="77777777" w:rsidR="00E3018B" w:rsidRDefault="00E3018B">
          <w:pPr>
            <w:pStyle w:val="32"/>
            <w:rPr>
              <w:rFonts w:asciiTheme="minorHAnsi" w:eastAsiaTheme="minorEastAsia" w:hAnsiTheme="minorHAnsi" w:cstheme="minorBidi"/>
            </w:rPr>
          </w:pPr>
          <w:hyperlink w:anchor="_Toc127370245" w:history="1">
            <w:r w:rsidRPr="00097654">
              <w:rPr>
                <w:rStyle w:val="afb"/>
                <w:rFonts w:eastAsia="Calibri" w:cs="Arial"/>
                <w:b/>
              </w:rPr>
              <w:t>2.  Следствен   надзор</w:t>
            </w:r>
            <w:r>
              <w:rPr>
                <w:webHidden/>
              </w:rPr>
              <w:tab/>
            </w:r>
            <w:r>
              <w:rPr>
                <w:webHidden/>
              </w:rPr>
              <w:fldChar w:fldCharType="begin"/>
            </w:r>
            <w:r>
              <w:rPr>
                <w:webHidden/>
              </w:rPr>
              <w:instrText xml:space="preserve"> PAGEREF _Toc127370245 \h </w:instrText>
            </w:r>
            <w:r>
              <w:rPr>
                <w:webHidden/>
              </w:rPr>
            </w:r>
            <w:r>
              <w:rPr>
                <w:webHidden/>
              </w:rPr>
              <w:fldChar w:fldCharType="separate"/>
            </w:r>
            <w:r w:rsidR="00594361">
              <w:rPr>
                <w:webHidden/>
              </w:rPr>
              <w:t>30</w:t>
            </w:r>
            <w:r>
              <w:rPr>
                <w:webHidden/>
              </w:rPr>
              <w:fldChar w:fldCharType="end"/>
            </w:r>
          </w:hyperlink>
        </w:p>
        <w:p w14:paraId="50DAF821" w14:textId="77777777" w:rsidR="00E3018B" w:rsidRDefault="00E3018B">
          <w:pPr>
            <w:pStyle w:val="32"/>
            <w:rPr>
              <w:rFonts w:asciiTheme="minorHAnsi" w:eastAsiaTheme="minorEastAsia" w:hAnsiTheme="minorHAnsi" w:cstheme="minorBidi"/>
            </w:rPr>
          </w:pPr>
          <w:hyperlink w:anchor="_Toc127370246" w:history="1">
            <w:r w:rsidRPr="00097654">
              <w:rPr>
                <w:rStyle w:val="afb"/>
                <w:rFonts w:eastAsia="Calibri" w:cs="Arial"/>
                <w:b/>
                <w:i/>
              </w:rPr>
              <w:t>2.1.  Обобщени данни по видове досъдебни производства и съобразно систематиката на НК, включително по отношение пострадалите лица и ощетените юридически лица от престъпления.</w:t>
            </w:r>
            <w:r>
              <w:rPr>
                <w:webHidden/>
              </w:rPr>
              <w:tab/>
            </w:r>
            <w:r>
              <w:rPr>
                <w:webHidden/>
              </w:rPr>
              <w:fldChar w:fldCharType="begin"/>
            </w:r>
            <w:r>
              <w:rPr>
                <w:webHidden/>
              </w:rPr>
              <w:instrText xml:space="preserve"> PAGEREF _Toc127370246 \h </w:instrText>
            </w:r>
            <w:r>
              <w:rPr>
                <w:webHidden/>
              </w:rPr>
            </w:r>
            <w:r>
              <w:rPr>
                <w:webHidden/>
              </w:rPr>
              <w:fldChar w:fldCharType="separate"/>
            </w:r>
            <w:r w:rsidR="00594361">
              <w:rPr>
                <w:webHidden/>
              </w:rPr>
              <w:t>30</w:t>
            </w:r>
            <w:r>
              <w:rPr>
                <w:webHidden/>
              </w:rPr>
              <w:fldChar w:fldCharType="end"/>
            </w:r>
          </w:hyperlink>
        </w:p>
        <w:p w14:paraId="7B6DDF7A" w14:textId="77777777" w:rsidR="00E3018B" w:rsidRDefault="00E3018B">
          <w:pPr>
            <w:pStyle w:val="32"/>
            <w:rPr>
              <w:rFonts w:asciiTheme="minorHAnsi" w:eastAsiaTheme="minorEastAsia" w:hAnsiTheme="minorHAnsi" w:cstheme="minorBidi"/>
            </w:rPr>
          </w:pPr>
          <w:hyperlink w:anchor="_Toc127370247" w:history="1">
            <w:r w:rsidRPr="00097654">
              <w:rPr>
                <w:rStyle w:val="afb"/>
                <w:rFonts w:eastAsia="Calibri" w:cs="Arial"/>
                <w:b/>
                <w:i/>
              </w:rPr>
              <w:t>2.2. Срочност на разследването:</w:t>
            </w:r>
            <w:r>
              <w:rPr>
                <w:webHidden/>
              </w:rPr>
              <w:tab/>
            </w:r>
            <w:r>
              <w:rPr>
                <w:webHidden/>
              </w:rPr>
              <w:fldChar w:fldCharType="begin"/>
            </w:r>
            <w:r>
              <w:rPr>
                <w:webHidden/>
              </w:rPr>
              <w:instrText xml:space="preserve"> PAGEREF _Toc127370247 \h </w:instrText>
            </w:r>
            <w:r>
              <w:rPr>
                <w:webHidden/>
              </w:rPr>
            </w:r>
            <w:r>
              <w:rPr>
                <w:webHidden/>
              </w:rPr>
              <w:fldChar w:fldCharType="separate"/>
            </w:r>
            <w:r w:rsidR="00594361">
              <w:rPr>
                <w:webHidden/>
              </w:rPr>
              <w:t>35</w:t>
            </w:r>
            <w:r>
              <w:rPr>
                <w:webHidden/>
              </w:rPr>
              <w:fldChar w:fldCharType="end"/>
            </w:r>
          </w:hyperlink>
        </w:p>
        <w:p w14:paraId="41235530" w14:textId="77777777" w:rsidR="00E3018B" w:rsidRDefault="00E3018B">
          <w:pPr>
            <w:pStyle w:val="32"/>
            <w:rPr>
              <w:rFonts w:asciiTheme="minorHAnsi" w:eastAsiaTheme="minorEastAsia" w:hAnsiTheme="minorHAnsi" w:cstheme="minorBidi"/>
            </w:rPr>
          </w:pPr>
          <w:hyperlink w:anchor="_Toc127370248" w:history="1">
            <w:r w:rsidRPr="00097654">
              <w:rPr>
                <w:rStyle w:val="afb"/>
                <w:rFonts w:eastAsia="Calibri" w:cs="Arial"/>
                <w:b/>
                <w:i/>
              </w:rPr>
              <w:t>2.3. Решени досъдебни производства. Видове решения.</w:t>
            </w:r>
            <w:r>
              <w:rPr>
                <w:webHidden/>
              </w:rPr>
              <w:tab/>
            </w:r>
            <w:r>
              <w:rPr>
                <w:webHidden/>
              </w:rPr>
              <w:fldChar w:fldCharType="begin"/>
            </w:r>
            <w:r>
              <w:rPr>
                <w:webHidden/>
              </w:rPr>
              <w:instrText xml:space="preserve"> PAGEREF _Toc127370248 \h </w:instrText>
            </w:r>
            <w:r>
              <w:rPr>
                <w:webHidden/>
              </w:rPr>
            </w:r>
            <w:r>
              <w:rPr>
                <w:webHidden/>
              </w:rPr>
              <w:fldChar w:fldCharType="separate"/>
            </w:r>
            <w:r w:rsidR="00594361">
              <w:rPr>
                <w:webHidden/>
              </w:rPr>
              <w:t>36</w:t>
            </w:r>
            <w:r>
              <w:rPr>
                <w:webHidden/>
              </w:rPr>
              <w:fldChar w:fldCharType="end"/>
            </w:r>
          </w:hyperlink>
        </w:p>
        <w:p w14:paraId="1C5467B3" w14:textId="77777777" w:rsidR="00E3018B" w:rsidRDefault="00E3018B">
          <w:pPr>
            <w:pStyle w:val="22"/>
            <w:tabs>
              <w:tab w:val="right" w:leader="dot" w:pos="9487"/>
            </w:tabs>
            <w:rPr>
              <w:noProof/>
            </w:rPr>
          </w:pPr>
          <w:hyperlink w:anchor="_Toc127370252" w:history="1">
            <w:r w:rsidRPr="00097654">
              <w:rPr>
                <w:rStyle w:val="afb"/>
                <w:rFonts w:ascii="Times New Roman" w:eastAsia="Calibri" w:hAnsi="Times New Roman" w:cs="Arial"/>
                <w:b/>
                <w:iCs/>
                <w:noProof/>
                <w:lang w:val="en-US"/>
              </w:rPr>
              <w:t xml:space="preserve">II. </w:t>
            </w:r>
            <w:r w:rsidRPr="00097654">
              <w:rPr>
                <w:rStyle w:val="afb"/>
                <w:rFonts w:ascii="Times New Roman" w:eastAsia="Calibri" w:hAnsi="Times New Roman" w:cs="Arial"/>
                <w:b/>
                <w:iCs/>
                <w:noProof/>
              </w:rPr>
              <w:t>СЪДЕБНА ФАЗА</w:t>
            </w:r>
            <w:r>
              <w:rPr>
                <w:noProof/>
                <w:webHidden/>
              </w:rPr>
              <w:tab/>
            </w:r>
            <w:r>
              <w:rPr>
                <w:noProof/>
                <w:webHidden/>
              </w:rPr>
              <w:fldChar w:fldCharType="begin"/>
            </w:r>
            <w:r>
              <w:rPr>
                <w:noProof/>
                <w:webHidden/>
              </w:rPr>
              <w:instrText xml:space="preserve"> PAGEREF _Toc127370252 \h </w:instrText>
            </w:r>
            <w:r>
              <w:rPr>
                <w:noProof/>
                <w:webHidden/>
              </w:rPr>
            </w:r>
            <w:r>
              <w:rPr>
                <w:noProof/>
                <w:webHidden/>
              </w:rPr>
              <w:fldChar w:fldCharType="separate"/>
            </w:r>
            <w:r w:rsidR="00594361">
              <w:rPr>
                <w:noProof/>
                <w:webHidden/>
              </w:rPr>
              <w:t>39</w:t>
            </w:r>
            <w:r>
              <w:rPr>
                <w:noProof/>
                <w:webHidden/>
              </w:rPr>
              <w:fldChar w:fldCharType="end"/>
            </w:r>
          </w:hyperlink>
        </w:p>
        <w:p w14:paraId="6D1AFEFD" w14:textId="77777777" w:rsidR="00E3018B" w:rsidRDefault="00E3018B">
          <w:pPr>
            <w:pStyle w:val="32"/>
            <w:rPr>
              <w:rFonts w:asciiTheme="minorHAnsi" w:eastAsiaTheme="minorEastAsia" w:hAnsiTheme="minorHAnsi" w:cstheme="minorBidi"/>
            </w:rPr>
          </w:pPr>
          <w:hyperlink w:anchor="_Toc127370253" w:history="1">
            <w:r w:rsidRPr="00097654">
              <w:rPr>
                <w:rStyle w:val="afb"/>
                <w:rFonts w:eastAsia="Calibri" w:cs="Arial"/>
                <w:b/>
              </w:rPr>
              <w:t>1. Наказателно – съдебен надзор.</w:t>
            </w:r>
            <w:r>
              <w:rPr>
                <w:webHidden/>
              </w:rPr>
              <w:tab/>
            </w:r>
            <w:r>
              <w:rPr>
                <w:webHidden/>
              </w:rPr>
              <w:fldChar w:fldCharType="begin"/>
            </w:r>
            <w:r>
              <w:rPr>
                <w:webHidden/>
              </w:rPr>
              <w:instrText xml:space="preserve"> PAGEREF _Toc127370253 \h </w:instrText>
            </w:r>
            <w:r>
              <w:rPr>
                <w:webHidden/>
              </w:rPr>
            </w:r>
            <w:r>
              <w:rPr>
                <w:webHidden/>
              </w:rPr>
              <w:fldChar w:fldCharType="separate"/>
            </w:r>
            <w:r w:rsidR="00594361">
              <w:rPr>
                <w:webHidden/>
              </w:rPr>
              <w:t>39</w:t>
            </w:r>
            <w:r>
              <w:rPr>
                <w:webHidden/>
              </w:rPr>
              <w:fldChar w:fldCharType="end"/>
            </w:r>
          </w:hyperlink>
        </w:p>
        <w:p w14:paraId="18C2A238" w14:textId="77777777" w:rsidR="00E3018B" w:rsidRDefault="00E3018B">
          <w:pPr>
            <w:pStyle w:val="32"/>
            <w:rPr>
              <w:rFonts w:asciiTheme="minorHAnsi" w:eastAsiaTheme="minorEastAsia" w:hAnsiTheme="minorHAnsi" w:cstheme="minorBidi"/>
            </w:rPr>
          </w:pPr>
          <w:hyperlink w:anchor="_Toc127370257" w:history="1">
            <w:r w:rsidRPr="00097654">
              <w:rPr>
                <w:rStyle w:val="afb"/>
                <w:rFonts w:eastAsia="Calibri" w:cs="Arial"/>
                <w:b/>
              </w:rPr>
              <w:t>2. Постановени оправдателни присъди и върнати от съд дела .</w:t>
            </w:r>
            <w:r>
              <w:rPr>
                <w:webHidden/>
              </w:rPr>
              <w:tab/>
            </w:r>
            <w:r>
              <w:rPr>
                <w:webHidden/>
              </w:rPr>
              <w:fldChar w:fldCharType="begin"/>
            </w:r>
            <w:r>
              <w:rPr>
                <w:webHidden/>
              </w:rPr>
              <w:instrText xml:space="preserve"> PAGEREF _Toc127370257 \h </w:instrText>
            </w:r>
            <w:r>
              <w:rPr>
                <w:webHidden/>
              </w:rPr>
            </w:r>
            <w:r>
              <w:rPr>
                <w:webHidden/>
              </w:rPr>
              <w:fldChar w:fldCharType="separate"/>
            </w:r>
            <w:r w:rsidR="00594361">
              <w:rPr>
                <w:webHidden/>
              </w:rPr>
              <w:t>41</w:t>
            </w:r>
            <w:r>
              <w:rPr>
                <w:webHidden/>
              </w:rPr>
              <w:fldChar w:fldCharType="end"/>
            </w:r>
          </w:hyperlink>
        </w:p>
        <w:p w14:paraId="7761E2AC" w14:textId="77777777" w:rsidR="00E3018B" w:rsidRDefault="00E3018B">
          <w:pPr>
            <w:pStyle w:val="32"/>
            <w:rPr>
              <w:rFonts w:asciiTheme="minorHAnsi" w:eastAsiaTheme="minorEastAsia" w:hAnsiTheme="minorHAnsi" w:cstheme="minorBidi"/>
            </w:rPr>
          </w:pPr>
          <w:hyperlink w:anchor="_Toc127370261" w:history="1">
            <w:r w:rsidRPr="00097654">
              <w:rPr>
                <w:rStyle w:val="afb"/>
                <w:rFonts w:eastAsia="Calibri" w:cs="Arial"/>
                <w:b/>
              </w:rPr>
              <w:t>3. Гражданско – съдебен надзор.</w:t>
            </w:r>
            <w:r>
              <w:rPr>
                <w:webHidden/>
              </w:rPr>
              <w:tab/>
            </w:r>
            <w:r>
              <w:rPr>
                <w:webHidden/>
              </w:rPr>
              <w:fldChar w:fldCharType="begin"/>
            </w:r>
            <w:r>
              <w:rPr>
                <w:webHidden/>
              </w:rPr>
              <w:instrText xml:space="preserve"> PAGEREF _Toc127370261 \h </w:instrText>
            </w:r>
            <w:r>
              <w:rPr>
                <w:webHidden/>
              </w:rPr>
            </w:r>
            <w:r>
              <w:rPr>
                <w:webHidden/>
              </w:rPr>
              <w:fldChar w:fldCharType="separate"/>
            </w:r>
            <w:r w:rsidR="00594361">
              <w:rPr>
                <w:webHidden/>
              </w:rPr>
              <w:t>50</w:t>
            </w:r>
            <w:r>
              <w:rPr>
                <w:webHidden/>
              </w:rPr>
              <w:fldChar w:fldCharType="end"/>
            </w:r>
          </w:hyperlink>
        </w:p>
        <w:p w14:paraId="0141CF75" w14:textId="77777777" w:rsidR="00E3018B" w:rsidRDefault="00E3018B">
          <w:pPr>
            <w:pStyle w:val="32"/>
            <w:rPr>
              <w:rFonts w:asciiTheme="minorHAnsi" w:eastAsiaTheme="minorEastAsia" w:hAnsiTheme="minorHAnsi" w:cstheme="minorBidi"/>
            </w:rPr>
          </w:pPr>
          <w:hyperlink w:anchor="_Toc127370262" w:history="1">
            <w:r w:rsidRPr="00097654">
              <w:rPr>
                <w:rStyle w:val="afb"/>
                <w:rFonts w:eastAsia="Calibri" w:cs="Arial"/>
                <w:b/>
                <w:i/>
              </w:rPr>
              <w:t>3.1. Състояние и организация на гражданско-съдебния надзор.</w:t>
            </w:r>
            <w:r>
              <w:rPr>
                <w:webHidden/>
              </w:rPr>
              <w:tab/>
            </w:r>
            <w:r>
              <w:rPr>
                <w:webHidden/>
              </w:rPr>
              <w:fldChar w:fldCharType="begin"/>
            </w:r>
            <w:r>
              <w:rPr>
                <w:webHidden/>
              </w:rPr>
              <w:instrText xml:space="preserve"> PAGEREF _Toc127370262 \h </w:instrText>
            </w:r>
            <w:r>
              <w:rPr>
                <w:webHidden/>
              </w:rPr>
            </w:r>
            <w:r>
              <w:rPr>
                <w:webHidden/>
              </w:rPr>
              <w:fldChar w:fldCharType="separate"/>
            </w:r>
            <w:r w:rsidR="00594361">
              <w:rPr>
                <w:webHidden/>
              </w:rPr>
              <w:t>50</w:t>
            </w:r>
            <w:r>
              <w:rPr>
                <w:webHidden/>
              </w:rPr>
              <w:fldChar w:fldCharType="end"/>
            </w:r>
          </w:hyperlink>
        </w:p>
        <w:p w14:paraId="54C06F6E" w14:textId="77777777" w:rsidR="00E3018B" w:rsidRDefault="00E3018B">
          <w:pPr>
            <w:pStyle w:val="32"/>
            <w:rPr>
              <w:rFonts w:asciiTheme="minorHAnsi" w:eastAsiaTheme="minorEastAsia" w:hAnsiTheme="minorHAnsi" w:cstheme="minorBidi"/>
            </w:rPr>
          </w:pPr>
          <w:hyperlink w:anchor="_Toc127370263" w:history="1">
            <w:r w:rsidRPr="00097654">
              <w:rPr>
                <w:rStyle w:val="afb"/>
                <w:rFonts w:eastAsia="Calibri" w:cs="Arial"/>
                <w:b/>
                <w:i/>
              </w:rPr>
              <w:t>3.2. Предявени искове от прокурора. Уважени и неуважени искове.</w:t>
            </w:r>
            <w:r>
              <w:rPr>
                <w:webHidden/>
              </w:rPr>
              <w:tab/>
            </w:r>
            <w:r>
              <w:rPr>
                <w:webHidden/>
              </w:rPr>
              <w:fldChar w:fldCharType="begin"/>
            </w:r>
            <w:r>
              <w:rPr>
                <w:webHidden/>
              </w:rPr>
              <w:instrText xml:space="preserve"> PAGEREF _Toc127370263 \h </w:instrText>
            </w:r>
            <w:r>
              <w:rPr>
                <w:webHidden/>
              </w:rPr>
            </w:r>
            <w:r>
              <w:rPr>
                <w:webHidden/>
              </w:rPr>
              <w:fldChar w:fldCharType="separate"/>
            </w:r>
            <w:r w:rsidR="00594361">
              <w:rPr>
                <w:webHidden/>
              </w:rPr>
              <w:t>51</w:t>
            </w:r>
            <w:r>
              <w:rPr>
                <w:webHidden/>
              </w:rPr>
              <w:fldChar w:fldCharType="end"/>
            </w:r>
          </w:hyperlink>
        </w:p>
        <w:p w14:paraId="27062BEF" w14:textId="77777777" w:rsidR="00E3018B" w:rsidRDefault="00E3018B">
          <w:pPr>
            <w:pStyle w:val="32"/>
            <w:rPr>
              <w:rFonts w:asciiTheme="minorHAnsi" w:eastAsiaTheme="minorEastAsia" w:hAnsiTheme="minorHAnsi" w:cstheme="minorBidi"/>
            </w:rPr>
          </w:pPr>
          <w:hyperlink w:anchor="_Toc127370266" w:history="1">
            <w:r w:rsidRPr="00097654">
              <w:rPr>
                <w:rStyle w:val="afb"/>
                <w:rFonts w:eastAsia="Calibri" w:cs="Arial"/>
                <w:b/>
                <w:i/>
              </w:rPr>
              <w:t>3.3. Участие в съдебни заседания по гражданско-съдебния надзор:</w:t>
            </w:r>
            <w:r>
              <w:rPr>
                <w:webHidden/>
              </w:rPr>
              <w:tab/>
            </w:r>
            <w:r>
              <w:rPr>
                <w:webHidden/>
              </w:rPr>
              <w:fldChar w:fldCharType="begin"/>
            </w:r>
            <w:r>
              <w:rPr>
                <w:webHidden/>
              </w:rPr>
              <w:instrText xml:space="preserve"> PAGEREF _Toc127370266 \h </w:instrText>
            </w:r>
            <w:r>
              <w:rPr>
                <w:webHidden/>
              </w:rPr>
            </w:r>
            <w:r>
              <w:rPr>
                <w:webHidden/>
              </w:rPr>
              <w:fldChar w:fldCharType="separate"/>
            </w:r>
            <w:r w:rsidR="00594361">
              <w:rPr>
                <w:webHidden/>
              </w:rPr>
              <w:t>51</w:t>
            </w:r>
            <w:r>
              <w:rPr>
                <w:webHidden/>
              </w:rPr>
              <w:fldChar w:fldCharType="end"/>
            </w:r>
          </w:hyperlink>
        </w:p>
        <w:p w14:paraId="51CE0724" w14:textId="77777777" w:rsidR="00E3018B" w:rsidRDefault="00E3018B">
          <w:pPr>
            <w:pStyle w:val="32"/>
            <w:rPr>
              <w:rFonts w:asciiTheme="minorHAnsi" w:eastAsiaTheme="minorEastAsia" w:hAnsiTheme="minorHAnsi" w:cstheme="minorBidi"/>
            </w:rPr>
          </w:pPr>
          <w:hyperlink w:anchor="_Toc127370269" w:history="1">
            <w:r w:rsidRPr="00097654">
              <w:rPr>
                <w:rStyle w:val="afb"/>
                <w:rFonts w:eastAsia="Calibri" w:cs="Arial"/>
                <w:b/>
                <w:i/>
              </w:rPr>
              <w:t>3.4. Дейност по Закона за отнемане в полза на държавата на имущество, придобито от престъпна дейност.</w:t>
            </w:r>
            <w:r>
              <w:rPr>
                <w:webHidden/>
              </w:rPr>
              <w:tab/>
            </w:r>
            <w:r>
              <w:rPr>
                <w:webHidden/>
              </w:rPr>
              <w:fldChar w:fldCharType="begin"/>
            </w:r>
            <w:r>
              <w:rPr>
                <w:webHidden/>
              </w:rPr>
              <w:instrText xml:space="preserve"> PAGEREF _Toc127370269 \h </w:instrText>
            </w:r>
            <w:r>
              <w:rPr>
                <w:webHidden/>
              </w:rPr>
            </w:r>
            <w:r>
              <w:rPr>
                <w:webHidden/>
              </w:rPr>
              <w:fldChar w:fldCharType="separate"/>
            </w:r>
            <w:r w:rsidR="00594361">
              <w:rPr>
                <w:webHidden/>
              </w:rPr>
              <w:t>52</w:t>
            </w:r>
            <w:r>
              <w:rPr>
                <w:webHidden/>
              </w:rPr>
              <w:fldChar w:fldCharType="end"/>
            </w:r>
          </w:hyperlink>
        </w:p>
        <w:p w14:paraId="67F4C738" w14:textId="77777777" w:rsidR="00E3018B" w:rsidRDefault="00E3018B">
          <w:pPr>
            <w:pStyle w:val="32"/>
            <w:rPr>
              <w:rFonts w:asciiTheme="minorHAnsi" w:eastAsiaTheme="minorEastAsia" w:hAnsiTheme="minorHAnsi" w:cstheme="minorBidi"/>
            </w:rPr>
          </w:pPr>
          <w:hyperlink w:anchor="_Toc127370270" w:history="1">
            <w:r w:rsidRPr="00097654">
              <w:rPr>
                <w:rStyle w:val="afb"/>
                <w:rFonts w:eastAsia="Calibri" w:cs="Arial"/>
                <w:b/>
              </w:rPr>
              <w:t>4. Осъдителни решения срещу Прокуратурата на РБ на основание Закона за отговорността на държавата и общините за вреди. Изпълнение на индивидуални и общи мерки, във връзка с решенията на Европейския съд по правта на човека по дела срещу България.</w:t>
            </w:r>
            <w:r>
              <w:rPr>
                <w:webHidden/>
              </w:rPr>
              <w:tab/>
            </w:r>
            <w:r>
              <w:rPr>
                <w:webHidden/>
              </w:rPr>
              <w:fldChar w:fldCharType="begin"/>
            </w:r>
            <w:r>
              <w:rPr>
                <w:webHidden/>
              </w:rPr>
              <w:instrText xml:space="preserve"> PAGEREF _Toc127370270 \h </w:instrText>
            </w:r>
            <w:r>
              <w:rPr>
                <w:webHidden/>
              </w:rPr>
            </w:r>
            <w:r>
              <w:rPr>
                <w:webHidden/>
              </w:rPr>
              <w:fldChar w:fldCharType="separate"/>
            </w:r>
            <w:r w:rsidR="00594361">
              <w:rPr>
                <w:webHidden/>
              </w:rPr>
              <w:t>52</w:t>
            </w:r>
            <w:r>
              <w:rPr>
                <w:webHidden/>
              </w:rPr>
              <w:fldChar w:fldCharType="end"/>
            </w:r>
          </w:hyperlink>
        </w:p>
        <w:p w14:paraId="348B92B3" w14:textId="77777777" w:rsidR="00E3018B" w:rsidRDefault="00E3018B">
          <w:pPr>
            <w:pStyle w:val="22"/>
            <w:tabs>
              <w:tab w:val="right" w:leader="dot" w:pos="9487"/>
            </w:tabs>
            <w:rPr>
              <w:noProof/>
            </w:rPr>
          </w:pPr>
          <w:hyperlink w:anchor="_Toc127370271" w:history="1">
            <w:r w:rsidRPr="00097654">
              <w:rPr>
                <w:rStyle w:val="afb"/>
                <w:rFonts w:ascii="Times New Roman" w:eastAsia="Calibri" w:hAnsi="Times New Roman" w:cs="Arial"/>
                <w:b/>
                <w:iCs/>
                <w:noProof/>
              </w:rPr>
              <w:t>5. Изпълнение на наказанията и други принудителни мерки.</w:t>
            </w:r>
            <w:r>
              <w:rPr>
                <w:noProof/>
                <w:webHidden/>
              </w:rPr>
              <w:tab/>
            </w:r>
            <w:r>
              <w:rPr>
                <w:noProof/>
                <w:webHidden/>
              </w:rPr>
              <w:fldChar w:fldCharType="begin"/>
            </w:r>
            <w:r>
              <w:rPr>
                <w:noProof/>
                <w:webHidden/>
              </w:rPr>
              <w:instrText xml:space="preserve"> PAGEREF _Toc127370271 \h </w:instrText>
            </w:r>
            <w:r>
              <w:rPr>
                <w:noProof/>
                <w:webHidden/>
              </w:rPr>
            </w:r>
            <w:r>
              <w:rPr>
                <w:noProof/>
                <w:webHidden/>
              </w:rPr>
              <w:fldChar w:fldCharType="separate"/>
            </w:r>
            <w:r w:rsidR="00594361">
              <w:rPr>
                <w:noProof/>
                <w:webHidden/>
              </w:rPr>
              <w:t>55</w:t>
            </w:r>
            <w:r>
              <w:rPr>
                <w:noProof/>
                <w:webHidden/>
              </w:rPr>
              <w:fldChar w:fldCharType="end"/>
            </w:r>
          </w:hyperlink>
        </w:p>
        <w:p w14:paraId="6987B152" w14:textId="77777777" w:rsidR="00E3018B" w:rsidRDefault="00E3018B">
          <w:pPr>
            <w:pStyle w:val="22"/>
            <w:tabs>
              <w:tab w:val="right" w:leader="dot" w:pos="9487"/>
            </w:tabs>
            <w:rPr>
              <w:noProof/>
            </w:rPr>
          </w:pPr>
          <w:hyperlink w:anchor="_Toc127370272" w:history="1">
            <w:r w:rsidRPr="00097654">
              <w:rPr>
                <w:rStyle w:val="afb"/>
                <w:noProof/>
                <w:lang w:val="en-US"/>
              </w:rPr>
              <w:t>III</w:t>
            </w:r>
            <w:r w:rsidRPr="00097654">
              <w:rPr>
                <w:rStyle w:val="afb"/>
                <w:noProof/>
              </w:rPr>
              <w:t xml:space="preserve">. ДЕЙНОСТ ПО ИЗПЪЛНЕНИЕ НА ПРЕПОРЪКИТЕ В РАМКИТЕ НА МЕХАНИЗМА ЗА СЪТРУДНИЧЕСТВО И ПРОВЕРКА. СПЕЦИАЛЕН НАДЗОР И НАКАЗАТЕЛНИ ПРОИЗВОДСТВА, </w:t>
            </w:r>
            <w:r w:rsidRPr="00097654">
              <w:rPr>
                <w:rStyle w:val="afb"/>
                <w:noProof/>
              </w:rPr>
              <w:lastRenderedPageBreak/>
              <w:t>ОБРАЗУВАНИ  ЗА НЯКОИ КАТЕГОРИИ ТЕЖКИ ПРЕСТЪПЛЕНИЯ И ТАКИВА ОТ ОСОБЕН ОБЩЕСТВЕН ИНТЕРЕС, ВКЛЮЧИТЕЛНО НАБЛЮДАВАНИ ОТ ВСС.</w:t>
            </w:r>
            <w:r>
              <w:rPr>
                <w:noProof/>
                <w:webHidden/>
              </w:rPr>
              <w:tab/>
            </w:r>
            <w:r>
              <w:rPr>
                <w:noProof/>
                <w:webHidden/>
              </w:rPr>
              <w:fldChar w:fldCharType="begin"/>
            </w:r>
            <w:r>
              <w:rPr>
                <w:noProof/>
                <w:webHidden/>
              </w:rPr>
              <w:instrText xml:space="preserve"> PAGEREF _Toc127370272 \h </w:instrText>
            </w:r>
            <w:r>
              <w:rPr>
                <w:noProof/>
                <w:webHidden/>
              </w:rPr>
            </w:r>
            <w:r>
              <w:rPr>
                <w:noProof/>
                <w:webHidden/>
              </w:rPr>
              <w:fldChar w:fldCharType="separate"/>
            </w:r>
            <w:r w:rsidR="00594361">
              <w:rPr>
                <w:noProof/>
                <w:webHidden/>
              </w:rPr>
              <w:t>59</w:t>
            </w:r>
            <w:r>
              <w:rPr>
                <w:noProof/>
                <w:webHidden/>
              </w:rPr>
              <w:fldChar w:fldCharType="end"/>
            </w:r>
          </w:hyperlink>
        </w:p>
        <w:p w14:paraId="15AA7DE5" w14:textId="77777777" w:rsidR="00E3018B" w:rsidRDefault="00E3018B">
          <w:pPr>
            <w:pStyle w:val="32"/>
            <w:tabs>
              <w:tab w:val="left" w:pos="880"/>
            </w:tabs>
            <w:rPr>
              <w:rFonts w:asciiTheme="minorHAnsi" w:eastAsiaTheme="minorEastAsia" w:hAnsiTheme="minorHAnsi" w:cstheme="minorBidi"/>
            </w:rPr>
          </w:pPr>
          <w:hyperlink w:anchor="_Toc127370273" w:history="1">
            <w:r w:rsidRPr="00097654">
              <w:rPr>
                <w:rStyle w:val="afb"/>
                <w:rFonts w:eastAsia="Calibri" w:cs="Arial"/>
                <w:b/>
              </w:rPr>
              <w:t>1.</w:t>
            </w:r>
            <w:r>
              <w:rPr>
                <w:rFonts w:asciiTheme="minorHAnsi" w:eastAsiaTheme="minorEastAsia" w:hAnsiTheme="minorHAnsi" w:cstheme="minorBidi"/>
              </w:rPr>
              <w:tab/>
            </w:r>
            <w:r w:rsidRPr="00097654">
              <w:rPr>
                <w:rStyle w:val="afb"/>
                <w:rFonts w:eastAsia="Calibri" w:cs="Arial"/>
                <w:b/>
              </w:rPr>
              <w:t>Специален надзор</w:t>
            </w:r>
            <w:r>
              <w:rPr>
                <w:webHidden/>
              </w:rPr>
              <w:tab/>
            </w:r>
            <w:r>
              <w:rPr>
                <w:webHidden/>
              </w:rPr>
              <w:fldChar w:fldCharType="begin"/>
            </w:r>
            <w:r>
              <w:rPr>
                <w:webHidden/>
              </w:rPr>
              <w:instrText xml:space="preserve"> PAGEREF _Toc127370273 \h </w:instrText>
            </w:r>
            <w:r>
              <w:rPr>
                <w:webHidden/>
              </w:rPr>
            </w:r>
            <w:r>
              <w:rPr>
                <w:webHidden/>
              </w:rPr>
              <w:fldChar w:fldCharType="separate"/>
            </w:r>
            <w:r w:rsidR="00594361">
              <w:rPr>
                <w:webHidden/>
              </w:rPr>
              <w:t>59</w:t>
            </w:r>
            <w:r>
              <w:rPr>
                <w:webHidden/>
              </w:rPr>
              <w:fldChar w:fldCharType="end"/>
            </w:r>
          </w:hyperlink>
        </w:p>
        <w:p w14:paraId="48AC6B45" w14:textId="77777777" w:rsidR="00E3018B" w:rsidRDefault="00E3018B">
          <w:pPr>
            <w:pStyle w:val="32"/>
            <w:tabs>
              <w:tab w:val="left" w:pos="880"/>
            </w:tabs>
            <w:rPr>
              <w:rFonts w:asciiTheme="minorHAnsi" w:eastAsiaTheme="minorEastAsia" w:hAnsiTheme="minorHAnsi" w:cstheme="minorBidi"/>
            </w:rPr>
          </w:pPr>
          <w:hyperlink w:anchor="_Toc127370274" w:history="1">
            <w:r w:rsidRPr="00097654">
              <w:rPr>
                <w:rStyle w:val="afb"/>
                <w:rFonts w:eastAsia="Calibri"/>
                <w:b/>
                <w:bCs/>
              </w:rPr>
              <w:t>1.</w:t>
            </w:r>
            <w:r>
              <w:rPr>
                <w:rFonts w:asciiTheme="minorHAnsi" w:eastAsiaTheme="minorEastAsia" w:hAnsiTheme="minorHAnsi" w:cstheme="minorBidi"/>
              </w:rPr>
              <w:tab/>
            </w:r>
            <w:r w:rsidRPr="00097654">
              <w:rPr>
                <w:rStyle w:val="afb"/>
                <w:rFonts w:eastAsia="Calibri"/>
                <w:b/>
                <w:bCs/>
              </w:rPr>
              <w:t>Специален надзор и наказателни производства,  образувани за някои категории тежки престъпления и такива от особен обществен интерес.</w:t>
            </w:r>
            <w:r>
              <w:rPr>
                <w:webHidden/>
              </w:rPr>
              <w:tab/>
            </w:r>
            <w:r>
              <w:rPr>
                <w:webHidden/>
              </w:rPr>
              <w:fldChar w:fldCharType="begin"/>
            </w:r>
            <w:r>
              <w:rPr>
                <w:webHidden/>
              </w:rPr>
              <w:instrText xml:space="preserve"> PAGEREF _Toc127370274 \h </w:instrText>
            </w:r>
            <w:r>
              <w:rPr>
                <w:webHidden/>
              </w:rPr>
            </w:r>
            <w:r>
              <w:rPr>
                <w:webHidden/>
              </w:rPr>
              <w:fldChar w:fldCharType="separate"/>
            </w:r>
            <w:r w:rsidR="00594361">
              <w:rPr>
                <w:webHidden/>
              </w:rPr>
              <w:t>60</w:t>
            </w:r>
            <w:r>
              <w:rPr>
                <w:webHidden/>
              </w:rPr>
              <w:fldChar w:fldCharType="end"/>
            </w:r>
          </w:hyperlink>
        </w:p>
        <w:p w14:paraId="199C0EEF" w14:textId="77777777" w:rsidR="00E3018B" w:rsidRDefault="00E3018B">
          <w:pPr>
            <w:pStyle w:val="32"/>
            <w:tabs>
              <w:tab w:val="left" w:pos="880"/>
            </w:tabs>
            <w:rPr>
              <w:rFonts w:asciiTheme="minorHAnsi" w:eastAsiaTheme="minorEastAsia" w:hAnsiTheme="minorHAnsi" w:cstheme="minorBidi"/>
            </w:rPr>
          </w:pPr>
          <w:hyperlink w:anchor="_Toc127370275" w:history="1">
            <w:r w:rsidRPr="00097654">
              <w:rPr>
                <w:rStyle w:val="afb"/>
                <w:rFonts w:eastAsia="Calibri" w:cs="Arial"/>
              </w:rPr>
              <w:t>2.</w:t>
            </w:r>
            <w:r>
              <w:rPr>
                <w:rFonts w:asciiTheme="minorHAnsi" w:eastAsiaTheme="minorEastAsia" w:hAnsiTheme="minorHAnsi" w:cstheme="minorBidi"/>
              </w:rPr>
              <w:tab/>
            </w:r>
            <w:r w:rsidRPr="00097654">
              <w:rPr>
                <w:rStyle w:val="afb"/>
                <w:rFonts w:eastAsia="Calibri" w:cs="Arial"/>
              </w:rPr>
              <w:t>Дела, образувани за престъпления, свързани с организираната престъпност.</w:t>
            </w:r>
            <w:r>
              <w:rPr>
                <w:webHidden/>
              </w:rPr>
              <w:tab/>
            </w:r>
            <w:r>
              <w:rPr>
                <w:webHidden/>
              </w:rPr>
              <w:fldChar w:fldCharType="begin"/>
            </w:r>
            <w:r>
              <w:rPr>
                <w:webHidden/>
              </w:rPr>
              <w:instrText xml:space="preserve"> PAGEREF _Toc127370275 \h </w:instrText>
            </w:r>
            <w:r>
              <w:rPr>
                <w:webHidden/>
              </w:rPr>
            </w:r>
            <w:r>
              <w:rPr>
                <w:webHidden/>
              </w:rPr>
              <w:fldChar w:fldCharType="separate"/>
            </w:r>
            <w:r w:rsidR="00594361">
              <w:rPr>
                <w:webHidden/>
              </w:rPr>
              <w:t>61</w:t>
            </w:r>
            <w:r>
              <w:rPr>
                <w:webHidden/>
              </w:rPr>
              <w:fldChar w:fldCharType="end"/>
            </w:r>
          </w:hyperlink>
        </w:p>
        <w:p w14:paraId="759FF173" w14:textId="77777777" w:rsidR="00E3018B" w:rsidRDefault="00E3018B">
          <w:pPr>
            <w:pStyle w:val="32"/>
            <w:rPr>
              <w:rFonts w:asciiTheme="minorHAnsi" w:eastAsiaTheme="minorEastAsia" w:hAnsiTheme="minorHAnsi" w:cstheme="minorBidi"/>
            </w:rPr>
          </w:pPr>
          <w:hyperlink w:anchor="_Toc127370277" w:history="1">
            <w:r w:rsidRPr="00097654">
              <w:rPr>
                <w:rStyle w:val="afb"/>
                <w:rFonts w:eastAsia="Calibri" w:cs="Arial"/>
              </w:rPr>
              <w:t>3. Дела, образувани за корупционни престъпления в региона на ОП Монтана.</w:t>
            </w:r>
            <w:r>
              <w:rPr>
                <w:webHidden/>
              </w:rPr>
              <w:tab/>
            </w:r>
            <w:r>
              <w:rPr>
                <w:webHidden/>
              </w:rPr>
              <w:fldChar w:fldCharType="begin"/>
            </w:r>
            <w:r>
              <w:rPr>
                <w:webHidden/>
              </w:rPr>
              <w:instrText xml:space="preserve"> PAGEREF _Toc127370277 \h </w:instrText>
            </w:r>
            <w:r>
              <w:rPr>
                <w:webHidden/>
              </w:rPr>
            </w:r>
            <w:r>
              <w:rPr>
                <w:webHidden/>
              </w:rPr>
              <w:fldChar w:fldCharType="separate"/>
            </w:r>
            <w:r w:rsidR="00594361">
              <w:rPr>
                <w:webHidden/>
              </w:rPr>
              <w:t>61</w:t>
            </w:r>
            <w:r>
              <w:rPr>
                <w:webHidden/>
              </w:rPr>
              <w:fldChar w:fldCharType="end"/>
            </w:r>
          </w:hyperlink>
        </w:p>
        <w:p w14:paraId="390688E0" w14:textId="77777777" w:rsidR="00E3018B" w:rsidRDefault="00E3018B">
          <w:pPr>
            <w:pStyle w:val="32"/>
            <w:rPr>
              <w:rFonts w:asciiTheme="minorHAnsi" w:eastAsiaTheme="minorEastAsia" w:hAnsiTheme="minorHAnsi" w:cstheme="minorBidi"/>
            </w:rPr>
          </w:pPr>
          <w:hyperlink w:anchor="_Toc127370280" w:history="1">
            <w:r w:rsidRPr="00097654">
              <w:rPr>
                <w:rStyle w:val="afb"/>
                <w:rFonts w:eastAsia="Calibri" w:cs="Arial"/>
                <w:b/>
              </w:rPr>
              <w:t>4. Изпиране на пари.</w:t>
            </w:r>
            <w:r>
              <w:rPr>
                <w:webHidden/>
              </w:rPr>
              <w:tab/>
            </w:r>
            <w:r>
              <w:rPr>
                <w:webHidden/>
              </w:rPr>
              <w:fldChar w:fldCharType="begin"/>
            </w:r>
            <w:r>
              <w:rPr>
                <w:webHidden/>
              </w:rPr>
              <w:instrText xml:space="preserve"> PAGEREF _Toc127370280 \h </w:instrText>
            </w:r>
            <w:r>
              <w:rPr>
                <w:webHidden/>
              </w:rPr>
            </w:r>
            <w:r>
              <w:rPr>
                <w:webHidden/>
              </w:rPr>
              <w:fldChar w:fldCharType="separate"/>
            </w:r>
            <w:r w:rsidR="00594361">
              <w:rPr>
                <w:webHidden/>
              </w:rPr>
              <w:t>63</w:t>
            </w:r>
            <w:r>
              <w:rPr>
                <w:webHidden/>
              </w:rPr>
              <w:fldChar w:fldCharType="end"/>
            </w:r>
          </w:hyperlink>
        </w:p>
        <w:p w14:paraId="202DB154" w14:textId="77777777" w:rsidR="00E3018B" w:rsidRDefault="00E3018B">
          <w:pPr>
            <w:pStyle w:val="32"/>
            <w:rPr>
              <w:rFonts w:asciiTheme="minorHAnsi" w:eastAsiaTheme="minorEastAsia" w:hAnsiTheme="minorHAnsi" w:cstheme="minorBidi"/>
            </w:rPr>
          </w:pPr>
          <w:hyperlink w:anchor="_Toc127370283" w:history="1">
            <w:r w:rsidRPr="00097654">
              <w:rPr>
                <w:rStyle w:val="afb"/>
                <w:rFonts w:eastAsia="Calibri" w:cs="Arial"/>
                <w:b/>
              </w:rPr>
              <w:t>5. Дела с предмет – имущество и/или средства от фондове, принадлежащи на Европейския съюз или предоставени от ЕС на Българската държава.</w:t>
            </w:r>
            <w:r>
              <w:rPr>
                <w:webHidden/>
              </w:rPr>
              <w:tab/>
            </w:r>
            <w:r>
              <w:rPr>
                <w:webHidden/>
              </w:rPr>
              <w:fldChar w:fldCharType="begin"/>
            </w:r>
            <w:r>
              <w:rPr>
                <w:webHidden/>
              </w:rPr>
              <w:instrText xml:space="preserve"> PAGEREF _Toc127370283 \h </w:instrText>
            </w:r>
            <w:r>
              <w:rPr>
                <w:webHidden/>
              </w:rPr>
            </w:r>
            <w:r>
              <w:rPr>
                <w:webHidden/>
              </w:rPr>
              <w:fldChar w:fldCharType="separate"/>
            </w:r>
            <w:r w:rsidR="00594361">
              <w:rPr>
                <w:webHidden/>
              </w:rPr>
              <w:t>64</w:t>
            </w:r>
            <w:r>
              <w:rPr>
                <w:webHidden/>
              </w:rPr>
              <w:fldChar w:fldCharType="end"/>
            </w:r>
          </w:hyperlink>
        </w:p>
        <w:p w14:paraId="13F8B9C3" w14:textId="77777777" w:rsidR="00E3018B" w:rsidRDefault="00E3018B">
          <w:pPr>
            <w:pStyle w:val="32"/>
            <w:rPr>
              <w:rFonts w:asciiTheme="minorHAnsi" w:eastAsiaTheme="minorEastAsia" w:hAnsiTheme="minorHAnsi" w:cstheme="minorBidi"/>
            </w:rPr>
          </w:pPr>
          <w:hyperlink w:anchor="_Toc127370284" w:history="1">
            <w:r w:rsidRPr="00097654">
              <w:rPr>
                <w:rStyle w:val="afb"/>
                <w:rFonts w:eastAsia="Calibri" w:cs="Arial"/>
                <w:b/>
                <w:i/>
              </w:rPr>
              <w:t>6. Данъчни престъпления.</w:t>
            </w:r>
            <w:r>
              <w:rPr>
                <w:webHidden/>
              </w:rPr>
              <w:tab/>
            </w:r>
            <w:r>
              <w:rPr>
                <w:webHidden/>
              </w:rPr>
              <w:fldChar w:fldCharType="begin"/>
            </w:r>
            <w:r>
              <w:rPr>
                <w:webHidden/>
              </w:rPr>
              <w:instrText xml:space="preserve"> PAGEREF _Toc127370284 \h </w:instrText>
            </w:r>
            <w:r>
              <w:rPr>
                <w:webHidden/>
              </w:rPr>
            </w:r>
            <w:r>
              <w:rPr>
                <w:webHidden/>
              </w:rPr>
              <w:fldChar w:fldCharType="separate"/>
            </w:r>
            <w:r w:rsidR="00594361">
              <w:rPr>
                <w:webHidden/>
              </w:rPr>
              <w:t>65</w:t>
            </w:r>
            <w:r>
              <w:rPr>
                <w:webHidden/>
              </w:rPr>
              <w:fldChar w:fldCharType="end"/>
            </w:r>
          </w:hyperlink>
        </w:p>
        <w:p w14:paraId="45A9FCA5" w14:textId="77777777" w:rsidR="00E3018B" w:rsidRDefault="00E3018B">
          <w:pPr>
            <w:pStyle w:val="32"/>
            <w:rPr>
              <w:rFonts w:asciiTheme="minorHAnsi" w:eastAsiaTheme="minorEastAsia" w:hAnsiTheme="minorHAnsi" w:cstheme="minorBidi"/>
            </w:rPr>
          </w:pPr>
          <w:hyperlink w:anchor="_Toc127370287" w:history="1">
            <w:r w:rsidRPr="00097654">
              <w:rPr>
                <w:rStyle w:val="afb"/>
                <w:rFonts w:eastAsia="Calibri" w:cs="Arial"/>
                <w:b/>
              </w:rPr>
              <w:t>7. Дела, образувани за престъпления, свързани с изготвяне, прекарване в обръщение и използване на неистински и преправени парични знаци и банкови карти. Решения на прокурора и съда по тях.</w:t>
            </w:r>
            <w:r>
              <w:rPr>
                <w:webHidden/>
              </w:rPr>
              <w:tab/>
            </w:r>
            <w:r>
              <w:rPr>
                <w:webHidden/>
              </w:rPr>
              <w:fldChar w:fldCharType="begin"/>
            </w:r>
            <w:r>
              <w:rPr>
                <w:webHidden/>
              </w:rPr>
              <w:instrText xml:space="preserve"> PAGEREF _Toc127370287 \h </w:instrText>
            </w:r>
            <w:r>
              <w:rPr>
                <w:webHidden/>
              </w:rPr>
            </w:r>
            <w:r>
              <w:rPr>
                <w:webHidden/>
              </w:rPr>
              <w:fldChar w:fldCharType="separate"/>
            </w:r>
            <w:r w:rsidR="00594361">
              <w:rPr>
                <w:webHidden/>
              </w:rPr>
              <w:t>66</w:t>
            </w:r>
            <w:r>
              <w:rPr>
                <w:webHidden/>
              </w:rPr>
              <w:fldChar w:fldCharType="end"/>
            </w:r>
          </w:hyperlink>
        </w:p>
        <w:p w14:paraId="6D565E8F" w14:textId="77777777" w:rsidR="00E3018B" w:rsidRDefault="00E3018B">
          <w:pPr>
            <w:pStyle w:val="32"/>
            <w:rPr>
              <w:rFonts w:asciiTheme="minorHAnsi" w:eastAsiaTheme="minorEastAsia" w:hAnsiTheme="minorHAnsi" w:cstheme="minorBidi"/>
            </w:rPr>
          </w:pPr>
          <w:hyperlink w:anchor="_Toc127370291" w:history="1">
            <w:r w:rsidRPr="00097654">
              <w:rPr>
                <w:rStyle w:val="afb"/>
                <w:rFonts w:eastAsia="Calibri" w:cs="Arial"/>
                <w:b/>
              </w:rPr>
              <w:t>8. Дела с предмет митническа контрабанда.</w:t>
            </w:r>
            <w:r>
              <w:rPr>
                <w:webHidden/>
              </w:rPr>
              <w:tab/>
            </w:r>
            <w:r>
              <w:rPr>
                <w:webHidden/>
              </w:rPr>
              <w:fldChar w:fldCharType="begin"/>
            </w:r>
            <w:r>
              <w:rPr>
                <w:webHidden/>
              </w:rPr>
              <w:instrText xml:space="preserve"> PAGEREF _Toc127370291 \h </w:instrText>
            </w:r>
            <w:r>
              <w:rPr>
                <w:webHidden/>
              </w:rPr>
            </w:r>
            <w:r>
              <w:rPr>
                <w:webHidden/>
              </w:rPr>
              <w:fldChar w:fldCharType="separate"/>
            </w:r>
            <w:r w:rsidR="00594361">
              <w:rPr>
                <w:webHidden/>
              </w:rPr>
              <w:t>68</w:t>
            </w:r>
            <w:r>
              <w:rPr>
                <w:webHidden/>
              </w:rPr>
              <w:fldChar w:fldCharType="end"/>
            </w:r>
          </w:hyperlink>
        </w:p>
        <w:p w14:paraId="25768C5C" w14:textId="77777777" w:rsidR="00E3018B" w:rsidRDefault="00E3018B">
          <w:pPr>
            <w:pStyle w:val="32"/>
            <w:rPr>
              <w:rFonts w:asciiTheme="minorHAnsi" w:eastAsiaTheme="minorEastAsia" w:hAnsiTheme="minorHAnsi" w:cstheme="minorBidi"/>
            </w:rPr>
          </w:pPr>
          <w:hyperlink w:anchor="_Toc127370292" w:history="1">
            <w:r w:rsidRPr="00097654">
              <w:rPr>
                <w:rStyle w:val="afb"/>
                <w:rFonts w:eastAsia="Calibri" w:cs="Arial"/>
                <w:b/>
              </w:rPr>
              <w:t>9. Дела с предмет наркотични вещества и прекурсори</w:t>
            </w:r>
            <w:r w:rsidRPr="00097654">
              <w:rPr>
                <w:rStyle w:val="afb"/>
                <w:rFonts w:eastAsia="Calibri" w:cs="Arial"/>
              </w:rPr>
              <w:t>.</w:t>
            </w:r>
            <w:r>
              <w:rPr>
                <w:webHidden/>
              </w:rPr>
              <w:tab/>
            </w:r>
            <w:r>
              <w:rPr>
                <w:webHidden/>
              </w:rPr>
              <w:fldChar w:fldCharType="begin"/>
            </w:r>
            <w:r>
              <w:rPr>
                <w:webHidden/>
              </w:rPr>
              <w:instrText xml:space="preserve"> PAGEREF _Toc127370292 \h </w:instrText>
            </w:r>
            <w:r>
              <w:rPr>
                <w:webHidden/>
              </w:rPr>
            </w:r>
            <w:r>
              <w:rPr>
                <w:webHidden/>
              </w:rPr>
              <w:fldChar w:fldCharType="separate"/>
            </w:r>
            <w:r w:rsidR="00594361">
              <w:rPr>
                <w:webHidden/>
              </w:rPr>
              <w:t>68</w:t>
            </w:r>
            <w:r>
              <w:rPr>
                <w:webHidden/>
              </w:rPr>
              <w:fldChar w:fldCharType="end"/>
            </w:r>
          </w:hyperlink>
        </w:p>
        <w:p w14:paraId="57876A35" w14:textId="77777777" w:rsidR="00E3018B" w:rsidRDefault="00E3018B">
          <w:pPr>
            <w:pStyle w:val="32"/>
            <w:rPr>
              <w:rFonts w:asciiTheme="minorHAnsi" w:eastAsiaTheme="minorEastAsia" w:hAnsiTheme="minorHAnsi" w:cstheme="minorBidi"/>
            </w:rPr>
          </w:pPr>
          <w:hyperlink w:anchor="_Toc127370297" w:history="1">
            <w:r w:rsidRPr="00097654">
              <w:rPr>
                <w:rStyle w:val="afb"/>
                <w:rFonts w:eastAsia="Calibri" w:cs="Arial"/>
              </w:rPr>
              <w:t>10. Дела, образувани за престъпления, свързани с незаконен трафик на хора:</w:t>
            </w:r>
            <w:r>
              <w:rPr>
                <w:webHidden/>
              </w:rPr>
              <w:tab/>
            </w:r>
            <w:r>
              <w:rPr>
                <w:webHidden/>
              </w:rPr>
              <w:fldChar w:fldCharType="begin"/>
            </w:r>
            <w:r>
              <w:rPr>
                <w:webHidden/>
              </w:rPr>
              <w:instrText xml:space="preserve"> PAGEREF _Toc127370297 \h </w:instrText>
            </w:r>
            <w:r>
              <w:rPr>
                <w:webHidden/>
              </w:rPr>
            </w:r>
            <w:r>
              <w:rPr>
                <w:webHidden/>
              </w:rPr>
              <w:fldChar w:fldCharType="separate"/>
            </w:r>
            <w:r w:rsidR="00594361">
              <w:rPr>
                <w:webHidden/>
              </w:rPr>
              <w:t>70</w:t>
            </w:r>
            <w:r>
              <w:rPr>
                <w:webHidden/>
              </w:rPr>
              <w:fldChar w:fldCharType="end"/>
            </w:r>
          </w:hyperlink>
        </w:p>
        <w:p w14:paraId="60675B40" w14:textId="77777777" w:rsidR="00E3018B" w:rsidRDefault="00E3018B">
          <w:pPr>
            <w:pStyle w:val="32"/>
            <w:rPr>
              <w:rFonts w:asciiTheme="minorHAnsi" w:eastAsiaTheme="minorEastAsia" w:hAnsiTheme="minorHAnsi" w:cstheme="minorBidi"/>
            </w:rPr>
          </w:pPr>
          <w:hyperlink w:anchor="_Toc127370302" w:history="1">
            <w:r w:rsidRPr="00097654">
              <w:rPr>
                <w:rStyle w:val="afb"/>
                <w:rFonts w:eastAsia="Calibri" w:cs="Arial"/>
              </w:rPr>
              <w:t>11. Дела, образувани за престъпления, извършени от непълнолетни лица:</w:t>
            </w:r>
            <w:r>
              <w:rPr>
                <w:webHidden/>
              </w:rPr>
              <w:tab/>
            </w:r>
            <w:r>
              <w:rPr>
                <w:webHidden/>
              </w:rPr>
              <w:fldChar w:fldCharType="begin"/>
            </w:r>
            <w:r>
              <w:rPr>
                <w:webHidden/>
              </w:rPr>
              <w:instrText xml:space="preserve"> PAGEREF _Toc127370302 \h </w:instrText>
            </w:r>
            <w:r>
              <w:rPr>
                <w:webHidden/>
              </w:rPr>
            </w:r>
            <w:r>
              <w:rPr>
                <w:webHidden/>
              </w:rPr>
              <w:fldChar w:fldCharType="separate"/>
            </w:r>
            <w:r w:rsidR="00594361">
              <w:rPr>
                <w:webHidden/>
              </w:rPr>
              <w:t>71</w:t>
            </w:r>
            <w:r>
              <w:rPr>
                <w:webHidden/>
              </w:rPr>
              <w:fldChar w:fldCharType="end"/>
            </w:r>
          </w:hyperlink>
        </w:p>
        <w:p w14:paraId="56B51FA0" w14:textId="77777777" w:rsidR="00E3018B" w:rsidRDefault="00E3018B">
          <w:pPr>
            <w:pStyle w:val="22"/>
            <w:tabs>
              <w:tab w:val="right" w:leader="dot" w:pos="9487"/>
            </w:tabs>
            <w:rPr>
              <w:noProof/>
            </w:rPr>
          </w:pPr>
          <w:hyperlink w:anchor="_Toc127370307" w:history="1">
            <w:r w:rsidRPr="00097654">
              <w:rPr>
                <w:rStyle w:val="afb"/>
                <w:rFonts w:ascii="Times New Roman" w:eastAsia="Calibri" w:hAnsi="Times New Roman" w:cs="Arial"/>
                <w:b/>
                <w:iCs/>
                <w:noProof/>
              </w:rPr>
              <w:t>IV. МЕЖДУНАРОДНО – ПРАВНО СЪТРУДНИЧЕСТВО</w:t>
            </w:r>
            <w:r>
              <w:rPr>
                <w:noProof/>
                <w:webHidden/>
              </w:rPr>
              <w:tab/>
            </w:r>
            <w:r>
              <w:rPr>
                <w:noProof/>
                <w:webHidden/>
              </w:rPr>
              <w:fldChar w:fldCharType="begin"/>
            </w:r>
            <w:r>
              <w:rPr>
                <w:noProof/>
                <w:webHidden/>
              </w:rPr>
              <w:instrText xml:space="preserve"> PAGEREF _Toc127370307 \h </w:instrText>
            </w:r>
            <w:r>
              <w:rPr>
                <w:noProof/>
                <w:webHidden/>
              </w:rPr>
            </w:r>
            <w:r>
              <w:rPr>
                <w:noProof/>
                <w:webHidden/>
              </w:rPr>
              <w:fldChar w:fldCharType="separate"/>
            </w:r>
            <w:r w:rsidR="00594361">
              <w:rPr>
                <w:noProof/>
                <w:webHidden/>
              </w:rPr>
              <w:t>73</w:t>
            </w:r>
            <w:r>
              <w:rPr>
                <w:noProof/>
                <w:webHidden/>
              </w:rPr>
              <w:fldChar w:fldCharType="end"/>
            </w:r>
          </w:hyperlink>
        </w:p>
        <w:p w14:paraId="7D8B311C" w14:textId="77777777" w:rsidR="00E3018B" w:rsidRDefault="00E3018B">
          <w:pPr>
            <w:pStyle w:val="22"/>
            <w:tabs>
              <w:tab w:val="right" w:leader="dot" w:pos="9487"/>
            </w:tabs>
            <w:rPr>
              <w:noProof/>
            </w:rPr>
          </w:pPr>
          <w:hyperlink w:anchor="_Toc127370308" w:history="1">
            <w:r w:rsidRPr="00097654">
              <w:rPr>
                <w:rStyle w:val="afb"/>
                <w:rFonts w:ascii="Times New Roman" w:hAnsi="Times New Roman" w:cs="Arial"/>
                <w:b/>
                <w:iCs/>
                <w:noProof/>
              </w:rPr>
              <w:t>V. АДМИНИСТРАТИВНА И КОНТРОЛНО-РЕВИЗИОННА ДЕЙНОСТ:</w:t>
            </w:r>
            <w:r>
              <w:rPr>
                <w:noProof/>
                <w:webHidden/>
              </w:rPr>
              <w:tab/>
            </w:r>
            <w:r>
              <w:rPr>
                <w:noProof/>
                <w:webHidden/>
              </w:rPr>
              <w:fldChar w:fldCharType="begin"/>
            </w:r>
            <w:r>
              <w:rPr>
                <w:noProof/>
                <w:webHidden/>
              </w:rPr>
              <w:instrText xml:space="preserve"> PAGEREF _Toc127370308 \h </w:instrText>
            </w:r>
            <w:r>
              <w:rPr>
                <w:noProof/>
                <w:webHidden/>
              </w:rPr>
            </w:r>
            <w:r>
              <w:rPr>
                <w:noProof/>
                <w:webHidden/>
              </w:rPr>
              <w:fldChar w:fldCharType="separate"/>
            </w:r>
            <w:r w:rsidR="00594361">
              <w:rPr>
                <w:noProof/>
                <w:webHidden/>
              </w:rPr>
              <w:t>75</w:t>
            </w:r>
            <w:r>
              <w:rPr>
                <w:noProof/>
                <w:webHidden/>
              </w:rPr>
              <w:fldChar w:fldCharType="end"/>
            </w:r>
          </w:hyperlink>
        </w:p>
        <w:p w14:paraId="5FE80644" w14:textId="77777777" w:rsidR="00E3018B" w:rsidRDefault="00E3018B">
          <w:pPr>
            <w:pStyle w:val="22"/>
            <w:tabs>
              <w:tab w:val="right" w:leader="dot" w:pos="9487"/>
            </w:tabs>
            <w:rPr>
              <w:noProof/>
            </w:rPr>
          </w:pPr>
          <w:hyperlink w:anchor="_Toc127370309" w:history="1">
            <w:r w:rsidRPr="00097654">
              <w:rPr>
                <w:rStyle w:val="afb"/>
                <w:rFonts w:ascii="Times New Roman" w:hAnsi="Times New Roman" w:cs="Arial"/>
                <w:b/>
                <w:iCs/>
                <w:noProof/>
              </w:rPr>
              <w:t>1. Кадрово обезпечаване на прокурорите, следователите и служителите.</w:t>
            </w:r>
            <w:r>
              <w:rPr>
                <w:noProof/>
                <w:webHidden/>
              </w:rPr>
              <w:tab/>
            </w:r>
            <w:r>
              <w:rPr>
                <w:noProof/>
                <w:webHidden/>
              </w:rPr>
              <w:fldChar w:fldCharType="begin"/>
            </w:r>
            <w:r>
              <w:rPr>
                <w:noProof/>
                <w:webHidden/>
              </w:rPr>
              <w:instrText xml:space="preserve"> PAGEREF _Toc127370309 \h </w:instrText>
            </w:r>
            <w:r>
              <w:rPr>
                <w:noProof/>
                <w:webHidden/>
              </w:rPr>
            </w:r>
            <w:r>
              <w:rPr>
                <w:noProof/>
                <w:webHidden/>
              </w:rPr>
              <w:fldChar w:fldCharType="separate"/>
            </w:r>
            <w:r w:rsidR="00594361">
              <w:rPr>
                <w:noProof/>
                <w:webHidden/>
              </w:rPr>
              <w:t>75</w:t>
            </w:r>
            <w:r>
              <w:rPr>
                <w:noProof/>
                <w:webHidden/>
              </w:rPr>
              <w:fldChar w:fldCharType="end"/>
            </w:r>
          </w:hyperlink>
        </w:p>
        <w:p w14:paraId="63454BB9" w14:textId="77777777" w:rsidR="00E3018B" w:rsidRDefault="00E3018B">
          <w:pPr>
            <w:pStyle w:val="22"/>
            <w:tabs>
              <w:tab w:val="right" w:leader="dot" w:pos="9487"/>
            </w:tabs>
            <w:rPr>
              <w:noProof/>
            </w:rPr>
          </w:pPr>
          <w:hyperlink w:anchor="_Toc127370310" w:history="1">
            <w:r w:rsidRPr="00097654">
              <w:rPr>
                <w:rStyle w:val="afb"/>
                <w:rFonts w:ascii="Times New Roman" w:hAnsi="Times New Roman" w:cs="Arial"/>
                <w:b/>
                <w:iCs/>
                <w:noProof/>
              </w:rPr>
              <w:t>2. Професионална квалификация на магистратите и служителите.</w:t>
            </w:r>
            <w:r>
              <w:rPr>
                <w:noProof/>
                <w:webHidden/>
              </w:rPr>
              <w:tab/>
            </w:r>
            <w:r>
              <w:rPr>
                <w:noProof/>
                <w:webHidden/>
              </w:rPr>
              <w:fldChar w:fldCharType="begin"/>
            </w:r>
            <w:r>
              <w:rPr>
                <w:noProof/>
                <w:webHidden/>
              </w:rPr>
              <w:instrText xml:space="preserve"> PAGEREF _Toc127370310 \h </w:instrText>
            </w:r>
            <w:r>
              <w:rPr>
                <w:noProof/>
                <w:webHidden/>
              </w:rPr>
            </w:r>
            <w:r>
              <w:rPr>
                <w:noProof/>
                <w:webHidden/>
              </w:rPr>
              <w:fldChar w:fldCharType="separate"/>
            </w:r>
            <w:r w:rsidR="00594361">
              <w:rPr>
                <w:noProof/>
                <w:webHidden/>
              </w:rPr>
              <w:t>76</w:t>
            </w:r>
            <w:r>
              <w:rPr>
                <w:noProof/>
                <w:webHidden/>
              </w:rPr>
              <w:fldChar w:fldCharType="end"/>
            </w:r>
          </w:hyperlink>
        </w:p>
        <w:p w14:paraId="7476DD0F" w14:textId="77777777" w:rsidR="00E3018B" w:rsidRDefault="00E3018B">
          <w:pPr>
            <w:pStyle w:val="22"/>
            <w:tabs>
              <w:tab w:val="right" w:leader="dot" w:pos="9487"/>
            </w:tabs>
            <w:rPr>
              <w:noProof/>
            </w:rPr>
          </w:pPr>
          <w:hyperlink w:anchor="_Toc127370311" w:history="1">
            <w:r w:rsidRPr="00097654">
              <w:rPr>
                <w:rStyle w:val="afb"/>
                <w:rFonts w:ascii="Times New Roman" w:eastAsia="Calibri" w:hAnsi="Times New Roman" w:cs="Arial"/>
                <w:b/>
                <w:iCs/>
                <w:noProof/>
              </w:rPr>
              <w:t>3. Кадрово обезпечаване на разследващите органи.</w:t>
            </w:r>
            <w:r>
              <w:rPr>
                <w:noProof/>
                <w:webHidden/>
              </w:rPr>
              <w:tab/>
            </w:r>
            <w:r>
              <w:rPr>
                <w:noProof/>
                <w:webHidden/>
              </w:rPr>
              <w:fldChar w:fldCharType="begin"/>
            </w:r>
            <w:r>
              <w:rPr>
                <w:noProof/>
                <w:webHidden/>
              </w:rPr>
              <w:instrText xml:space="preserve"> PAGEREF _Toc127370311 \h </w:instrText>
            </w:r>
            <w:r>
              <w:rPr>
                <w:noProof/>
                <w:webHidden/>
              </w:rPr>
            </w:r>
            <w:r>
              <w:rPr>
                <w:noProof/>
                <w:webHidden/>
              </w:rPr>
              <w:fldChar w:fldCharType="separate"/>
            </w:r>
            <w:r w:rsidR="00594361">
              <w:rPr>
                <w:noProof/>
                <w:webHidden/>
              </w:rPr>
              <w:t>76</w:t>
            </w:r>
            <w:r>
              <w:rPr>
                <w:noProof/>
                <w:webHidden/>
              </w:rPr>
              <w:fldChar w:fldCharType="end"/>
            </w:r>
          </w:hyperlink>
        </w:p>
        <w:p w14:paraId="0F0B7506" w14:textId="77777777" w:rsidR="00E3018B" w:rsidRDefault="00E3018B">
          <w:pPr>
            <w:pStyle w:val="22"/>
            <w:tabs>
              <w:tab w:val="right" w:leader="dot" w:pos="9487"/>
            </w:tabs>
            <w:rPr>
              <w:noProof/>
            </w:rPr>
          </w:pPr>
          <w:hyperlink w:anchor="_Toc127370312" w:history="1">
            <w:r w:rsidRPr="00097654">
              <w:rPr>
                <w:rStyle w:val="afb"/>
                <w:rFonts w:ascii="Times New Roman" w:eastAsia="Calibri" w:hAnsi="Times New Roman" w:cs="Arial"/>
                <w:b/>
                <w:iCs/>
                <w:noProof/>
              </w:rPr>
              <w:t>4. Контролно-ревизионна дейност.</w:t>
            </w:r>
            <w:r>
              <w:rPr>
                <w:noProof/>
                <w:webHidden/>
              </w:rPr>
              <w:tab/>
            </w:r>
            <w:r>
              <w:rPr>
                <w:noProof/>
                <w:webHidden/>
              </w:rPr>
              <w:fldChar w:fldCharType="begin"/>
            </w:r>
            <w:r>
              <w:rPr>
                <w:noProof/>
                <w:webHidden/>
              </w:rPr>
              <w:instrText xml:space="preserve"> PAGEREF _Toc127370312 \h </w:instrText>
            </w:r>
            <w:r>
              <w:rPr>
                <w:noProof/>
                <w:webHidden/>
              </w:rPr>
            </w:r>
            <w:r>
              <w:rPr>
                <w:noProof/>
                <w:webHidden/>
              </w:rPr>
              <w:fldChar w:fldCharType="separate"/>
            </w:r>
            <w:r w:rsidR="00594361">
              <w:rPr>
                <w:noProof/>
                <w:webHidden/>
              </w:rPr>
              <w:t>78</w:t>
            </w:r>
            <w:r>
              <w:rPr>
                <w:noProof/>
                <w:webHidden/>
              </w:rPr>
              <w:fldChar w:fldCharType="end"/>
            </w:r>
          </w:hyperlink>
        </w:p>
        <w:p w14:paraId="0551A384" w14:textId="77777777" w:rsidR="00E3018B" w:rsidRDefault="00E3018B">
          <w:pPr>
            <w:pStyle w:val="22"/>
            <w:tabs>
              <w:tab w:val="right" w:leader="dot" w:pos="9487"/>
            </w:tabs>
            <w:rPr>
              <w:noProof/>
            </w:rPr>
          </w:pPr>
          <w:hyperlink w:anchor="_Toc127370314" w:history="1">
            <w:r w:rsidRPr="00097654">
              <w:rPr>
                <w:rStyle w:val="afb"/>
                <w:rFonts w:ascii="Times New Roman" w:eastAsia="Calibri" w:hAnsi="Times New Roman" w:cs="Arial"/>
                <w:b/>
                <w:iCs/>
                <w:noProof/>
              </w:rPr>
              <w:t>5. Дисциплинарни наказания и поощрения на магистрати:</w:t>
            </w:r>
            <w:r>
              <w:rPr>
                <w:noProof/>
                <w:webHidden/>
              </w:rPr>
              <w:tab/>
            </w:r>
            <w:r>
              <w:rPr>
                <w:noProof/>
                <w:webHidden/>
              </w:rPr>
              <w:fldChar w:fldCharType="begin"/>
            </w:r>
            <w:r>
              <w:rPr>
                <w:noProof/>
                <w:webHidden/>
              </w:rPr>
              <w:instrText xml:space="preserve"> PAGEREF _Toc127370314 \h </w:instrText>
            </w:r>
            <w:r>
              <w:rPr>
                <w:noProof/>
                <w:webHidden/>
              </w:rPr>
            </w:r>
            <w:r>
              <w:rPr>
                <w:noProof/>
                <w:webHidden/>
              </w:rPr>
              <w:fldChar w:fldCharType="separate"/>
            </w:r>
            <w:r w:rsidR="00594361">
              <w:rPr>
                <w:noProof/>
                <w:webHidden/>
              </w:rPr>
              <w:t>80</w:t>
            </w:r>
            <w:r>
              <w:rPr>
                <w:noProof/>
                <w:webHidden/>
              </w:rPr>
              <w:fldChar w:fldCharType="end"/>
            </w:r>
          </w:hyperlink>
        </w:p>
        <w:p w14:paraId="27FAB3A1" w14:textId="77777777" w:rsidR="00E3018B" w:rsidRDefault="00E3018B">
          <w:pPr>
            <w:pStyle w:val="22"/>
            <w:tabs>
              <w:tab w:val="right" w:leader="dot" w:pos="9487"/>
            </w:tabs>
            <w:rPr>
              <w:noProof/>
            </w:rPr>
          </w:pPr>
          <w:hyperlink w:anchor="_Toc127370315" w:history="1">
            <w:r w:rsidRPr="00097654">
              <w:rPr>
                <w:rStyle w:val="afb"/>
                <w:rFonts w:ascii="Times New Roman" w:eastAsia="Calibri" w:hAnsi="Times New Roman" w:cs="Arial"/>
                <w:b/>
                <w:iCs/>
                <w:noProof/>
              </w:rPr>
              <w:t>6. Материално-техническо и информационно осигуряване на дейността на магистратите.</w:t>
            </w:r>
            <w:r>
              <w:rPr>
                <w:noProof/>
                <w:webHidden/>
              </w:rPr>
              <w:tab/>
            </w:r>
            <w:r>
              <w:rPr>
                <w:noProof/>
                <w:webHidden/>
              </w:rPr>
              <w:fldChar w:fldCharType="begin"/>
            </w:r>
            <w:r>
              <w:rPr>
                <w:noProof/>
                <w:webHidden/>
              </w:rPr>
              <w:instrText xml:space="preserve"> PAGEREF _Toc127370315 \h </w:instrText>
            </w:r>
            <w:r>
              <w:rPr>
                <w:noProof/>
                <w:webHidden/>
              </w:rPr>
            </w:r>
            <w:r>
              <w:rPr>
                <w:noProof/>
                <w:webHidden/>
              </w:rPr>
              <w:fldChar w:fldCharType="separate"/>
            </w:r>
            <w:r w:rsidR="00594361">
              <w:rPr>
                <w:noProof/>
                <w:webHidden/>
              </w:rPr>
              <w:t>80</w:t>
            </w:r>
            <w:r>
              <w:rPr>
                <w:noProof/>
                <w:webHidden/>
              </w:rPr>
              <w:fldChar w:fldCharType="end"/>
            </w:r>
          </w:hyperlink>
        </w:p>
        <w:p w14:paraId="57C9F590" w14:textId="77777777" w:rsidR="00E3018B" w:rsidRDefault="00E3018B">
          <w:pPr>
            <w:pStyle w:val="22"/>
            <w:tabs>
              <w:tab w:val="right" w:leader="dot" w:pos="9487"/>
            </w:tabs>
            <w:rPr>
              <w:noProof/>
            </w:rPr>
          </w:pPr>
          <w:hyperlink w:anchor="_Toc127370316" w:history="1">
            <w:r w:rsidRPr="00097654">
              <w:rPr>
                <w:rStyle w:val="afb"/>
                <w:rFonts w:ascii="Times New Roman" w:eastAsia="Calibri" w:hAnsi="Times New Roman" w:cs="Arial"/>
                <w:b/>
                <w:noProof/>
              </w:rPr>
              <w:t>VI. НАТОВАРЕНОСТ НА ПРОКУРОРСКИТЕ И НА СЛЕДСТВЕНИТЕ ОРГАНИ</w:t>
            </w:r>
            <w:r>
              <w:rPr>
                <w:noProof/>
                <w:webHidden/>
              </w:rPr>
              <w:tab/>
            </w:r>
            <w:r>
              <w:rPr>
                <w:noProof/>
                <w:webHidden/>
              </w:rPr>
              <w:fldChar w:fldCharType="begin"/>
            </w:r>
            <w:r>
              <w:rPr>
                <w:noProof/>
                <w:webHidden/>
              </w:rPr>
              <w:instrText xml:space="preserve"> PAGEREF _Toc127370316 \h </w:instrText>
            </w:r>
            <w:r>
              <w:rPr>
                <w:noProof/>
                <w:webHidden/>
              </w:rPr>
            </w:r>
            <w:r>
              <w:rPr>
                <w:noProof/>
                <w:webHidden/>
              </w:rPr>
              <w:fldChar w:fldCharType="separate"/>
            </w:r>
            <w:r w:rsidR="00594361">
              <w:rPr>
                <w:noProof/>
                <w:webHidden/>
              </w:rPr>
              <w:t>83</w:t>
            </w:r>
            <w:r>
              <w:rPr>
                <w:noProof/>
                <w:webHidden/>
              </w:rPr>
              <w:fldChar w:fldCharType="end"/>
            </w:r>
          </w:hyperlink>
        </w:p>
        <w:p w14:paraId="66E7AAFE" w14:textId="37C86E29" w:rsidR="00E3018B" w:rsidRDefault="00E3018B">
          <w:pPr>
            <w:pStyle w:val="14"/>
            <w:tabs>
              <w:tab w:val="right" w:leader="dot" w:pos="9487"/>
            </w:tabs>
            <w:rPr>
              <w:noProof/>
            </w:rPr>
          </w:pPr>
          <w:hyperlink w:anchor="_Toc127370317" w:history="1">
            <w:r w:rsidRPr="00097654">
              <w:rPr>
                <w:rStyle w:val="afb"/>
                <w:rFonts w:ascii="Times New Roman" w:hAnsi="Times New Roman" w:cs="Times New Roman"/>
                <w:b/>
                <w:caps/>
                <w:noProof/>
                <w:kern w:val="32"/>
              </w:rPr>
              <w:t xml:space="preserve">РАЗДЕЛ </w:t>
            </w:r>
            <w:r w:rsidRPr="00097654">
              <w:rPr>
                <w:rStyle w:val="afb"/>
                <w:rFonts w:ascii="Times New Roman" w:hAnsi="Times New Roman" w:cs="Times New Roman"/>
                <w:b/>
                <w:caps/>
                <w:noProof/>
                <w:kern w:val="32"/>
                <w:lang w:val="en-US"/>
              </w:rPr>
              <w:t>III</w:t>
            </w:r>
            <w:r>
              <w:rPr>
                <w:rStyle w:val="afb"/>
                <w:rFonts w:ascii="Times New Roman" w:hAnsi="Times New Roman" w:cs="Times New Roman"/>
                <w:b/>
                <w:caps/>
                <w:noProof/>
                <w:kern w:val="32"/>
              </w:rPr>
              <w:t xml:space="preserve"> </w:t>
            </w:r>
          </w:hyperlink>
          <w:hyperlink w:anchor="_Toc127370318" w:history="1">
            <w:r w:rsidRPr="00097654">
              <w:rPr>
                <w:rStyle w:val="afb"/>
                <w:rFonts w:ascii="Times New Roman" w:hAnsi="Times New Roman" w:cs="Times New Roman"/>
                <w:b/>
                <w:caps/>
                <w:noProof/>
                <w:kern w:val="32"/>
              </w:rPr>
              <w:t>ДЕЙНОСТ НА ВЪРХОВНАТА КАСАЦИОННА ПРОКУРАТУРА</w:t>
            </w:r>
            <w:r>
              <w:rPr>
                <w:noProof/>
                <w:webHidden/>
              </w:rPr>
              <w:tab/>
            </w:r>
            <w:r>
              <w:rPr>
                <w:noProof/>
                <w:webHidden/>
              </w:rPr>
              <w:fldChar w:fldCharType="begin"/>
            </w:r>
            <w:r>
              <w:rPr>
                <w:noProof/>
                <w:webHidden/>
              </w:rPr>
              <w:instrText xml:space="preserve"> PAGEREF _Toc127370318 \h </w:instrText>
            </w:r>
            <w:r>
              <w:rPr>
                <w:noProof/>
                <w:webHidden/>
              </w:rPr>
            </w:r>
            <w:r>
              <w:rPr>
                <w:noProof/>
                <w:webHidden/>
              </w:rPr>
              <w:fldChar w:fldCharType="separate"/>
            </w:r>
            <w:r w:rsidR="00594361">
              <w:rPr>
                <w:noProof/>
                <w:webHidden/>
              </w:rPr>
              <w:t>100</w:t>
            </w:r>
            <w:r>
              <w:rPr>
                <w:noProof/>
                <w:webHidden/>
              </w:rPr>
              <w:fldChar w:fldCharType="end"/>
            </w:r>
          </w:hyperlink>
        </w:p>
        <w:p w14:paraId="36A41B58" w14:textId="460018C4" w:rsidR="00E3018B" w:rsidRDefault="00E3018B">
          <w:pPr>
            <w:pStyle w:val="14"/>
            <w:tabs>
              <w:tab w:val="right" w:leader="dot" w:pos="9487"/>
            </w:tabs>
            <w:rPr>
              <w:noProof/>
            </w:rPr>
          </w:pPr>
          <w:hyperlink w:anchor="_Toc127370319" w:history="1">
            <w:r w:rsidRPr="00097654">
              <w:rPr>
                <w:rStyle w:val="afb"/>
                <w:rFonts w:ascii="Times New Roman" w:hAnsi="Times New Roman" w:cs="Times New Roman"/>
                <w:b/>
                <w:caps/>
                <w:noProof/>
                <w:kern w:val="32"/>
                <w:lang w:val="en-US"/>
              </w:rPr>
              <w:t>РАЗДЕЛ IV</w:t>
            </w:r>
            <w:r>
              <w:rPr>
                <w:rStyle w:val="afb"/>
                <w:rFonts w:ascii="Times New Roman" w:hAnsi="Times New Roman" w:cs="Times New Roman"/>
                <w:b/>
                <w:caps/>
                <w:noProof/>
                <w:kern w:val="32"/>
              </w:rPr>
              <w:t xml:space="preserve"> </w:t>
            </w:r>
          </w:hyperlink>
          <w:hyperlink w:anchor="_Toc127370320" w:history="1">
            <w:r w:rsidRPr="00097654">
              <w:rPr>
                <w:rStyle w:val="afb"/>
                <w:rFonts w:ascii="Times New Roman" w:hAnsi="Times New Roman" w:cs="Times New Roman"/>
                <w:b/>
                <w:caps/>
                <w:noProof/>
                <w:kern w:val="32"/>
                <w:lang w:val="en-US"/>
              </w:rPr>
              <w:t>ДЕЙНОСТ НА ТЕРИТОРИАЛНИТЕ ПРОКУРАТУРИ И НА ОКРЪЖНА ПРОКУРАТУРА МОНТАНА ПО АДМИНИСТРАТИВНОСЪДЕБНИЯ НАДЗОР И НАДЗОРА ЗА ЗАКОННОСТ</w:t>
            </w:r>
            <w:r>
              <w:rPr>
                <w:noProof/>
                <w:webHidden/>
              </w:rPr>
              <w:tab/>
            </w:r>
            <w:r>
              <w:rPr>
                <w:noProof/>
                <w:webHidden/>
              </w:rPr>
              <w:fldChar w:fldCharType="begin"/>
            </w:r>
            <w:r>
              <w:rPr>
                <w:noProof/>
                <w:webHidden/>
              </w:rPr>
              <w:instrText xml:space="preserve"> PAGEREF _Toc127370320 \h </w:instrText>
            </w:r>
            <w:r>
              <w:rPr>
                <w:noProof/>
                <w:webHidden/>
              </w:rPr>
            </w:r>
            <w:r>
              <w:rPr>
                <w:noProof/>
                <w:webHidden/>
              </w:rPr>
              <w:fldChar w:fldCharType="separate"/>
            </w:r>
            <w:r w:rsidR="00594361">
              <w:rPr>
                <w:noProof/>
                <w:webHidden/>
              </w:rPr>
              <w:t>100</w:t>
            </w:r>
            <w:r>
              <w:rPr>
                <w:noProof/>
                <w:webHidden/>
              </w:rPr>
              <w:fldChar w:fldCharType="end"/>
            </w:r>
          </w:hyperlink>
        </w:p>
        <w:p w14:paraId="50B9D775" w14:textId="77777777" w:rsidR="00E3018B" w:rsidRDefault="00E3018B">
          <w:pPr>
            <w:pStyle w:val="22"/>
            <w:tabs>
              <w:tab w:val="right" w:leader="dot" w:pos="9487"/>
            </w:tabs>
            <w:rPr>
              <w:noProof/>
            </w:rPr>
          </w:pPr>
          <w:hyperlink w:anchor="_Toc127370321" w:history="1">
            <w:r w:rsidRPr="00097654">
              <w:rPr>
                <w:rStyle w:val="afb"/>
                <w:rFonts w:ascii="Times New Roman" w:eastAsia="Calibri" w:hAnsi="Times New Roman" w:cs="Arial"/>
                <w:b/>
                <w:iCs/>
                <w:noProof/>
              </w:rPr>
              <w:t>I. ДЕЙНОСТ НА ТЕРИТОРИАЛНИТЕ ПРОКУРАТУРИ</w:t>
            </w:r>
            <w:r>
              <w:rPr>
                <w:noProof/>
                <w:webHidden/>
              </w:rPr>
              <w:tab/>
            </w:r>
            <w:r>
              <w:rPr>
                <w:noProof/>
                <w:webHidden/>
              </w:rPr>
              <w:fldChar w:fldCharType="begin"/>
            </w:r>
            <w:r>
              <w:rPr>
                <w:noProof/>
                <w:webHidden/>
              </w:rPr>
              <w:instrText xml:space="preserve"> PAGEREF _Toc127370321 \h </w:instrText>
            </w:r>
            <w:r>
              <w:rPr>
                <w:noProof/>
                <w:webHidden/>
              </w:rPr>
            </w:r>
            <w:r>
              <w:rPr>
                <w:noProof/>
                <w:webHidden/>
              </w:rPr>
              <w:fldChar w:fldCharType="separate"/>
            </w:r>
            <w:r w:rsidR="00594361">
              <w:rPr>
                <w:noProof/>
                <w:webHidden/>
              </w:rPr>
              <w:t>100</w:t>
            </w:r>
            <w:r>
              <w:rPr>
                <w:noProof/>
                <w:webHidden/>
              </w:rPr>
              <w:fldChar w:fldCharType="end"/>
            </w:r>
          </w:hyperlink>
        </w:p>
        <w:p w14:paraId="048B9134" w14:textId="77777777" w:rsidR="00E3018B" w:rsidRDefault="00E3018B">
          <w:pPr>
            <w:pStyle w:val="32"/>
            <w:rPr>
              <w:rFonts w:asciiTheme="minorHAnsi" w:eastAsiaTheme="minorEastAsia" w:hAnsiTheme="minorHAnsi" w:cstheme="minorBidi"/>
            </w:rPr>
          </w:pPr>
          <w:hyperlink w:anchor="_Toc127370322" w:history="1">
            <w:r w:rsidRPr="00097654">
              <w:rPr>
                <w:rStyle w:val="afb"/>
                <w:rFonts w:eastAsia="Calibri" w:cs="Arial"/>
                <w:b/>
              </w:rPr>
              <w:t>1. Състояние и организация на дейността по административно-съдебния надзор и надзора за законност по прилагането на закона.</w:t>
            </w:r>
            <w:r>
              <w:rPr>
                <w:webHidden/>
              </w:rPr>
              <w:tab/>
            </w:r>
            <w:r>
              <w:rPr>
                <w:webHidden/>
              </w:rPr>
              <w:fldChar w:fldCharType="begin"/>
            </w:r>
            <w:r>
              <w:rPr>
                <w:webHidden/>
              </w:rPr>
              <w:instrText xml:space="preserve"> PAGEREF _Toc127370322 \h </w:instrText>
            </w:r>
            <w:r>
              <w:rPr>
                <w:webHidden/>
              </w:rPr>
            </w:r>
            <w:r>
              <w:rPr>
                <w:webHidden/>
              </w:rPr>
              <w:fldChar w:fldCharType="separate"/>
            </w:r>
            <w:r w:rsidR="00594361">
              <w:rPr>
                <w:webHidden/>
              </w:rPr>
              <w:t>100</w:t>
            </w:r>
            <w:r>
              <w:rPr>
                <w:webHidden/>
              </w:rPr>
              <w:fldChar w:fldCharType="end"/>
            </w:r>
          </w:hyperlink>
        </w:p>
        <w:p w14:paraId="794E285E" w14:textId="77777777" w:rsidR="00E3018B" w:rsidRDefault="00E3018B">
          <w:pPr>
            <w:pStyle w:val="32"/>
            <w:rPr>
              <w:rFonts w:asciiTheme="minorHAnsi" w:eastAsiaTheme="minorEastAsia" w:hAnsiTheme="minorHAnsi" w:cstheme="minorBidi"/>
            </w:rPr>
          </w:pPr>
          <w:hyperlink w:anchor="_Toc127370323" w:history="1">
            <w:r w:rsidRPr="00097654">
              <w:rPr>
                <w:rStyle w:val="afb"/>
                <w:rFonts w:eastAsia="Calibri" w:cs="Arial"/>
                <w:b/>
              </w:rPr>
              <w:t>1.1. Кадрово обезпечаване, квалификация на прокурорите, натовареност по видове надзори и средно на един прокурор.</w:t>
            </w:r>
            <w:r>
              <w:rPr>
                <w:webHidden/>
              </w:rPr>
              <w:tab/>
            </w:r>
            <w:r>
              <w:rPr>
                <w:webHidden/>
              </w:rPr>
              <w:fldChar w:fldCharType="begin"/>
            </w:r>
            <w:r>
              <w:rPr>
                <w:webHidden/>
              </w:rPr>
              <w:instrText xml:space="preserve"> PAGEREF _Toc127370323 \h </w:instrText>
            </w:r>
            <w:r>
              <w:rPr>
                <w:webHidden/>
              </w:rPr>
            </w:r>
            <w:r>
              <w:rPr>
                <w:webHidden/>
              </w:rPr>
              <w:fldChar w:fldCharType="separate"/>
            </w:r>
            <w:r w:rsidR="00594361">
              <w:rPr>
                <w:webHidden/>
              </w:rPr>
              <w:t>101</w:t>
            </w:r>
            <w:r>
              <w:rPr>
                <w:webHidden/>
              </w:rPr>
              <w:fldChar w:fldCharType="end"/>
            </w:r>
          </w:hyperlink>
        </w:p>
        <w:p w14:paraId="466F8BFE" w14:textId="77777777" w:rsidR="00E3018B" w:rsidRDefault="00E3018B">
          <w:pPr>
            <w:pStyle w:val="32"/>
            <w:rPr>
              <w:rFonts w:asciiTheme="minorHAnsi" w:eastAsiaTheme="minorEastAsia" w:hAnsiTheme="minorHAnsi" w:cstheme="minorBidi"/>
            </w:rPr>
          </w:pPr>
          <w:hyperlink w:anchor="_Toc127370324" w:history="1">
            <w:r w:rsidRPr="00097654">
              <w:rPr>
                <w:rStyle w:val="afb"/>
                <w:rFonts w:eastAsia="Calibri" w:cs="Arial"/>
                <w:b/>
                <w:i/>
              </w:rPr>
              <w:t>1.2. Проблеми при прилагането на законовата и подзаконовата нормативна уредба и предложения за законодателни промени.</w:t>
            </w:r>
            <w:r>
              <w:rPr>
                <w:webHidden/>
              </w:rPr>
              <w:tab/>
            </w:r>
            <w:r>
              <w:rPr>
                <w:webHidden/>
              </w:rPr>
              <w:fldChar w:fldCharType="begin"/>
            </w:r>
            <w:r>
              <w:rPr>
                <w:webHidden/>
              </w:rPr>
              <w:instrText xml:space="preserve"> PAGEREF _Toc127370324 \h </w:instrText>
            </w:r>
            <w:r>
              <w:rPr>
                <w:webHidden/>
              </w:rPr>
            </w:r>
            <w:r>
              <w:rPr>
                <w:webHidden/>
              </w:rPr>
              <w:fldChar w:fldCharType="separate"/>
            </w:r>
            <w:r w:rsidR="00594361">
              <w:rPr>
                <w:webHidden/>
              </w:rPr>
              <w:t>101</w:t>
            </w:r>
            <w:r>
              <w:rPr>
                <w:webHidden/>
              </w:rPr>
              <w:fldChar w:fldCharType="end"/>
            </w:r>
          </w:hyperlink>
        </w:p>
        <w:p w14:paraId="405A7434" w14:textId="77777777" w:rsidR="00E3018B" w:rsidRDefault="00E3018B">
          <w:pPr>
            <w:pStyle w:val="32"/>
            <w:rPr>
              <w:rFonts w:asciiTheme="minorHAnsi" w:eastAsiaTheme="minorEastAsia" w:hAnsiTheme="minorHAnsi" w:cstheme="minorBidi"/>
            </w:rPr>
          </w:pPr>
          <w:hyperlink w:anchor="_Toc127370325" w:history="1">
            <w:r w:rsidRPr="00097654">
              <w:rPr>
                <w:rStyle w:val="afb"/>
                <w:rFonts w:eastAsia="Calibri" w:cs="Arial"/>
                <w:b/>
              </w:rPr>
              <w:t>2. Дейност на административния отдел при Окръжна прокуратура Монтана по административно-съдебния надзор за законност на административните актове.</w:t>
            </w:r>
            <w:r>
              <w:rPr>
                <w:webHidden/>
              </w:rPr>
              <w:tab/>
            </w:r>
            <w:r>
              <w:rPr>
                <w:webHidden/>
              </w:rPr>
              <w:fldChar w:fldCharType="begin"/>
            </w:r>
            <w:r>
              <w:rPr>
                <w:webHidden/>
              </w:rPr>
              <w:instrText xml:space="preserve"> PAGEREF _Toc127370325 \h </w:instrText>
            </w:r>
            <w:r>
              <w:rPr>
                <w:webHidden/>
              </w:rPr>
            </w:r>
            <w:r>
              <w:rPr>
                <w:webHidden/>
              </w:rPr>
              <w:fldChar w:fldCharType="separate"/>
            </w:r>
            <w:r w:rsidR="00594361">
              <w:rPr>
                <w:webHidden/>
              </w:rPr>
              <w:t>102</w:t>
            </w:r>
            <w:r>
              <w:rPr>
                <w:webHidden/>
              </w:rPr>
              <w:fldChar w:fldCharType="end"/>
            </w:r>
          </w:hyperlink>
        </w:p>
        <w:p w14:paraId="6928BC11" w14:textId="77777777" w:rsidR="00E3018B" w:rsidRDefault="00E3018B">
          <w:pPr>
            <w:pStyle w:val="32"/>
            <w:rPr>
              <w:rFonts w:asciiTheme="minorHAnsi" w:eastAsiaTheme="minorEastAsia" w:hAnsiTheme="minorHAnsi" w:cstheme="minorBidi"/>
            </w:rPr>
          </w:pPr>
          <w:hyperlink w:anchor="_Toc127370326" w:history="1">
            <w:r w:rsidRPr="00097654">
              <w:rPr>
                <w:rStyle w:val="afb"/>
                <w:rFonts w:eastAsia="Calibri" w:cs="Arial"/>
                <w:b/>
                <w:i/>
              </w:rPr>
              <w:t>2.1. Участие по закон в съдебни заседания по административни дела.</w:t>
            </w:r>
            <w:r>
              <w:rPr>
                <w:webHidden/>
              </w:rPr>
              <w:tab/>
            </w:r>
            <w:r>
              <w:rPr>
                <w:webHidden/>
              </w:rPr>
              <w:fldChar w:fldCharType="begin"/>
            </w:r>
            <w:r>
              <w:rPr>
                <w:webHidden/>
              </w:rPr>
              <w:instrText xml:space="preserve"> PAGEREF _Toc127370326 \h </w:instrText>
            </w:r>
            <w:r>
              <w:rPr>
                <w:webHidden/>
              </w:rPr>
            </w:r>
            <w:r>
              <w:rPr>
                <w:webHidden/>
              </w:rPr>
              <w:fldChar w:fldCharType="separate"/>
            </w:r>
            <w:r w:rsidR="00594361">
              <w:rPr>
                <w:webHidden/>
              </w:rPr>
              <w:t>102</w:t>
            </w:r>
            <w:r>
              <w:rPr>
                <w:webHidden/>
              </w:rPr>
              <w:fldChar w:fldCharType="end"/>
            </w:r>
          </w:hyperlink>
        </w:p>
        <w:p w14:paraId="5AC3B576" w14:textId="0CC2ED4D" w:rsidR="00E3018B" w:rsidRDefault="00E3018B">
          <w:pPr>
            <w:pStyle w:val="32"/>
            <w:rPr>
              <w:rFonts w:asciiTheme="minorHAnsi" w:eastAsiaTheme="minorEastAsia" w:hAnsiTheme="minorHAnsi" w:cstheme="minorBidi"/>
            </w:rPr>
          </w:pPr>
          <w:hyperlink w:anchor="_Toc127370327" w:history="1">
            <w:r w:rsidRPr="00097654">
              <w:rPr>
                <w:rStyle w:val="afb"/>
                <w:rFonts w:eastAsia="Calibri" w:cs="Arial"/>
                <w:b/>
                <w:bCs/>
                <w:i/>
              </w:rPr>
              <w:t>2.2. Участие по преценка в дела, представляващи важен държавен или обществен интерес</w:t>
            </w:r>
            <w:r>
              <w:rPr>
                <w:webHidden/>
              </w:rPr>
              <w:tab/>
            </w:r>
            <w:r>
              <w:rPr>
                <w:webHidden/>
              </w:rPr>
              <w:fldChar w:fldCharType="begin"/>
            </w:r>
            <w:r>
              <w:rPr>
                <w:webHidden/>
              </w:rPr>
              <w:instrText xml:space="preserve"> PAGEREF _Toc127370327 \h </w:instrText>
            </w:r>
            <w:r>
              <w:rPr>
                <w:webHidden/>
              </w:rPr>
            </w:r>
            <w:r>
              <w:rPr>
                <w:webHidden/>
              </w:rPr>
              <w:fldChar w:fldCharType="separate"/>
            </w:r>
            <w:r w:rsidR="00594361">
              <w:rPr>
                <w:webHidden/>
              </w:rPr>
              <w:t>102</w:t>
            </w:r>
            <w:r>
              <w:rPr>
                <w:webHidden/>
              </w:rPr>
              <w:fldChar w:fldCharType="end"/>
            </w:r>
          </w:hyperlink>
        </w:p>
        <w:p w14:paraId="21154F2E" w14:textId="77777777" w:rsidR="00E3018B" w:rsidRDefault="00E3018B">
          <w:pPr>
            <w:pStyle w:val="32"/>
            <w:rPr>
              <w:rFonts w:asciiTheme="minorHAnsi" w:eastAsiaTheme="minorEastAsia" w:hAnsiTheme="minorHAnsi" w:cstheme="minorBidi"/>
            </w:rPr>
          </w:pPr>
          <w:hyperlink w:anchor="_Toc127370328" w:history="1">
            <w:r w:rsidRPr="00097654">
              <w:rPr>
                <w:rStyle w:val="afb"/>
                <w:rFonts w:eastAsia="Calibri" w:cs="Arial"/>
                <w:b/>
                <w:i/>
              </w:rPr>
              <w:t>2.3. Подадени прокурорски актове до съда и резултатите по тях.</w:t>
            </w:r>
            <w:r>
              <w:rPr>
                <w:webHidden/>
              </w:rPr>
              <w:tab/>
            </w:r>
            <w:r>
              <w:rPr>
                <w:webHidden/>
              </w:rPr>
              <w:fldChar w:fldCharType="begin"/>
            </w:r>
            <w:r>
              <w:rPr>
                <w:webHidden/>
              </w:rPr>
              <w:instrText xml:space="preserve"> PAGEREF _Toc127370328 \h </w:instrText>
            </w:r>
            <w:r>
              <w:rPr>
                <w:webHidden/>
              </w:rPr>
            </w:r>
            <w:r>
              <w:rPr>
                <w:webHidden/>
              </w:rPr>
              <w:fldChar w:fldCharType="separate"/>
            </w:r>
            <w:r w:rsidR="00594361">
              <w:rPr>
                <w:webHidden/>
              </w:rPr>
              <w:t>103</w:t>
            </w:r>
            <w:r>
              <w:rPr>
                <w:webHidden/>
              </w:rPr>
              <w:fldChar w:fldCharType="end"/>
            </w:r>
          </w:hyperlink>
        </w:p>
        <w:p w14:paraId="498B4CFC" w14:textId="77777777" w:rsidR="00E3018B" w:rsidRDefault="00E3018B">
          <w:pPr>
            <w:pStyle w:val="32"/>
            <w:rPr>
              <w:rFonts w:asciiTheme="minorHAnsi" w:eastAsiaTheme="minorEastAsia" w:hAnsiTheme="minorHAnsi" w:cstheme="minorBidi"/>
            </w:rPr>
          </w:pPr>
          <w:hyperlink w:anchor="_Toc127370329" w:history="1">
            <w:r w:rsidRPr="00097654">
              <w:rPr>
                <w:rStyle w:val="afb"/>
                <w:rFonts w:eastAsia="Calibri" w:cs="Arial"/>
                <w:b/>
              </w:rPr>
              <w:t>3. Дейност на окръжната и на районните прокуратури по надзора за законност.</w:t>
            </w:r>
            <w:r>
              <w:rPr>
                <w:webHidden/>
              </w:rPr>
              <w:tab/>
            </w:r>
            <w:r>
              <w:rPr>
                <w:webHidden/>
              </w:rPr>
              <w:fldChar w:fldCharType="begin"/>
            </w:r>
            <w:r>
              <w:rPr>
                <w:webHidden/>
              </w:rPr>
              <w:instrText xml:space="preserve"> PAGEREF _Toc127370329 \h </w:instrText>
            </w:r>
            <w:r>
              <w:rPr>
                <w:webHidden/>
              </w:rPr>
            </w:r>
            <w:r>
              <w:rPr>
                <w:webHidden/>
              </w:rPr>
              <w:fldChar w:fldCharType="separate"/>
            </w:r>
            <w:r w:rsidR="00594361">
              <w:rPr>
                <w:webHidden/>
              </w:rPr>
              <w:t>104</w:t>
            </w:r>
            <w:r>
              <w:rPr>
                <w:webHidden/>
              </w:rPr>
              <w:fldChar w:fldCharType="end"/>
            </w:r>
          </w:hyperlink>
        </w:p>
        <w:p w14:paraId="00153F02" w14:textId="77777777" w:rsidR="00E3018B" w:rsidRDefault="00E3018B">
          <w:pPr>
            <w:pStyle w:val="32"/>
            <w:rPr>
              <w:rFonts w:asciiTheme="minorHAnsi" w:eastAsiaTheme="minorEastAsia" w:hAnsiTheme="minorHAnsi" w:cstheme="minorBidi"/>
            </w:rPr>
          </w:pPr>
          <w:hyperlink w:anchor="_Toc127370330" w:history="1">
            <w:r w:rsidRPr="00097654">
              <w:rPr>
                <w:rStyle w:val="afb"/>
                <w:rFonts w:eastAsia="Calibri" w:cs="Arial"/>
                <w:b/>
                <w:i/>
              </w:rPr>
              <w:t>3.1. Създадена организация на работата по надзора за законност, обем и основни области, в които е осъществяван надзорът за законност през 2022 г. и сравнение с предходните две години.</w:t>
            </w:r>
            <w:r>
              <w:rPr>
                <w:webHidden/>
              </w:rPr>
              <w:tab/>
            </w:r>
            <w:r>
              <w:rPr>
                <w:webHidden/>
              </w:rPr>
              <w:fldChar w:fldCharType="begin"/>
            </w:r>
            <w:r>
              <w:rPr>
                <w:webHidden/>
              </w:rPr>
              <w:instrText xml:space="preserve"> PAGEREF _Toc127370330 \h </w:instrText>
            </w:r>
            <w:r>
              <w:rPr>
                <w:webHidden/>
              </w:rPr>
            </w:r>
            <w:r>
              <w:rPr>
                <w:webHidden/>
              </w:rPr>
              <w:fldChar w:fldCharType="separate"/>
            </w:r>
            <w:r w:rsidR="00594361">
              <w:rPr>
                <w:webHidden/>
              </w:rPr>
              <w:t>104</w:t>
            </w:r>
            <w:r>
              <w:rPr>
                <w:webHidden/>
              </w:rPr>
              <w:fldChar w:fldCharType="end"/>
            </w:r>
          </w:hyperlink>
        </w:p>
        <w:p w14:paraId="4A1EF2F0" w14:textId="77777777" w:rsidR="00E3018B" w:rsidRDefault="00E3018B">
          <w:pPr>
            <w:pStyle w:val="32"/>
            <w:rPr>
              <w:rFonts w:asciiTheme="minorHAnsi" w:eastAsiaTheme="minorEastAsia" w:hAnsiTheme="minorHAnsi" w:cstheme="minorBidi"/>
            </w:rPr>
          </w:pPr>
          <w:hyperlink w:anchor="_Toc127370331" w:history="1">
            <w:r w:rsidRPr="00097654">
              <w:rPr>
                <w:rStyle w:val="afb"/>
                <w:rFonts w:eastAsia="Calibri" w:cs="Arial"/>
                <w:b/>
                <w:i/>
              </w:rPr>
              <w:t>3.2. Планирани и извършени проверки за законност - ефективност на проверките, в т. ч. на различните способи за проверка, проблеми по прилагането на закона.</w:t>
            </w:r>
            <w:r>
              <w:rPr>
                <w:webHidden/>
              </w:rPr>
              <w:tab/>
            </w:r>
            <w:r>
              <w:rPr>
                <w:webHidden/>
              </w:rPr>
              <w:fldChar w:fldCharType="begin"/>
            </w:r>
            <w:r>
              <w:rPr>
                <w:webHidden/>
              </w:rPr>
              <w:instrText xml:space="preserve"> PAGEREF _Toc127370331 \h </w:instrText>
            </w:r>
            <w:r>
              <w:rPr>
                <w:webHidden/>
              </w:rPr>
            </w:r>
            <w:r>
              <w:rPr>
                <w:webHidden/>
              </w:rPr>
              <w:fldChar w:fldCharType="separate"/>
            </w:r>
            <w:r w:rsidR="00594361">
              <w:rPr>
                <w:webHidden/>
              </w:rPr>
              <w:t>106</w:t>
            </w:r>
            <w:r>
              <w:rPr>
                <w:webHidden/>
              </w:rPr>
              <w:fldChar w:fldCharType="end"/>
            </w:r>
          </w:hyperlink>
        </w:p>
        <w:p w14:paraId="205AB868" w14:textId="77777777" w:rsidR="00E3018B" w:rsidRDefault="00E3018B">
          <w:pPr>
            <w:pStyle w:val="32"/>
            <w:rPr>
              <w:rFonts w:asciiTheme="minorHAnsi" w:eastAsiaTheme="minorEastAsia" w:hAnsiTheme="minorHAnsi" w:cstheme="minorBidi"/>
            </w:rPr>
          </w:pPr>
          <w:hyperlink w:anchor="_Toc127370332" w:history="1">
            <w:r w:rsidRPr="00097654">
              <w:rPr>
                <w:rStyle w:val="afb"/>
                <w:rFonts w:eastAsia="Calibri" w:cs="Arial"/>
                <w:b/>
                <w:i/>
              </w:rPr>
              <w:t>3.3. Взаимодействие със специализираните контролни органи (централни и териториални) и с други държавни и общински органи с контролни функции – форми, състояние, насоки на дейността по надзора за законност спрямо тези органи в краткосрочен и по-дългосрочен план.</w:t>
            </w:r>
            <w:r>
              <w:rPr>
                <w:webHidden/>
              </w:rPr>
              <w:tab/>
            </w:r>
            <w:r>
              <w:rPr>
                <w:webHidden/>
              </w:rPr>
              <w:fldChar w:fldCharType="begin"/>
            </w:r>
            <w:r>
              <w:rPr>
                <w:webHidden/>
              </w:rPr>
              <w:instrText xml:space="preserve"> PAGEREF _Toc127370332 \h </w:instrText>
            </w:r>
            <w:r>
              <w:rPr>
                <w:webHidden/>
              </w:rPr>
            </w:r>
            <w:r>
              <w:rPr>
                <w:webHidden/>
              </w:rPr>
              <w:fldChar w:fldCharType="separate"/>
            </w:r>
            <w:r w:rsidR="00594361">
              <w:rPr>
                <w:webHidden/>
              </w:rPr>
              <w:t>107</w:t>
            </w:r>
            <w:r>
              <w:rPr>
                <w:webHidden/>
              </w:rPr>
              <w:fldChar w:fldCharType="end"/>
            </w:r>
          </w:hyperlink>
        </w:p>
        <w:p w14:paraId="53613F61" w14:textId="77777777" w:rsidR="00E3018B" w:rsidRDefault="00E3018B">
          <w:pPr>
            <w:pStyle w:val="32"/>
            <w:rPr>
              <w:rFonts w:asciiTheme="minorHAnsi" w:eastAsiaTheme="minorEastAsia" w:hAnsiTheme="minorHAnsi" w:cstheme="minorBidi"/>
            </w:rPr>
          </w:pPr>
          <w:hyperlink w:anchor="_Toc127370333" w:history="1">
            <w:r w:rsidRPr="00097654">
              <w:rPr>
                <w:rStyle w:val="afb"/>
                <w:rFonts w:eastAsia="Calibri" w:cs="Arial"/>
                <w:b/>
              </w:rPr>
              <w:t>4. Приоритети, проблеми и предложения за преодоляването им.</w:t>
            </w:r>
            <w:r>
              <w:rPr>
                <w:webHidden/>
              </w:rPr>
              <w:tab/>
            </w:r>
            <w:r>
              <w:rPr>
                <w:webHidden/>
              </w:rPr>
              <w:fldChar w:fldCharType="begin"/>
            </w:r>
            <w:r>
              <w:rPr>
                <w:webHidden/>
              </w:rPr>
              <w:instrText xml:space="preserve"> PAGEREF _Toc127370333 \h </w:instrText>
            </w:r>
            <w:r>
              <w:rPr>
                <w:webHidden/>
              </w:rPr>
            </w:r>
            <w:r>
              <w:rPr>
                <w:webHidden/>
              </w:rPr>
              <w:fldChar w:fldCharType="separate"/>
            </w:r>
            <w:r w:rsidR="00594361">
              <w:rPr>
                <w:webHidden/>
              </w:rPr>
              <w:t>109</w:t>
            </w:r>
            <w:r>
              <w:rPr>
                <w:webHidden/>
              </w:rPr>
              <w:fldChar w:fldCharType="end"/>
            </w:r>
          </w:hyperlink>
        </w:p>
        <w:p w14:paraId="28D435EB" w14:textId="5AE5DAC2" w:rsidR="00E3018B" w:rsidRDefault="00E3018B">
          <w:pPr>
            <w:pStyle w:val="14"/>
            <w:tabs>
              <w:tab w:val="right" w:leader="dot" w:pos="9487"/>
            </w:tabs>
            <w:rPr>
              <w:noProof/>
            </w:rPr>
          </w:pPr>
          <w:hyperlink w:anchor="_Toc127370336" w:history="1">
            <w:r w:rsidRPr="00097654">
              <w:rPr>
                <w:rStyle w:val="afb"/>
                <w:rFonts w:ascii="Times New Roman" w:hAnsi="Times New Roman" w:cs="Times New Roman"/>
                <w:noProof/>
              </w:rPr>
              <w:t>РАЗДЕЛ VI</w:t>
            </w:r>
            <w:r w:rsidR="00594361">
              <w:rPr>
                <w:rStyle w:val="afb"/>
                <w:rFonts w:ascii="Times New Roman" w:hAnsi="Times New Roman" w:cs="Times New Roman"/>
                <w:noProof/>
              </w:rPr>
              <w:t xml:space="preserve"> </w:t>
            </w:r>
          </w:hyperlink>
          <w:r w:rsidR="00594361">
            <w:rPr>
              <w:rStyle w:val="afb"/>
              <w:noProof/>
            </w:rPr>
            <w:t xml:space="preserve"> </w:t>
          </w:r>
          <w:hyperlink w:anchor="_Toc127370337" w:history="1">
            <w:r w:rsidRPr="00097654">
              <w:rPr>
                <w:rStyle w:val="afb"/>
                <w:rFonts w:ascii="Times New Roman" w:hAnsi="Times New Roman" w:cs="Times New Roman"/>
                <w:noProof/>
              </w:rPr>
              <w:t>ДЕЙНОСТ ПО ИЗПЪЛНЕНИЕ НА КОМУНИКАЦИОННАТА СТРАТЕГИЯ НА СЪДЕБНАТА ВЛАСТ 2014-2020 ГОД., ПРИЕТА С РЕШЕНИЕ НА всс ПО ПРОТОКОЛ №10/05.03.2015 ГОД., Т.3</w:t>
            </w:r>
            <w:r>
              <w:rPr>
                <w:noProof/>
                <w:webHidden/>
              </w:rPr>
              <w:tab/>
            </w:r>
            <w:r>
              <w:rPr>
                <w:noProof/>
                <w:webHidden/>
              </w:rPr>
              <w:fldChar w:fldCharType="begin"/>
            </w:r>
            <w:r>
              <w:rPr>
                <w:noProof/>
                <w:webHidden/>
              </w:rPr>
              <w:instrText xml:space="preserve"> PAGEREF _Toc127370337 \h </w:instrText>
            </w:r>
            <w:r>
              <w:rPr>
                <w:noProof/>
                <w:webHidden/>
              </w:rPr>
            </w:r>
            <w:r>
              <w:rPr>
                <w:noProof/>
                <w:webHidden/>
              </w:rPr>
              <w:fldChar w:fldCharType="separate"/>
            </w:r>
            <w:r w:rsidR="00594361">
              <w:rPr>
                <w:noProof/>
                <w:webHidden/>
              </w:rPr>
              <w:t>111</w:t>
            </w:r>
            <w:r>
              <w:rPr>
                <w:noProof/>
                <w:webHidden/>
              </w:rPr>
              <w:fldChar w:fldCharType="end"/>
            </w:r>
          </w:hyperlink>
        </w:p>
        <w:p w14:paraId="6134A5C8" w14:textId="740170FB" w:rsidR="00E3018B" w:rsidRDefault="00E3018B">
          <w:pPr>
            <w:pStyle w:val="14"/>
            <w:tabs>
              <w:tab w:val="right" w:leader="dot" w:pos="9487"/>
            </w:tabs>
            <w:rPr>
              <w:noProof/>
            </w:rPr>
          </w:pPr>
          <w:hyperlink w:anchor="_Toc127370338" w:history="1">
            <w:r w:rsidRPr="00097654">
              <w:rPr>
                <w:rStyle w:val="afb"/>
                <w:rFonts w:ascii="Times New Roman" w:hAnsi="Times New Roman"/>
                <w:b/>
                <w:caps/>
                <w:noProof/>
                <w:kern w:val="32"/>
                <w:lang w:val="en-US"/>
              </w:rPr>
              <w:t>РАЗДЕЛ VII</w:t>
            </w:r>
            <w:r w:rsidR="00594361">
              <w:rPr>
                <w:rStyle w:val="afb"/>
                <w:rFonts w:ascii="Times New Roman" w:hAnsi="Times New Roman"/>
                <w:b/>
                <w:caps/>
                <w:noProof/>
                <w:kern w:val="32"/>
              </w:rPr>
              <w:t xml:space="preserve"> </w:t>
            </w:r>
          </w:hyperlink>
          <w:r w:rsidR="00594361">
            <w:rPr>
              <w:rStyle w:val="afb"/>
              <w:noProof/>
            </w:rPr>
            <w:t xml:space="preserve"> </w:t>
          </w:r>
          <w:hyperlink w:anchor="_Toc127370339" w:history="1">
            <w:r w:rsidRPr="00097654">
              <w:rPr>
                <w:rStyle w:val="afb"/>
                <w:rFonts w:ascii="Times New Roman" w:hAnsi="Times New Roman"/>
                <w:b/>
                <w:caps/>
                <w:noProof/>
                <w:kern w:val="32"/>
                <w:lang w:val="en-US"/>
              </w:rPr>
              <w:t>ПРИОРИТЕТИ В ДЕЙНОСТТА НА ПРОКУРАТУРАТА И НА РАЗСЛЕДВАЩИТЕ ОРГАНИ</w:t>
            </w:r>
            <w:r>
              <w:rPr>
                <w:noProof/>
                <w:webHidden/>
              </w:rPr>
              <w:tab/>
            </w:r>
            <w:r>
              <w:rPr>
                <w:noProof/>
                <w:webHidden/>
              </w:rPr>
              <w:fldChar w:fldCharType="begin"/>
            </w:r>
            <w:r>
              <w:rPr>
                <w:noProof/>
                <w:webHidden/>
              </w:rPr>
              <w:instrText xml:space="preserve"> PAGEREF _Toc127370339 \h </w:instrText>
            </w:r>
            <w:r>
              <w:rPr>
                <w:noProof/>
                <w:webHidden/>
              </w:rPr>
            </w:r>
            <w:r>
              <w:rPr>
                <w:noProof/>
                <w:webHidden/>
              </w:rPr>
              <w:fldChar w:fldCharType="separate"/>
            </w:r>
            <w:r w:rsidR="00594361">
              <w:rPr>
                <w:noProof/>
                <w:webHidden/>
              </w:rPr>
              <w:t>113</w:t>
            </w:r>
            <w:r>
              <w:rPr>
                <w:noProof/>
                <w:webHidden/>
              </w:rPr>
              <w:fldChar w:fldCharType="end"/>
            </w:r>
          </w:hyperlink>
        </w:p>
        <w:p w14:paraId="0FEADB19" w14:textId="77777777" w:rsidR="00E7381E" w:rsidRDefault="00E7381E">
          <w:r>
            <w:rPr>
              <w:b/>
              <w:bCs/>
            </w:rPr>
            <w:fldChar w:fldCharType="end"/>
          </w:r>
        </w:p>
      </w:sdtContent>
    </w:sdt>
    <w:p w14:paraId="3FE3F9EA" w14:textId="77777777" w:rsidR="003232D0" w:rsidRDefault="003232D0">
      <w:pPr>
        <w:rPr>
          <w:rFonts w:ascii="Calibri" w:eastAsia="Calibri" w:hAnsi="Calibri" w:cs="Times New Roman"/>
        </w:rPr>
      </w:pPr>
      <w:r>
        <w:rPr>
          <w:rFonts w:ascii="Calibri" w:eastAsia="Calibri" w:hAnsi="Calibri" w:cs="Times New Roman"/>
        </w:rPr>
        <w:br w:type="page"/>
      </w:r>
    </w:p>
    <w:p w14:paraId="27F769D0" w14:textId="77777777" w:rsidR="00897C29" w:rsidRPr="0049713A" w:rsidRDefault="00897C29" w:rsidP="00897C29">
      <w:pPr>
        <w:rPr>
          <w:rFonts w:ascii="Calibri" w:eastAsia="Calibri" w:hAnsi="Calibri" w:cs="Times New Roman"/>
        </w:rPr>
      </w:pPr>
    </w:p>
    <w:p w14:paraId="0AD2FDF4" w14:textId="77777777" w:rsidR="00E903FC" w:rsidRPr="00E903FC" w:rsidRDefault="00E903FC" w:rsidP="00E903FC">
      <w:pPr>
        <w:keepNext/>
        <w:shd w:val="clear" w:color="auto" w:fill="FFFFFF"/>
        <w:autoSpaceDE w:val="0"/>
        <w:autoSpaceDN w:val="0"/>
        <w:adjustRightInd w:val="0"/>
        <w:spacing w:after="0" w:line="240" w:lineRule="auto"/>
        <w:jc w:val="center"/>
        <w:outlineLvl w:val="1"/>
        <w:rPr>
          <w:rFonts w:ascii="Times New Roman" w:eastAsia="Calibri" w:hAnsi="Times New Roman" w:cs="Arial"/>
          <w:b/>
          <w:iCs/>
          <w:color w:val="000000"/>
          <w:sz w:val="28"/>
          <w:lang w:eastAsia="bg-BG"/>
        </w:rPr>
      </w:pPr>
      <w:bookmarkStart w:id="1" w:name="_Toc63940883"/>
      <w:bookmarkStart w:id="2" w:name="_Toc127370233"/>
      <w:r w:rsidRPr="00E903FC">
        <w:rPr>
          <w:rFonts w:ascii="Times New Roman" w:eastAsia="Calibri" w:hAnsi="Times New Roman" w:cs="Arial"/>
          <w:b/>
          <w:iCs/>
          <w:color w:val="000000"/>
          <w:sz w:val="28"/>
          <w:lang w:eastAsia="bg-BG"/>
        </w:rPr>
        <w:t>РАЗДЕЛ I</w:t>
      </w:r>
      <w:bookmarkEnd w:id="1"/>
      <w:bookmarkEnd w:id="2"/>
    </w:p>
    <w:p w14:paraId="5B651DC1" w14:textId="77777777" w:rsidR="00E903FC" w:rsidRPr="00E903FC" w:rsidRDefault="00E903FC" w:rsidP="00E903FC">
      <w:pPr>
        <w:keepNext/>
        <w:shd w:val="clear" w:color="auto" w:fill="FFFFFF"/>
        <w:autoSpaceDE w:val="0"/>
        <w:autoSpaceDN w:val="0"/>
        <w:adjustRightInd w:val="0"/>
        <w:spacing w:after="0" w:line="240" w:lineRule="auto"/>
        <w:ind w:firstLine="709"/>
        <w:jc w:val="center"/>
        <w:outlineLvl w:val="1"/>
        <w:rPr>
          <w:rFonts w:ascii="Times New Roman" w:eastAsia="Calibri" w:hAnsi="Times New Roman" w:cs="Arial"/>
          <w:b/>
          <w:iCs/>
          <w:color w:val="000000"/>
          <w:sz w:val="28"/>
          <w:lang w:eastAsia="bg-BG"/>
        </w:rPr>
      </w:pPr>
      <w:bookmarkStart w:id="3" w:name="_Toc63940884"/>
      <w:bookmarkStart w:id="4" w:name="_Toc127370234"/>
      <w:r w:rsidRPr="00E903FC">
        <w:rPr>
          <w:rFonts w:ascii="Times New Roman" w:eastAsia="Calibri" w:hAnsi="Times New Roman" w:cs="Arial"/>
          <w:b/>
          <w:iCs/>
          <w:color w:val="000000"/>
          <w:sz w:val="28"/>
          <w:lang w:eastAsia="bg-BG"/>
        </w:rPr>
        <w:t>ОБОБЩЕНИ ИЗВОДИ ЗА ДЕЙНОСТТА НА ПРОКУРАТУРАТА И НА РАЗСЛЕДВАЩИТЕ ОРГАНИ</w:t>
      </w:r>
      <w:bookmarkEnd w:id="3"/>
      <w:bookmarkEnd w:id="4"/>
    </w:p>
    <w:p w14:paraId="51336415" w14:textId="77777777" w:rsidR="00E903FC" w:rsidRPr="00E903FC" w:rsidRDefault="00E903FC" w:rsidP="00E903FC">
      <w:pPr>
        <w:tabs>
          <w:tab w:val="left" w:pos="660"/>
          <w:tab w:val="right" w:leader="dot" w:pos="9344"/>
        </w:tabs>
        <w:spacing w:after="0" w:line="240" w:lineRule="auto"/>
        <w:ind w:left="260"/>
        <w:jc w:val="center"/>
        <w:rPr>
          <w:rFonts w:ascii="Times New Roman" w:eastAsia="Times New Roman" w:hAnsi="Times New Roman" w:cs="Times New Roman"/>
          <w:b/>
          <w:smallCaps/>
          <w:noProof/>
          <w:sz w:val="28"/>
          <w:szCs w:val="28"/>
          <w:lang w:eastAsia="bg-BG"/>
        </w:rPr>
      </w:pPr>
    </w:p>
    <w:p w14:paraId="1E04539F" w14:textId="77777777" w:rsidR="00E903FC" w:rsidRPr="00E903FC" w:rsidRDefault="00E903FC" w:rsidP="00E903FC">
      <w:pPr>
        <w:spacing w:after="0" w:line="320" w:lineRule="exact"/>
        <w:ind w:firstLine="709"/>
        <w:jc w:val="both"/>
        <w:rPr>
          <w:rFonts w:ascii="Times New Roman" w:eastAsia="Calibri" w:hAnsi="Times New Roman" w:cs="Times New Roman"/>
          <w:sz w:val="28"/>
          <w:szCs w:val="28"/>
        </w:rPr>
      </w:pPr>
      <w:bookmarkStart w:id="5" w:name="_Toc380392115"/>
      <w:r w:rsidRPr="00E903FC">
        <w:rPr>
          <w:rFonts w:ascii="Times New Roman" w:eastAsia="Calibri" w:hAnsi="Times New Roman" w:cs="Times New Roman"/>
          <w:sz w:val="28"/>
          <w:szCs w:val="28"/>
          <w:lang w:eastAsia="bg-BG"/>
        </w:rPr>
        <w:t xml:space="preserve">Област Монтана заема централната част на Северозападна България с обща площ от 3 635,5 кв. км, която съставлява 3,2% от територията на Република България. </w:t>
      </w:r>
      <w:r w:rsidRPr="00E903FC">
        <w:rPr>
          <w:rFonts w:ascii="Times New Roman" w:eastAsia="Calibri" w:hAnsi="Times New Roman" w:cs="Times New Roman"/>
          <w:sz w:val="28"/>
          <w:szCs w:val="28"/>
        </w:rPr>
        <w:t>На територията на областта има 11 общини с общо население за 2022 г. – 122 179 души</w:t>
      </w:r>
      <w:r w:rsidRPr="00E903FC">
        <w:rPr>
          <w:rFonts w:ascii="Calibri" w:eastAsia="Calibri" w:hAnsi="Calibri" w:cs="Times New Roman"/>
        </w:rPr>
        <w:t xml:space="preserve">  </w:t>
      </w:r>
      <w:r w:rsidRPr="00E903FC">
        <w:rPr>
          <w:rFonts w:ascii="Calibri" w:eastAsia="Calibri" w:hAnsi="Calibri" w:cs="Times New Roman"/>
          <w:sz w:val="28"/>
          <w:szCs w:val="28"/>
        </w:rPr>
        <w:t>(</w:t>
      </w:r>
      <w:r w:rsidRPr="00E903FC">
        <w:rPr>
          <w:rFonts w:ascii="Times New Roman" w:eastAsia="Calibri" w:hAnsi="Times New Roman" w:cs="Times New Roman"/>
          <w:sz w:val="28"/>
          <w:szCs w:val="28"/>
        </w:rPr>
        <w:t xml:space="preserve">125 385 за 2021 г. и 127 001 за 2020 год.) </w:t>
      </w:r>
    </w:p>
    <w:p w14:paraId="2708BF8C" w14:textId="77777777" w:rsidR="00E903FC" w:rsidRPr="00E903FC" w:rsidRDefault="00E903FC" w:rsidP="00E903FC">
      <w:pPr>
        <w:spacing w:after="0" w:line="320" w:lineRule="exact"/>
        <w:ind w:firstLine="709"/>
        <w:jc w:val="both"/>
        <w:rPr>
          <w:rFonts w:ascii="Times New Roman" w:eastAsia="Calibri" w:hAnsi="Times New Roman" w:cs="Times New Roman"/>
          <w:sz w:val="28"/>
          <w:szCs w:val="28"/>
          <w:lang w:eastAsia="bg-BG"/>
        </w:rPr>
      </w:pPr>
      <w:r w:rsidRPr="00E903FC">
        <w:rPr>
          <w:rFonts w:ascii="Times New Roman" w:eastAsia="Calibri" w:hAnsi="Times New Roman" w:cs="Times New Roman"/>
          <w:sz w:val="28"/>
          <w:szCs w:val="28"/>
          <w:lang w:eastAsia="bg-BG"/>
        </w:rPr>
        <w:t>По брой жители най-голям град е Монтана – административен и културен център на областта, другите градове са Лом, Берковица, Вършец, Вълчедръм, Брусарци, Бойчиновци и Чипровци. Пътната мрежа в региона е 1043 км. През област Монтана преминава и най-краткият път от Северозападна към Югозападна България, от Западна Европа през Дунав мост-2 при гр. Видин и пристанище в гр. Лом към Южна България и Близкия изток. Изградени са добра транспортна инфраструктура, водоснабдяване, електроснабдяване и газоснабдяване. Функционира модерна съобщителна инфраструктура.</w:t>
      </w:r>
    </w:p>
    <w:p w14:paraId="15A92DF6" w14:textId="4CB9F384" w:rsidR="00E903FC" w:rsidRPr="00E903FC" w:rsidRDefault="00E903FC" w:rsidP="00E903FC">
      <w:pPr>
        <w:tabs>
          <w:tab w:val="left" w:pos="142"/>
        </w:tabs>
        <w:spacing w:line="240" w:lineRule="auto"/>
        <w:ind w:firstLine="851"/>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 xml:space="preserve">И през 2022 г. продължава негативната тенденцията към намаляване броя на населението на обл.Монтана </w:t>
      </w:r>
      <w:r w:rsidR="0040274B">
        <w:rPr>
          <w:rFonts w:ascii="Times New Roman" w:eastAsia="Calibri" w:hAnsi="Times New Roman" w:cs="Times New Roman"/>
          <w:sz w:val="28"/>
          <w:szCs w:val="28"/>
        </w:rPr>
        <w:t xml:space="preserve">и </w:t>
      </w:r>
      <w:r w:rsidRPr="00E903FC">
        <w:rPr>
          <w:rFonts w:ascii="Times New Roman" w:eastAsia="Calibri" w:hAnsi="Times New Roman" w:cs="Times New Roman"/>
          <w:sz w:val="28"/>
          <w:szCs w:val="28"/>
        </w:rPr>
        <w:t>е в челната тройка на намаляващо население през последните 10 години, съгласно преброяването на НСИ. За периода жителите на Област Монтана са намалели с 35 793 души. Отрицателният прираст на населението е 24,2%, като с по-лош показател са само обл.Видин и обл.Добрич. Основната причина е застаряващото население, миграцията към по-големите градове в страната и чужбина.</w:t>
      </w:r>
      <w:r w:rsidR="00973707">
        <w:rPr>
          <w:rFonts w:ascii="Times New Roman" w:eastAsia="Calibri" w:hAnsi="Times New Roman" w:cs="Times New Roman"/>
          <w:sz w:val="28"/>
          <w:szCs w:val="28"/>
        </w:rPr>
        <w:t xml:space="preserve"> </w:t>
      </w:r>
      <w:r w:rsidRPr="00E903FC">
        <w:rPr>
          <w:rFonts w:ascii="Times New Roman" w:eastAsia="Calibri" w:hAnsi="Times New Roman" w:cs="Times New Roman"/>
          <w:sz w:val="28"/>
          <w:szCs w:val="28"/>
        </w:rPr>
        <w:t xml:space="preserve">Близо 30 % от населението е над 65 г. В по-голяма част от населените места в региона, отдалечени от общинските центрове преобладава население, трудово неангажирано, разчитащо на социални помощи, пенсии и необлагаеми доходи. Населението на обл.Монтана съставлява едва 1,7% от цялото население на страната.  Нестабилната икономическа  обстановка и ниския стандарт на живот в регион Монтана и през 2022 год. генерират  миграционен поток към столицата и страни от Европейския съюз. </w:t>
      </w:r>
    </w:p>
    <w:p w14:paraId="1654F084" w14:textId="0BDBD76D" w:rsidR="00E903FC" w:rsidRPr="00E903FC" w:rsidRDefault="00E903FC" w:rsidP="00E903FC">
      <w:pPr>
        <w:tabs>
          <w:tab w:val="left" w:pos="142"/>
        </w:tabs>
        <w:spacing w:line="240" w:lineRule="auto"/>
        <w:ind w:firstLine="851"/>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 xml:space="preserve">Реализирането на стратегически проекти и проекти изграждащи се със средства от ЕС повишават степента на определеност на средата за сигурност. Това не гарантира еднозначно повишаване състоянието на сигурност и изисква изграждане на способности за защита и охрана на критичната инфраструктура на територията на регион Монтана. </w:t>
      </w:r>
      <w:r w:rsidRPr="002F0696">
        <w:rPr>
          <w:rFonts w:ascii="Times New Roman" w:eastAsia="Calibri" w:hAnsi="Times New Roman" w:cs="Times New Roman"/>
          <w:sz w:val="28"/>
          <w:szCs w:val="28"/>
        </w:rPr>
        <w:t>Наличието на индикации за икономически ръст в региона и отчетените добри показатели, както и активизирането на работата по големите инфраструктурни проекти в областта, предполагат ръст на инвестициите, но само в областния град Монтана, а не в малките населени места от региона.</w:t>
      </w:r>
      <w:r w:rsidRPr="002F0696">
        <w:rPr>
          <w:rFonts w:ascii="Times New Roman" w:eastAsia="Calibri" w:hAnsi="Times New Roman" w:cs="Times New Roman"/>
          <w:sz w:val="28"/>
          <w:szCs w:val="28"/>
          <w:lang w:eastAsia="ar-SA"/>
        </w:rPr>
        <w:t xml:space="preserve"> </w:t>
      </w:r>
      <w:r w:rsidRPr="002F0696">
        <w:rPr>
          <w:rFonts w:ascii="Times New Roman" w:eastAsia="Calibri" w:hAnsi="Times New Roman" w:cs="Times New Roman"/>
          <w:sz w:val="28"/>
          <w:szCs w:val="28"/>
        </w:rPr>
        <w:t xml:space="preserve"> Въпреки положителните тенденции, все още са високи нивата на коефициента на без</w:t>
      </w:r>
      <w:r w:rsidR="00973707">
        <w:rPr>
          <w:rFonts w:ascii="Times New Roman" w:eastAsia="Calibri" w:hAnsi="Times New Roman" w:cs="Times New Roman"/>
          <w:sz w:val="28"/>
          <w:szCs w:val="28"/>
        </w:rPr>
        <w:t>р</w:t>
      </w:r>
      <w:r w:rsidRPr="002F0696">
        <w:rPr>
          <w:rFonts w:ascii="Times New Roman" w:eastAsia="Calibri" w:hAnsi="Times New Roman" w:cs="Times New Roman"/>
          <w:sz w:val="28"/>
          <w:szCs w:val="28"/>
        </w:rPr>
        <w:t>аботица, който съгласно данни от НСИ - безработица</w:t>
      </w:r>
      <w:r w:rsidR="00212DD8">
        <w:rPr>
          <w:rFonts w:ascii="Times New Roman" w:eastAsia="Calibri" w:hAnsi="Times New Roman" w:cs="Times New Roman"/>
          <w:sz w:val="28"/>
          <w:szCs w:val="28"/>
        </w:rPr>
        <w:t xml:space="preserve"> в северозапедния район е най-</w:t>
      </w:r>
      <w:r w:rsidRPr="002F0696">
        <w:rPr>
          <w:rFonts w:ascii="Times New Roman" w:eastAsia="Calibri" w:hAnsi="Times New Roman" w:cs="Times New Roman"/>
          <w:sz w:val="28"/>
          <w:szCs w:val="28"/>
        </w:rPr>
        <w:t xml:space="preserve">голяма  – 17,5 хил. или </w:t>
      </w:r>
      <w:r w:rsidR="00212DD8">
        <w:rPr>
          <w:rFonts w:ascii="Times New Roman" w:eastAsia="Calibri" w:hAnsi="Times New Roman" w:cs="Times New Roman"/>
          <w:sz w:val="28"/>
          <w:szCs w:val="28"/>
        </w:rPr>
        <w:t xml:space="preserve">  </w:t>
      </w:r>
      <w:r w:rsidR="00212DD8">
        <w:rPr>
          <w:rFonts w:ascii="Times New Roman" w:eastAsia="Calibri" w:hAnsi="Times New Roman" w:cs="Times New Roman"/>
          <w:sz w:val="28"/>
          <w:szCs w:val="28"/>
        </w:rPr>
        <w:tab/>
      </w:r>
      <w:r w:rsidRPr="002F0696">
        <w:rPr>
          <w:rFonts w:ascii="Times New Roman" w:eastAsia="Calibri" w:hAnsi="Times New Roman" w:cs="Times New Roman"/>
          <w:sz w:val="28"/>
          <w:szCs w:val="28"/>
        </w:rPr>
        <w:t>6 % коефициент на безработица за страната по данни към третото тримесечие на 2022 г. пр</w:t>
      </w:r>
      <w:r w:rsidR="0042364E">
        <w:rPr>
          <w:rFonts w:ascii="Times New Roman" w:eastAsia="Calibri" w:hAnsi="Times New Roman" w:cs="Times New Roman"/>
          <w:sz w:val="28"/>
          <w:szCs w:val="28"/>
        </w:rPr>
        <w:t>и</w:t>
      </w:r>
      <w:r w:rsidR="0013552D">
        <w:rPr>
          <w:rFonts w:ascii="Times New Roman" w:eastAsia="Calibri" w:hAnsi="Times New Roman" w:cs="Times New Roman"/>
          <w:sz w:val="28"/>
          <w:szCs w:val="28"/>
        </w:rPr>
        <w:t xml:space="preserve"> среден за страна </w:t>
      </w:r>
      <w:r w:rsidRPr="002F0696">
        <w:rPr>
          <w:rFonts w:ascii="Times New Roman" w:eastAsia="Calibri" w:hAnsi="Times New Roman" w:cs="Times New Roman"/>
          <w:sz w:val="28"/>
          <w:szCs w:val="28"/>
        </w:rPr>
        <w:t xml:space="preserve"> от 3,7 %. Неравномерно е икономическото </w:t>
      </w:r>
      <w:r w:rsidRPr="002F0696">
        <w:rPr>
          <w:rFonts w:ascii="Times New Roman" w:eastAsia="Calibri" w:hAnsi="Times New Roman" w:cs="Times New Roman"/>
          <w:sz w:val="28"/>
          <w:szCs w:val="28"/>
        </w:rPr>
        <w:lastRenderedPageBreak/>
        <w:t>развитие на общините. Налице е концентрация на население в областния град Монтана и обезлюдяване на малките населени места. От друга страна бизнеса изпитва остра нужда от квалифицирана работна ръка.</w:t>
      </w:r>
    </w:p>
    <w:p w14:paraId="539BA9A1" w14:textId="77777777" w:rsidR="00E903FC" w:rsidRPr="00E903FC" w:rsidRDefault="00E903FC" w:rsidP="00E903FC">
      <w:pPr>
        <w:spacing w:after="0" w:line="320" w:lineRule="exact"/>
        <w:ind w:firstLine="840"/>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 xml:space="preserve">През 2022 год. на територията на Област Монтана не са отчетени действия на терористични организации и групи срещу български и чужди граждани, обекти на фирми и администрация. Осигурена е ефективна защита на населението и критичната инфраструктура. </w:t>
      </w:r>
    </w:p>
    <w:p w14:paraId="15C76FBD" w14:textId="77777777" w:rsidR="00E903FC" w:rsidRPr="00E903FC" w:rsidRDefault="00E903FC" w:rsidP="00E903FC">
      <w:pPr>
        <w:spacing w:after="0" w:line="320" w:lineRule="exact"/>
        <w:ind w:firstLine="840"/>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 xml:space="preserve">През 2022 год. на територията на Област Монтана няма индикации за концентриране на бежански потоци и лица, издирвани за участие в тежки престъпления и съпричастност към терористични организации на територията на областта. </w:t>
      </w:r>
    </w:p>
    <w:p w14:paraId="1F166EDE" w14:textId="77777777" w:rsidR="00E903FC" w:rsidRPr="00E903FC" w:rsidRDefault="00E903FC" w:rsidP="00E903FC">
      <w:pPr>
        <w:spacing w:after="0" w:line="320" w:lineRule="exact"/>
        <w:ind w:firstLine="840"/>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 xml:space="preserve">Няма регистрирани знакови убийства, отвличания с цел откуп, вземане на заложници, изнудвания спрямо граждани или представители на държавната или местната власт. </w:t>
      </w:r>
    </w:p>
    <w:p w14:paraId="3AA7FFE2" w14:textId="77777777" w:rsidR="00E903FC" w:rsidRPr="00E903FC" w:rsidRDefault="00E903FC" w:rsidP="00E903FC">
      <w:pPr>
        <w:spacing w:after="0" w:line="320" w:lineRule="exact"/>
        <w:ind w:firstLine="840"/>
        <w:jc w:val="both"/>
        <w:rPr>
          <w:rFonts w:ascii="Times New Roman" w:eastAsia="Times New Roman" w:hAnsi="Times New Roman" w:cs="Times New Roman"/>
          <w:sz w:val="28"/>
          <w:szCs w:val="28"/>
          <w:lang w:eastAsia="bg-BG"/>
        </w:rPr>
      </w:pPr>
    </w:p>
    <w:p w14:paraId="5A1054A5" w14:textId="77777777" w:rsidR="00E903FC" w:rsidRPr="00E903FC" w:rsidRDefault="00E903FC" w:rsidP="00E903FC">
      <w:pPr>
        <w:keepNext/>
        <w:shd w:val="clear" w:color="auto" w:fill="FFFFFF"/>
        <w:autoSpaceDE w:val="0"/>
        <w:autoSpaceDN w:val="0"/>
        <w:adjustRightInd w:val="0"/>
        <w:spacing w:after="0" w:line="240" w:lineRule="auto"/>
        <w:ind w:firstLine="709"/>
        <w:jc w:val="center"/>
        <w:outlineLvl w:val="1"/>
        <w:rPr>
          <w:rFonts w:ascii="Times New Roman" w:eastAsia="Calibri" w:hAnsi="Times New Roman" w:cs="Arial"/>
          <w:b/>
          <w:iCs/>
          <w:color w:val="000000"/>
          <w:sz w:val="28"/>
          <w:lang w:eastAsia="bg-BG"/>
        </w:rPr>
      </w:pPr>
      <w:bookmarkStart w:id="6" w:name="_Toc63940885"/>
      <w:bookmarkStart w:id="7" w:name="_Toc127370235"/>
      <w:r w:rsidRPr="00E903FC">
        <w:rPr>
          <w:rFonts w:ascii="Times New Roman" w:eastAsia="Calibri" w:hAnsi="Times New Roman" w:cs="Arial"/>
          <w:b/>
          <w:iCs/>
          <w:color w:val="000000"/>
          <w:sz w:val="28"/>
          <w:lang w:eastAsia="bg-BG"/>
        </w:rPr>
        <w:t>1. Резултати и тенденции в противодействието на престъпността.</w:t>
      </w:r>
      <w:bookmarkEnd w:id="5"/>
      <w:bookmarkEnd w:id="6"/>
      <w:bookmarkEnd w:id="7"/>
      <w:r w:rsidRPr="00E903FC">
        <w:rPr>
          <w:rFonts w:ascii="Times New Roman" w:eastAsia="Calibri" w:hAnsi="Times New Roman" w:cs="Arial"/>
          <w:b/>
          <w:iCs/>
          <w:color w:val="000000"/>
          <w:sz w:val="28"/>
          <w:lang w:eastAsia="bg-BG"/>
        </w:rPr>
        <w:t xml:space="preserve"> </w:t>
      </w:r>
    </w:p>
    <w:p w14:paraId="3F8C2C16" w14:textId="77777777" w:rsidR="00E903FC" w:rsidRPr="00E903FC" w:rsidRDefault="00E903FC" w:rsidP="00E903FC">
      <w:pPr>
        <w:shd w:val="clear" w:color="auto" w:fill="FFFFFF"/>
        <w:tabs>
          <w:tab w:val="left" w:pos="826"/>
        </w:tabs>
        <w:autoSpaceDE w:val="0"/>
        <w:autoSpaceDN w:val="0"/>
        <w:adjustRightInd w:val="0"/>
        <w:spacing w:after="0" w:line="240" w:lineRule="auto"/>
        <w:ind w:firstLine="720"/>
        <w:jc w:val="both"/>
        <w:rPr>
          <w:rFonts w:ascii="Calibri" w:eastAsia="Calibri" w:hAnsi="Calibri" w:cs="Times New Roman"/>
          <w:color w:val="000000"/>
          <w:sz w:val="28"/>
          <w:lang w:eastAsia="bg-BG"/>
        </w:rPr>
      </w:pPr>
    </w:p>
    <w:p w14:paraId="7F842247" w14:textId="77777777" w:rsidR="00E903FC" w:rsidRPr="00E903FC" w:rsidRDefault="00E903FC" w:rsidP="00E903FC">
      <w:pPr>
        <w:spacing w:after="0" w:line="240" w:lineRule="auto"/>
        <w:ind w:firstLine="709"/>
        <w:jc w:val="both"/>
        <w:rPr>
          <w:rFonts w:ascii="Times New Roman" w:eastAsia="Times New Roman" w:hAnsi="Times New Roman" w:cs="Times New Roman"/>
          <w:color w:val="000000"/>
          <w:sz w:val="28"/>
          <w:szCs w:val="28"/>
          <w:lang w:eastAsia="bg-BG"/>
        </w:rPr>
      </w:pPr>
      <w:r w:rsidRPr="00E903FC">
        <w:rPr>
          <w:rFonts w:ascii="Times New Roman" w:eastAsia="Times New Roman" w:hAnsi="Times New Roman" w:cs="Times New Roman"/>
          <w:color w:val="000000"/>
          <w:sz w:val="28"/>
          <w:szCs w:val="28"/>
          <w:lang w:eastAsia="bg-BG"/>
        </w:rPr>
        <w:t xml:space="preserve">През 2022 г. прокурорите от Окръжна прокуратура - Монтана и Районна прокуратура - Монтана, с ТО в Лом и Берковица са осъществявали дейността си в обстановка на криминогенна среда, предопределена от географското местоположение, демографската характеристика на региона, в обстановка на задълбочаваща се икономическа криза, както и засилваща се демографска такава, водеща до намаляване на  населението в работоспособна възраст и нарастване на населението от ромски произход. Тези обстоятелства обуславят спецификата на престъпността и доказват необходимостта от функциониране на ефективна система за противодействие на престъпността, повишаване нивото на взаимодействие между структурите на съдебната система и всички органи, пряко ангажирани в борбата с престъпността. Натовареността на прокурорите през отчетната година продължава да е над средната за страната, което е тенденцията за добра резултатност. </w:t>
      </w:r>
    </w:p>
    <w:p w14:paraId="0B23F947" w14:textId="77777777" w:rsidR="00E903FC" w:rsidRPr="00E903FC" w:rsidRDefault="00E903FC" w:rsidP="00E903FC">
      <w:pPr>
        <w:spacing w:after="0" w:line="320" w:lineRule="exact"/>
        <w:ind w:firstLine="709"/>
        <w:jc w:val="both"/>
        <w:rPr>
          <w:rFonts w:ascii="Times New Roman" w:eastAsia="Calibri" w:hAnsi="Times New Roman" w:cs="Times New Roman"/>
          <w:b/>
          <w:i/>
          <w:sz w:val="28"/>
          <w:szCs w:val="28"/>
          <w:highlight w:val="yellow"/>
          <w:lang w:eastAsia="bg-BG"/>
        </w:rPr>
      </w:pPr>
    </w:p>
    <w:p w14:paraId="7E1ED974" w14:textId="77777777" w:rsidR="00E903FC" w:rsidRPr="00E903FC" w:rsidRDefault="00E903FC" w:rsidP="00E903FC">
      <w:pPr>
        <w:ind w:firstLine="708"/>
        <w:rPr>
          <w:rFonts w:ascii="Times New Roman" w:eastAsia="Calibri" w:hAnsi="Times New Roman" w:cs="Times New Roman"/>
          <w:b/>
          <w:i/>
          <w:sz w:val="28"/>
          <w:szCs w:val="28"/>
          <w:u w:val="single"/>
        </w:rPr>
      </w:pPr>
      <w:r w:rsidRPr="00E903FC">
        <w:rPr>
          <w:rFonts w:ascii="Times New Roman" w:eastAsia="Calibri" w:hAnsi="Times New Roman" w:cs="Times New Roman"/>
          <w:b/>
          <w:i/>
          <w:sz w:val="28"/>
          <w:szCs w:val="28"/>
          <w:u w:val="single"/>
        </w:rPr>
        <w:t>1.1.Структура и интензивност на регистрираната престъпност на територията на ОДМВР – Монтана.</w:t>
      </w:r>
    </w:p>
    <w:p w14:paraId="00892DFB" w14:textId="026B79D1" w:rsidR="00E903FC" w:rsidRPr="00E903FC" w:rsidRDefault="00E903FC" w:rsidP="009E2704">
      <w:pPr>
        <w:ind w:firstLine="426"/>
        <w:jc w:val="center"/>
        <w:rPr>
          <w:rFonts w:ascii="Times New Roman" w:eastAsia="Calibri" w:hAnsi="Times New Roman" w:cs="Times New Roman"/>
          <w:noProof/>
          <w:sz w:val="28"/>
          <w:szCs w:val="28"/>
          <w:highlight w:val="yellow"/>
        </w:rPr>
      </w:pPr>
      <w:r w:rsidRPr="00E903FC">
        <w:rPr>
          <w:rFonts w:ascii="Calibri" w:eastAsia="Calibri" w:hAnsi="Calibri" w:cs="Times New Roman"/>
          <w:noProof/>
          <w:lang w:eastAsia="bg-BG"/>
        </w:rPr>
        <w:drawing>
          <wp:inline distT="0" distB="0" distL="0" distR="0" wp14:anchorId="337D76C5" wp14:editId="55B587BF">
            <wp:extent cx="3786475" cy="2322441"/>
            <wp:effectExtent l="0" t="0" r="5080" b="1905"/>
            <wp:docPr id="5" name="Картина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6812" cy="2322648"/>
                    </a:xfrm>
                    <a:prstGeom prst="rect">
                      <a:avLst/>
                    </a:prstGeom>
                    <a:noFill/>
                    <a:ln>
                      <a:noFill/>
                    </a:ln>
                  </pic:spPr>
                </pic:pic>
              </a:graphicData>
            </a:graphic>
          </wp:inline>
        </w:drawing>
      </w:r>
    </w:p>
    <w:p w14:paraId="29B5ACF5" w14:textId="77777777" w:rsidR="00E903FC" w:rsidRPr="00E903FC" w:rsidRDefault="00E903FC" w:rsidP="00E903FC">
      <w:pPr>
        <w:spacing w:after="0" w:line="320" w:lineRule="exact"/>
        <w:ind w:firstLine="851"/>
        <w:jc w:val="both"/>
        <w:rPr>
          <w:rFonts w:ascii="Times New Roman" w:eastAsia="Times New Roman" w:hAnsi="Times New Roman" w:cs="Times New Roman"/>
          <w:b/>
          <w:bCs/>
          <w:sz w:val="28"/>
          <w:szCs w:val="28"/>
        </w:rPr>
      </w:pPr>
      <w:r w:rsidRPr="00E903FC">
        <w:rPr>
          <w:rFonts w:ascii="Times New Roman" w:eastAsia="Times New Roman" w:hAnsi="Times New Roman" w:cs="Times New Roman"/>
          <w:bCs/>
          <w:sz w:val="28"/>
          <w:szCs w:val="28"/>
        </w:rPr>
        <w:lastRenderedPageBreak/>
        <w:t xml:space="preserve">От началото на 2021 г. в ОДМВР Монтана са регистрирани общо 1845 престъпления, от </w:t>
      </w:r>
      <w:r w:rsidRPr="00E903FC">
        <w:rPr>
          <w:rFonts w:ascii="Times New Roman" w:eastAsia="Times New Roman" w:hAnsi="Times New Roman" w:cs="Times New Roman"/>
          <w:b/>
          <w:bCs/>
          <w:sz w:val="28"/>
          <w:szCs w:val="28"/>
        </w:rPr>
        <w:t xml:space="preserve">които по криминална линия – 1470, а по икономическа - 375 бр. престъпления. </w:t>
      </w:r>
    </w:p>
    <w:p w14:paraId="39B90461" w14:textId="77777777" w:rsidR="00E903FC" w:rsidRPr="00E903FC" w:rsidRDefault="00E903FC" w:rsidP="00E903FC">
      <w:pPr>
        <w:spacing w:after="0" w:line="320" w:lineRule="exact"/>
        <w:ind w:firstLine="851"/>
        <w:jc w:val="both"/>
        <w:rPr>
          <w:rFonts w:ascii="Times New Roman" w:eastAsia="Times New Roman" w:hAnsi="Times New Roman" w:cs="Times New Roman"/>
          <w:bCs/>
          <w:sz w:val="28"/>
          <w:szCs w:val="28"/>
        </w:rPr>
      </w:pPr>
      <w:r w:rsidRPr="00E903FC">
        <w:rPr>
          <w:rFonts w:ascii="Times New Roman" w:eastAsia="Times New Roman" w:hAnsi="Times New Roman" w:cs="Times New Roman"/>
          <w:bCs/>
          <w:sz w:val="28"/>
          <w:szCs w:val="28"/>
        </w:rPr>
        <w:t xml:space="preserve">Броят на регистрираните престъпления през 2021 г. е бил 2031  бр., от които по </w:t>
      </w:r>
      <w:r w:rsidRPr="00E903FC">
        <w:rPr>
          <w:rFonts w:ascii="Times New Roman" w:eastAsia="Times New Roman" w:hAnsi="Times New Roman" w:cs="Times New Roman"/>
          <w:b/>
          <w:bCs/>
          <w:sz w:val="28"/>
          <w:szCs w:val="28"/>
        </w:rPr>
        <w:t>криминална линия 1662 бр., а по икономическа линия 369 бр. престъпления</w:t>
      </w:r>
      <w:r w:rsidRPr="00E903FC">
        <w:rPr>
          <w:rFonts w:ascii="Times New Roman" w:eastAsia="Times New Roman" w:hAnsi="Times New Roman" w:cs="Times New Roman"/>
          <w:bCs/>
          <w:sz w:val="28"/>
          <w:szCs w:val="28"/>
        </w:rPr>
        <w:t>.</w:t>
      </w:r>
    </w:p>
    <w:p w14:paraId="09E9C642" w14:textId="77777777" w:rsidR="00E903FC" w:rsidRPr="00E903FC" w:rsidRDefault="00E903FC" w:rsidP="00E903FC">
      <w:pPr>
        <w:spacing w:after="0" w:line="320" w:lineRule="exact"/>
        <w:ind w:firstLine="851"/>
        <w:jc w:val="both"/>
        <w:rPr>
          <w:rFonts w:ascii="Times New Roman" w:eastAsia="Times New Roman" w:hAnsi="Times New Roman" w:cs="Times New Roman"/>
          <w:b/>
          <w:bCs/>
          <w:sz w:val="28"/>
          <w:szCs w:val="28"/>
        </w:rPr>
      </w:pPr>
      <w:r w:rsidRPr="00E903FC">
        <w:rPr>
          <w:rFonts w:ascii="Times New Roman" w:eastAsia="Times New Roman" w:hAnsi="Times New Roman" w:cs="Times New Roman"/>
          <w:bCs/>
          <w:sz w:val="28"/>
          <w:szCs w:val="28"/>
        </w:rPr>
        <w:t xml:space="preserve">Сравнителният анализ на посочените данни показва, че съществува спад от </w:t>
      </w:r>
      <w:r w:rsidRPr="00E903FC">
        <w:rPr>
          <w:rFonts w:ascii="Times New Roman" w:eastAsia="Times New Roman" w:hAnsi="Times New Roman" w:cs="Times New Roman"/>
          <w:b/>
          <w:bCs/>
          <w:sz w:val="28"/>
          <w:szCs w:val="28"/>
        </w:rPr>
        <w:t xml:space="preserve"> 9 % </w:t>
      </w:r>
      <w:r w:rsidRPr="00E903FC">
        <w:rPr>
          <w:rFonts w:ascii="Times New Roman" w:eastAsia="Times New Roman" w:hAnsi="Times New Roman" w:cs="Times New Roman"/>
          <w:bCs/>
          <w:sz w:val="28"/>
          <w:szCs w:val="28"/>
        </w:rPr>
        <w:t xml:space="preserve">на общия брой регистрирани престъпления, като </w:t>
      </w:r>
      <w:r w:rsidRPr="00E903FC">
        <w:rPr>
          <w:rFonts w:ascii="Times New Roman" w:eastAsia="Times New Roman" w:hAnsi="Times New Roman" w:cs="Times New Roman"/>
          <w:b/>
          <w:bCs/>
          <w:sz w:val="28"/>
          <w:szCs w:val="28"/>
        </w:rPr>
        <w:t>по криминална линия се отчита спад с 11,3%, а при икономическите престъпления е налице увеличение на регистрираните престъпления с 1,8 %.</w:t>
      </w:r>
    </w:p>
    <w:p w14:paraId="68679902" w14:textId="77777777" w:rsidR="00E903FC" w:rsidRPr="00E903FC" w:rsidRDefault="00E903FC" w:rsidP="00E903FC">
      <w:pPr>
        <w:spacing w:after="0" w:line="320" w:lineRule="exact"/>
        <w:ind w:firstLine="851"/>
        <w:jc w:val="both"/>
        <w:rPr>
          <w:rFonts w:ascii="Times New Roman" w:eastAsia="Calibri" w:hAnsi="Times New Roman" w:cs="Times New Roman"/>
          <w:bCs/>
          <w:sz w:val="28"/>
          <w:szCs w:val="28"/>
        </w:rPr>
      </w:pPr>
      <w:r w:rsidRPr="00E903FC">
        <w:rPr>
          <w:rFonts w:ascii="Times New Roman" w:eastAsia="Calibri" w:hAnsi="Times New Roman" w:cs="Times New Roman"/>
          <w:bCs/>
          <w:sz w:val="28"/>
          <w:szCs w:val="28"/>
        </w:rPr>
        <w:t xml:space="preserve">За областта коефициентът на криминална престъпност е 1172,30 престъпления на хиляда души, а  коефициент за 2021 година е 1397,64  и при </w:t>
      </w:r>
      <w:r w:rsidRPr="00E903FC">
        <w:rPr>
          <w:rFonts w:ascii="Times New Roman" w:eastAsia="Calibri" w:hAnsi="Times New Roman" w:cs="Times New Roman"/>
          <w:sz w:val="28"/>
          <w:szCs w:val="28"/>
        </w:rPr>
        <w:t xml:space="preserve">среден за страната през настоящият период на 2022 г. от  1051,98 пункта.  </w:t>
      </w:r>
      <w:r w:rsidRPr="00E903FC">
        <w:rPr>
          <w:rFonts w:ascii="Times New Roman" w:eastAsia="Calibri" w:hAnsi="Times New Roman" w:cs="Times New Roman"/>
          <w:bCs/>
          <w:sz w:val="28"/>
          <w:szCs w:val="28"/>
        </w:rPr>
        <w:t xml:space="preserve"> </w:t>
      </w:r>
    </w:p>
    <w:p w14:paraId="6965C30E" w14:textId="77777777" w:rsidR="00E903FC" w:rsidRPr="00E903FC" w:rsidRDefault="00E903FC" w:rsidP="00E903FC">
      <w:pPr>
        <w:spacing w:after="0" w:line="320" w:lineRule="exact"/>
        <w:ind w:firstLine="851"/>
        <w:jc w:val="both"/>
        <w:rPr>
          <w:rFonts w:ascii="Times New Roman" w:eastAsia="Times New Roman" w:hAnsi="Times New Roman" w:cs="Times New Roman"/>
          <w:b/>
          <w:bCs/>
          <w:sz w:val="28"/>
          <w:szCs w:val="28"/>
        </w:rPr>
      </w:pPr>
      <w:r w:rsidRPr="00E903FC">
        <w:rPr>
          <w:rFonts w:ascii="Times New Roman" w:eastAsia="Times New Roman" w:hAnsi="Times New Roman" w:cs="Times New Roman"/>
          <w:bCs/>
          <w:sz w:val="28"/>
          <w:szCs w:val="28"/>
        </w:rPr>
        <w:t xml:space="preserve">Сравнителният анализ на посочените данни показва, че съществува намаление </w:t>
      </w:r>
      <w:r w:rsidRPr="00E903FC">
        <w:rPr>
          <w:rFonts w:ascii="Times New Roman" w:eastAsia="Times New Roman" w:hAnsi="Times New Roman" w:cs="Times New Roman"/>
          <w:b/>
          <w:bCs/>
          <w:sz w:val="28"/>
          <w:szCs w:val="28"/>
        </w:rPr>
        <w:t>с 9% на</w:t>
      </w:r>
      <w:r w:rsidRPr="00E903FC">
        <w:rPr>
          <w:rFonts w:ascii="Times New Roman" w:eastAsia="Times New Roman" w:hAnsi="Times New Roman" w:cs="Times New Roman"/>
          <w:bCs/>
          <w:sz w:val="28"/>
          <w:szCs w:val="28"/>
        </w:rPr>
        <w:t xml:space="preserve"> общия брой регистрирани престъпления, като </w:t>
      </w:r>
      <w:r w:rsidRPr="00E903FC">
        <w:rPr>
          <w:rFonts w:ascii="Times New Roman" w:eastAsia="Times New Roman" w:hAnsi="Times New Roman" w:cs="Times New Roman"/>
          <w:b/>
          <w:bCs/>
          <w:sz w:val="28"/>
          <w:szCs w:val="28"/>
        </w:rPr>
        <w:t>по криминална линия се отчита намаление с 11,3%, а по икономическа линия увеличение с 1,8%.</w:t>
      </w:r>
    </w:p>
    <w:p w14:paraId="7FF8EE69" w14:textId="77777777" w:rsidR="00E903FC" w:rsidRPr="00E903FC" w:rsidRDefault="00E903FC" w:rsidP="00E903FC">
      <w:pPr>
        <w:spacing w:after="0" w:line="320" w:lineRule="exact"/>
        <w:ind w:firstLine="851"/>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bCs/>
          <w:sz w:val="28"/>
          <w:szCs w:val="28"/>
        </w:rPr>
        <w:t xml:space="preserve">За областта коефициентът на </w:t>
      </w:r>
      <w:r w:rsidRPr="00E903FC">
        <w:rPr>
          <w:rFonts w:ascii="Times New Roman" w:eastAsia="Times New Roman" w:hAnsi="Times New Roman" w:cs="Times New Roman"/>
          <w:b/>
          <w:bCs/>
          <w:sz w:val="28"/>
          <w:szCs w:val="28"/>
          <w:u w:val="single"/>
        </w:rPr>
        <w:t>криминална престъпност</w:t>
      </w:r>
      <w:r w:rsidRPr="00E903FC">
        <w:rPr>
          <w:rFonts w:ascii="Times New Roman" w:eastAsia="Times New Roman" w:hAnsi="Times New Roman" w:cs="Times New Roman"/>
          <w:bCs/>
          <w:sz w:val="28"/>
          <w:szCs w:val="28"/>
        </w:rPr>
        <w:t xml:space="preserve"> е </w:t>
      </w:r>
      <w:r w:rsidRPr="00E903FC">
        <w:rPr>
          <w:rFonts w:ascii="Times New Roman" w:eastAsia="Calibri" w:hAnsi="Times New Roman" w:cs="Times New Roman"/>
          <w:bCs/>
          <w:sz w:val="28"/>
          <w:szCs w:val="28"/>
        </w:rPr>
        <w:t xml:space="preserve">1172,30 </w:t>
      </w:r>
      <w:r w:rsidRPr="00E903FC">
        <w:rPr>
          <w:rFonts w:ascii="Times New Roman" w:eastAsia="Times New Roman" w:hAnsi="Times New Roman" w:cs="Times New Roman"/>
          <w:bCs/>
          <w:sz w:val="28"/>
          <w:szCs w:val="28"/>
        </w:rPr>
        <w:t xml:space="preserve"> престъпления на 1000 души при </w:t>
      </w:r>
      <w:r w:rsidRPr="00E903FC">
        <w:rPr>
          <w:rFonts w:ascii="Times New Roman" w:eastAsia="Calibri" w:hAnsi="Times New Roman" w:cs="Times New Roman"/>
          <w:sz w:val="28"/>
          <w:szCs w:val="28"/>
        </w:rPr>
        <w:t>среден за страната 1051,98  пункта</w:t>
      </w:r>
      <w:r w:rsidRPr="00E903FC">
        <w:rPr>
          <w:rFonts w:ascii="Times New Roman" w:eastAsia="Times New Roman" w:hAnsi="Times New Roman" w:cs="Times New Roman"/>
          <w:bCs/>
          <w:sz w:val="28"/>
          <w:szCs w:val="28"/>
        </w:rPr>
        <w:t>, като тези показатели е налице намаление в сравнение с предходния период</w:t>
      </w:r>
      <w:r w:rsidRPr="00E903FC">
        <w:rPr>
          <w:rFonts w:ascii="Times New Roman" w:eastAsia="Calibri" w:hAnsi="Times New Roman" w:cs="Times New Roman"/>
          <w:sz w:val="28"/>
          <w:szCs w:val="28"/>
        </w:rPr>
        <w:t xml:space="preserve">. </w:t>
      </w:r>
      <w:r w:rsidRPr="00E903FC">
        <w:rPr>
          <w:rFonts w:ascii="Times New Roman" w:eastAsia="Times New Roman" w:hAnsi="Times New Roman" w:cs="Times New Roman"/>
          <w:sz w:val="28"/>
          <w:szCs w:val="28"/>
          <w:lang w:eastAsia="bg-BG"/>
        </w:rPr>
        <w:t xml:space="preserve"> </w:t>
      </w:r>
    </w:p>
    <w:p w14:paraId="0BDF3BCB" w14:textId="77777777" w:rsidR="00E903FC" w:rsidRDefault="00E903FC" w:rsidP="00E903FC">
      <w:pPr>
        <w:spacing w:after="0" w:line="320" w:lineRule="exact"/>
        <w:ind w:firstLine="851"/>
        <w:jc w:val="both"/>
        <w:rPr>
          <w:rFonts w:ascii="Times New Roman" w:eastAsia="Times New Roman" w:hAnsi="Times New Roman" w:cs="Times New Roman"/>
          <w:bCs/>
          <w:sz w:val="28"/>
          <w:szCs w:val="28"/>
        </w:rPr>
      </w:pPr>
      <w:r w:rsidRPr="00E903FC">
        <w:rPr>
          <w:rFonts w:ascii="Times New Roman" w:eastAsia="Times New Roman" w:hAnsi="Times New Roman" w:cs="Times New Roman"/>
          <w:sz w:val="28"/>
          <w:szCs w:val="28"/>
          <w:lang w:eastAsia="bg-BG"/>
        </w:rPr>
        <w:t xml:space="preserve">В процентно съотношение </w:t>
      </w:r>
      <w:r w:rsidRPr="00E903FC">
        <w:rPr>
          <w:rFonts w:ascii="Times New Roman" w:eastAsia="Times New Roman" w:hAnsi="Times New Roman" w:cs="Times New Roman"/>
          <w:b/>
          <w:sz w:val="28"/>
          <w:szCs w:val="28"/>
          <w:lang w:eastAsia="bg-BG"/>
        </w:rPr>
        <w:t>криминалните престъпления са 80%</w:t>
      </w:r>
      <w:r w:rsidRPr="00E903FC">
        <w:rPr>
          <w:rFonts w:ascii="Times New Roman" w:eastAsia="Times New Roman" w:hAnsi="Times New Roman" w:cs="Times New Roman"/>
          <w:sz w:val="28"/>
          <w:szCs w:val="28"/>
          <w:lang w:eastAsia="bg-BG"/>
        </w:rPr>
        <w:t xml:space="preserve">, а </w:t>
      </w:r>
      <w:r w:rsidRPr="00E903FC">
        <w:rPr>
          <w:rFonts w:ascii="Times New Roman" w:eastAsia="Times New Roman" w:hAnsi="Times New Roman" w:cs="Times New Roman"/>
          <w:b/>
          <w:sz w:val="28"/>
          <w:szCs w:val="28"/>
          <w:lang w:eastAsia="bg-BG"/>
        </w:rPr>
        <w:t>икономическите престъпления са 20%</w:t>
      </w:r>
      <w:r w:rsidRPr="00E903FC">
        <w:rPr>
          <w:rFonts w:ascii="Times New Roman" w:eastAsia="Times New Roman" w:hAnsi="Times New Roman" w:cs="Times New Roman"/>
          <w:sz w:val="28"/>
          <w:szCs w:val="28"/>
          <w:lang w:eastAsia="bg-BG"/>
        </w:rPr>
        <w:t xml:space="preserve"> за отчетната 2022 г.</w:t>
      </w:r>
      <w:r w:rsidRPr="00E903FC">
        <w:rPr>
          <w:rFonts w:ascii="Times New Roman" w:eastAsia="Times New Roman" w:hAnsi="Times New Roman" w:cs="Times New Roman"/>
          <w:bCs/>
          <w:sz w:val="28"/>
          <w:szCs w:val="28"/>
        </w:rPr>
        <w:t xml:space="preserve"> </w:t>
      </w:r>
    </w:p>
    <w:p w14:paraId="0E0581CA" w14:textId="73561A9B" w:rsidR="00E903FC" w:rsidRPr="00E903FC" w:rsidRDefault="00E903FC" w:rsidP="00E903FC">
      <w:pPr>
        <w:spacing w:after="0" w:line="320" w:lineRule="exact"/>
        <w:ind w:firstLine="851"/>
        <w:jc w:val="both"/>
        <w:rPr>
          <w:rFonts w:ascii="Times New Roman" w:eastAsia="Calibri" w:hAnsi="Times New Roman" w:cs="Times New Roman"/>
          <w:noProof/>
          <w:sz w:val="24"/>
          <w:szCs w:val="24"/>
          <w:highlight w:val="yellow"/>
          <w:lang w:eastAsia="bg-BG"/>
        </w:rPr>
      </w:pPr>
    </w:p>
    <w:p w14:paraId="0450C7DA" w14:textId="77777777" w:rsidR="00E903FC" w:rsidRPr="00E903FC" w:rsidRDefault="00E903FC" w:rsidP="00E903FC">
      <w:pPr>
        <w:jc w:val="center"/>
        <w:rPr>
          <w:rFonts w:ascii="Calibri" w:eastAsia="Calibri" w:hAnsi="Calibri" w:cs="Times New Roman"/>
          <w:highlight w:val="yellow"/>
        </w:rPr>
      </w:pPr>
      <w:r w:rsidRPr="00E903FC">
        <w:rPr>
          <w:rFonts w:ascii="Calibri" w:eastAsia="Calibri" w:hAnsi="Calibri" w:cs="Times New Roman"/>
          <w:noProof/>
          <w:lang w:eastAsia="bg-BG"/>
        </w:rPr>
        <w:drawing>
          <wp:inline distT="0" distB="0" distL="0" distR="0" wp14:anchorId="59EA3F95" wp14:editId="380E62FE">
            <wp:extent cx="5873115" cy="3700780"/>
            <wp:effectExtent l="38100" t="0" r="32385" b="0"/>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0FA2C8" w14:textId="77777777" w:rsidR="00E903FC" w:rsidRPr="00E903FC" w:rsidRDefault="00E903FC" w:rsidP="00E903FC">
      <w:pPr>
        <w:spacing w:after="0" w:line="320" w:lineRule="exact"/>
        <w:ind w:firstLine="705"/>
        <w:jc w:val="both"/>
        <w:rPr>
          <w:rFonts w:ascii="Calibri" w:eastAsia="Calibri" w:hAnsi="Calibri" w:cs="Times New Roman"/>
          <w:sz w:val="28"/>
          <w:szCs w:val="28"/>
          <w:highlight w:val="yellow"/>
        </w:rPr>
      </w:pPr>
    </w:p>
    <w:p w14:paraId="34E4890E" w14:textId="5BF5DCA4" w:rsidR="00E903FC" w:rsidRPr="00E903FC" w:rsidRDefault="00E903FC" w:rsidP="00E903FC">
      <w:pPr>
        <w:spacing w:line="240" w:lineRule="auto"/>
        <w:ind w:firstLine="851"/>
        <w:jc w:val="both"/>
        <w:rPr>
          <w:rFonts w:ascii="Times New Roman" w:eastAsia="Calibri" w:hAnsi="Times New Roman" w:cs="Times New Roman"/>
          <w:sz w:val="28"/>
          <w:szCs w:val="28"/>
        </w:rPr>
      </w:pPr>
      <w:r w:rsidRPr="00E903FC">
        <w:rPr>
          <w:rFonts w:ascii="Times New Roman" w:eastAsia="Times New Roman" w:hAnsi="Times New Roman" w:cs="Times New Roman"/>
          <w:sz w:val="28"/>
          <w:szCs w:val="28"/>
          <w:lang w:eastAsia="bg-BG"/>
        </w:rPr>
        <w:t xml:space="preserve">От общо регистрираните престъпления </w:t>
      </w:r>
      <w:r w:rsidRPr="00E903FC">
        <w:rPr>
          <w:rFonts w:ascii="Times New Roman" w:eastAsia="Calibri" w:hAnsi="Times New Roman" w:cs="Times New Roman"/>
          <w:sz w:val="28"/>
          <w:szCs w:val="28"/>
        </w:rPr>
        <w:t>сравнително равен дял  заемат общоопастните престъпленията - 39 % и тези против собст</w:t>
      </w:r>
      <w:r w:rsidR="000F1120">
        <w:rPr>
          <w:rFonts w:ascii="Times New Roman" w:eastAsia="Calibri" w:hAnsi="Times New Roman" w:cs="Times New Roman"/>
          <w:sz w:val="28"/>
          <w:szCs w:val="28"/>
        </w:rPr>
        <w:t>вено</w:t>
      </w:r>
      <w:r w:rsidRPr="00E903FC">
        <w:rPr>
          <w:rFonts w:ascii="Times New Roman" w:eastAsia="Calibri" w:hAnsi="Times New Roman" w:cs="Times New Roman"/>
          <w:sz w:val="28"/>
          <w:szCs w:val="28"/>
        </w:rPr>
        <w:t xml:space="preserve">стта - 40 %, </w:t>
      </w:r>
      <w:r w:rsidRPr="00E903FC">
        <w:rPr>
          <w:rFonts w:ascii="Times New Roman" w:eastAsia="Calibri" w:hAnsi="Times New Roman" w:cs="Times New Roman"/>
          <w:sz w:val="28"/>
          <w:szCs w:val="28"/>
        </w:rPr>
        <w:lastRenderedPageBreak/>
        <w:t>престъпленията против личността са 9 %, а другите криминални престъпления са 12 % .</w:t>
      </w:r>
    </w:p>
    <w:p w14:paraId="3E6AB2FB" w14:textId="77777777" w:rsidR="00E903FC" w:rsidRPr="00E903FC" w:rsidRDefault="00E903FC" w:rsidP="00E903FC">
      <w:pPr>
        <w:tabs>
          <w:tab w:val="left" w:pos="0"/>
        </w:tabs>
        <w:spacing w:line="240" w:lineRule="auto"/>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ab/>
        <w:t xml:space="preserve">  Разпределението на престъпленията по стойности е както следва: </w:t>
      </w:r>
    </w:p>
    <w:p w14:paraId="1E61194F" w14:textId="77777777" w:rsidR="00E903FC" w:rsidRPr="00E903FC" w:rsidRDefault="00E903FC" w:rsidP="00E903FC">
      <w:pPr>
        <w:numPr>
          <w:ilvl w:val="0"/>
          <w:numId w:val="35"/>
        </w:numPr>
        <w:tabs>
          <w:tab w:val="left" w:pos="0"/>
        </w:tabs>
        <w:spacing w:line="240" w:lineRule="auto"/>
        <w:ind w:left="1065"/>
        <w:contextualSpacing/>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престъпленията против собствеността – 583 бр.;</w:t>
      </w:r>
    </w:p>
    <w:p w14:paraId="0E14A22D" w14:textId="77777777" w:rsidR="00E903FC" w:rsidRPr="00E903FC" w:rsidRDefault="00E903FC" w:rsidP="00E903FC">
      <w:pPr>
        <w:numPr>
          <w:ilvl w:val="0"/>
          <w:numId w:val="35"/>
        </w:numPr>
        <w:tabs>
          <w:tab w:val="left" w:pos="0"/>
        </w:tabs>
        <w:spacing w:line="240" w:lineRule="auto"/>
        <w:ind w:left="1065"/>
        <w:contextualSpacing/>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 xml:space="preserve">престъпленията против личността – 128 бр.; </w:t>
      </w:r>
    </w:p>
    <w:p w14:paraId="489E4DD9" w14:textId="77777777" w:rsidR="00E903FC" w:rsidRPr="00E903FC" w:rsidRDefault="00E903FC" w:rsidP="00E903FC">
      <w:pPr>
        <w:numPr>
          <w:ilvl w:val="0"/>
          <w:numId w:val="35"/>
        </w:numPr>
        <w:tabs>
          <w:tab w:val="left" w:pos="0"/>
        </w:tabs>
        <w:spacing w:line="240" w:lineRule="auto"/>
        <w:ind w:left="1065"/>
        <w:contextualSpacing/>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 xml:space="preserve">общоопасни престъпления – 559 бр </w:t>
      </w:r>
    </w:p>
    <w:p w14:paraId="7C1D4BD4" w14:textId="77777777" w:rsidR="00E903FC" w:rsidRPr="00E903FC" w:rsidRDefault="00E903FC" w:rsidP="00E903FC">
      <w:pPr>
        <w:numPr>
          <w:ilvl w:val="0"/>
          <w:numId w:val="35"/>
        </w:numPr>
        <w:tabs>
          <w:tab w:val="left" w:pos="993"/>
        </w:tabs>
        <w:spacing w:after="0" w:line="240" w:lineRule="auto"/>
        <w:ind w:left="705" w:firstLine="4"/>
        <w:rPr>
          <w:rFonts w:ascii="Times New Roman" w:eastAsia="Calibri" w:hAnsi="Times New Roman" w:cs="Times New Roman"/>
          <w:sz w:val="28"/>
          <w:szCs w:val="28"/>
        </w:rPr>
      </w:pPr>
      <w:r w:rsidRPr="00E903FC">
        <w:rPr>
          <w:rFonts w:ascii="Times New Roman" w:eastAsia="Calibri" w:hAnsi="Times New Roman" w:cs="Times New Roman"/>
          <w:sz w:val="28"/>
          <w:szCs w:val="28"/>
        </w:rPr>
        <w:t xml:space="preserve"> други криминални престъпления – 177 бр.</w:t>
      </w:r>
    </w:p>
    <w:p w14:paraId="0AF30798" w14:textId="77777777" w:rsidR="00E903FC" w:rsidRPr="00E903FC" w:rsidRDefault="00E903FC" w:rsidP="00E903FC">
      <w:pPr>
        <w:tabs>
          <w:tab w:val="left" w:pos="993"/>
        </w:tabs>
        <w:spacing w:after="0"/>
        <w:ind w:left="709"/>
        <w:rPr>
          <w:rFonts w:ascii="Calibri" w:eastAsia="Calibri" w:hAnsi="Calibri" w:cs="Times New Roman"/>
          <w:sz w:val="24"/>
          <w:szCs w:val="24"/>
        </w:rPr>
      </w:pPr>
    </w:p>
    <w:p w14:paraId="28770433" w14:textId="77988FDE" w:rsidR="00E903FC" w:rsidRDefault="00E903FC" w:rsidP="00E903FC">
      <w:pPr>
        <w:tabs>
          <w:tab w:val="left" w:pos="993"/>
        </w:tabs>
        <w:spacing w:line="240" w:lineRule="auto"/>
        <w:ind w:firstLine="709"/>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Най-много престъпления през годината са регистрирани в населените места на територията на община Монтана – 532 бр. на следващо място са общините Лом – 293 бр., общ.Бойчиновци -114 бр., общ.Берковица – 108 бр., общ.Вършец 86 бр., общ. Брусарци – 79 бр., общ.Вълчедръм – 75 бр. Най-малко престъпления са регистрирани в общините Чипровци 25 бр. и Георги Дамяново – 33 бр.</w:t>
      </w:r>
    </w:p>
    <w:p w14:paraId="35DDD45B" w14:textId="44F01F95" w:rsidR="00885E08" w:rsidRDefault="00885E08" w:rsidP="00885E08">
      <w:pPr>
        <w:tabs>
          <w:tab w:val="left" w:pos="993"/>
        </w:tabs>
        <w:spacing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bg-BG"/>
        </w:rPr>
        <w:drawing>
          <wp:inline distT="0" distB="0" distL="0" distR="0" wp14:anchorId="018937FD" wp14:editId="6711C05D">
            <wp:extent cx="3874128" cy="3148236"/>
            <wp:effectExtent l="0" t="0" r="0" b="0"/>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3624" cy="3147827"/>
                    </a:xfrm>
                    <a:prstGeom prst="rect">
                      <a:avLst/>
                    </a:prstGeom>
                    <a:noFill/>
                  </pic:spPr>
                </pic:pic>
              </a:graphicData>
            </a:graphic>
          </wp:inline>
        </w:drawing>
      </w:r>
    </w:p>
    <w:p w14:paraId="32E8F964" w14:textId="77777777" w:rsidR="00885E08" w:rsidRDefault="00885E08" w:rsidP="00885E08">
      <w:pPr>
        <w:tabs>
          <w:tab w:val="left" w:pos="993"/>
        </w:tabs>
        <w:spacing w:line="240" w:lineRule="auto"/>
        <w:ind w:firstLine="709"/>
        <w:jc w:val="center"/>
        <w:rPr>
          <w:rFonts w:ascii="Times New Roman" w:eastAsia="Calibri" w:hAnsi="Times New Roman" w:cs="Times New Roman"/>
          <w:sz w:val="28"/>
          <w:szCs w:val="28"/>
        </w:rPr>
      </w:pPr>
    </w:p>
    <w:p w14:paraId="16CA29D2" w14:textId="7C06FB70" w:rsidR="00E903FC" w:rsidRPr="00E903FC" w:rsidRDefault="00885E08" w:rsidP="00E903FC">
      <w:pPr>
        <w:tabs>
          <w:tab w:val="left" w:pos="371"/>
          <w:tab w:val="left" w:pos="709"/>
          <w:tab w:val="left" w:pos="796"/>
        </w:tabs>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sidR="00E903FC" w:rsidRPr="00E903FC">
        <w:rPr>
          <w:rFonts w:ascii="Times New Roman" w:eastAsia="Calibri" w:hAnsi="Times New Roman" w:cs="Times New Roman"/>
          <w:sz w:val="28"/>
          <w:szCs w:val="28"/>
        </w:rPr>
        <w:t xml:space="preserve">През отчетния период броят на регистрираните престъпления на територията на РУ Монтана съставлява  - 44 %  и отчетен спад от  9 %, РУ Лом –38 % с отчетен спад от 20 %, РУ Берковица – 13 %  и също намаление с около  31 % на престъпления и общо за ОД МВР – Монтана спад на регистрираната престъпност с около 15 %. </w:t>
      </w:r>
    </w:p>
    <w:p w14:paraId="64B32418" w14:textId="77777777" w:rsidR="00E903FC" w:rsidRPr="00E903FC" w:rsidRDefault="00E903FC" w:rsidP="00E903FC">
      <w:pPr>
        <w:ind w:firstLine="708"/>
        <w:rPr>
          <w:rFonts w:ascii="Times New Roman" w:eastAsia="Calibri" w:hAnsi="Times New Roman" w:cs="Times New Roman"/>
          <w:b/>
          <w:i/>
          <w:sz w:val="28"/>
          <w:szCs w:val="28"/>
          <w:u w:val="single"/>
        </w:rPr>
      </w:pPr>
      <w:r w:rsidRPr="00E903FC">
        <w:rPr>
          <w:rFonts w:ascii="Times New Roman" w:eastAsia="Calibri" w:hAnsi="Times New Roman" w:cs="Times New Roman"/>
          <w:b/>
          <w:i/>
          <w:sz w:val="28"/>
          <w:szCs w:val="28"/>
          <w:u w:val="single"/>
        </w:rPr>
        <w:t>1.2. Разкриваемост:</w:t>
      </w:r>
    </w:p>
    <w:p w14:paraId="477C9F82" w14:textId="77777777" w:rsidR="00E903FC" w:rsidRPr="00E903FC" w:rsidRDefault="00E903FC" w:rsidP="00E903FC">
      <w:pPr>
        <w:spacing w:after="0" w:line="240" w:lineRule="auto"/>
        <w:ind w:firstLine="709"/>
        <w:jc w:val="both"/>
        <w:rPr>
          <w:rFonts w:ascii="Times New Roman" w:eastAsia="Times New Roman" w:hAnsi="Times New Roman" w:cs="Times New Roman"/>
          <w:color w:val="000000"/>
          <w:sz w:val="28"/>
          <w:szCs w:val="28"/>
          <w:lang w:eastAsia="bg-BG"/>
        </w:rPr>
      </w:pPr>
      <w:r w:rsidRPr="00E903FC">
        <w:rPr>
          <w:rFonts w:ascii="Times New Roman" w:eastAsia="Times New Roman" w:hAnsi="Times New Roman" w:cs="Times New Roman"/>
          <w:color w:val="000000"/>
          <w:sz w:val="28"/>
          <w:szCs w:val="28"/>
          <w:lang w:eastAsia="bg-BG"/>
        </w:rPr>
        <w:t>През отчетната година са налични следните данни за нивото на престъпността по регистрирани, разкрити престъпления и наказана престъпност:</w:t>
      </w:r>
    </w:p>
    <w:p w14:paraId="1300228F" w14:textId="77777777" w:rsidR="00E903FC" w:rsidRPr="00E903FC" w:rsidRDefault="00E903FC" w:rsidP="00E903FC">
      <w:pPr>
        <w:spacing w:after="0" w:line="240" w:lineRule="auto"/>
        <w:ind w:firstLine="709"/>
        <w:jc w:val="both"/>
        <w:rPr>
          <w:rFonts w:ascii="Times New Roman" w:eastAsia="Times New Roman" w:hAnsi="Times New Roman" w:cs="Times New Roman"/>
          <w:color w:val="000000"/>
          <w:sz w:val="28"/>
          <w:szCs w:val="28"/>
          <w:lang w:eastAsia="bg-BG"/>
        </w:rPr>
      </w:pPr>
    </w:p>
    <w:tbl>
      <w:tblPr>
        <w:tblW w:w="9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24"/>
        <w:gridCol w:w="1702"/>
        <w:gridCol w:w="1560"/>
        <w:gridCol w:w="1560"/>
        <w:gridCol w:w="1560"/>
      </w:tblGrid>
      <w:tr w:rsidR="00E903FC" w:rsidRPr="00E903FC" w14:paraId="3E77B6C7" w14:textId="77777777" w:rsidTr="00E903FC">
        <w:trPr>
          <w:cantSplit/>
          <w:trHeight w:val="1134"/>
        </w:trPr>
        <w:tc>
          <w:tcPr>
            <w:tcW w:w="1242" w:type="dxa"/>
            <w:tcBorders>
              <w:top w:val="single" w:sz="4" w:space="0" w:color="auto"/>
              <w:left w:val="single" w:sz="4" w:space="0" w:color="auto"/>
              <w:bottom w:val="single" w:sz="4" w:space="0" w:color="auto"/>
              <w:right w:val="single" w:sz="4" w:space="0" w:color="auto"/>
            </w:tcBorders>
            <w:hideMark/>
          </w:tcPr>
          <w:p w14:paraId="073A83BF"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lastRenderedPageBreak/>
              <w:t>година</w:t>
            </w:r>
          </w:p>
        </w:tc>
        <w:tc>
          <w:tcPr>
            <w:tcW w:w="1723" w:type="dxa"/>
            <w:tcBorders>
              <w:top w:val="single" w:sz="4" w:space="0" w:color="auto"/>
              <w:left w:val="single" w:sz="4" w:space="0" w:color="auto"/>
              <w:bottom w:val="single" w:sz="4" w:space="0" w:color="auto"/>
              <w:right w:val="single" w:sz="4" w:space="0" w:color="auto"/>
            </w:tcBorders>
            <w:hideMark/>
          </w:tcPr>
          <w:p w14:paraId="6ADCE7E9" w14:textId="77777777" w:rsidR="00E903FC" w:rsidRPr="00E903FC" w:rsidRDefault="00E903FC" w:rsidP="00E903FC">
            <w:pPr>
              <w:spacing w:after="0" w:line="240" w:lineRule="auto"/>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 xml:space="preserve">Регистрирани престъпления </w:t>
            </w:r>
          </w:p>
        </w:tc>
        <w:tc>
          <w:tcPr>
            <w:tcW w:w="1701" w:type="dxa"/>
            <w:tcBorders>
              <w:top w:val="single" w:sz="4" w:space="0" w:color="auto"/>
              <w:left w:val="single" w:sz="4" w:space="0" w:color="auto"/>
              <w:bottom w:val="single" w:sz="4" w:space="0" w:color="auto"/>
              <w:right w:val="single" w:sz="4" w:space="0" w:color="auto"/>
            </w:tcBorders>
            <w:hideMark/>
          </w:tcPr>
          <w:p w14:paraId="37B9D852" w14:textId="77777777" w:rsidR="00E903FC" w:rsidRPr="00E903FC" w:rsidRDefault="00E903FC" w:rsidP="00E903FC">
            <w:pPr>
              <w:spacing w:after="0" w:line="240" w:lineRule="auto"/>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 xml:space="preserve">Разкрити престъпления </w:t>
            </w:r>
          </w:p>
        </w:tc>
        <w:tc>
          <w:tcPr>
            <w:tcW w:w="1559" w:type="dxa"/>
            <w:tcBorders>
              <w:top w:val="single" w:sz="4" w:space="0" w:color="auto"/>
              <w:left w:val="single" w:sz="4" w:space="0" w:color="auto"/>
              <w:bottom w:val="single" w:sz="4" w:space="0" w:color="auto"/>
              <w:right w:val="single" w:sz="4" w:space="0" w:color="auto"/>
            </w:tcBorders>
            <w:hideMark/>
          </w:tcPr>
          <w:p w14:paraId="6FAC933C" w14:textId="77777777" w:rsidR="00E903FC" w:rsidRPr="00E903FC" w:rsidRDefault="00E903FC" w:rsidP="00E903FC">
            <w:pPr>
              <w:spacing w:after="0" w:line="240" w:lineRule="auto"/>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Брой прокурорски актове, внесени в съда</w:t>
            </w:r>
          </w:p>
        </w:tc>
        <w:tc>
          <w:tcPr>
            <w:tcW w:w="1559" w:type="dxa"/>
            <w:tcBorders>
              <w:top w:val="single" w:sz="4" w:space="0" w:color="auto"/>
              <w:left w:val="single" w:sz="4" w:space="0" w:color="auto"/>
              <w:bottom w:val="single" w:sz="4" w:space="0" w:color="auto"/>
              <w:right w:val="single" w:sz="4" w:space="0" w:color="auto"/>
            </w:tcBorders>
            <w:hideMark/>
          </w:tcPr>
          <w:p w14:paraId="4A994FA5" w14:textId="77777777" w:rsidR="00E903FC" w:rsidRPr="00E903FC" w:rsidRDefault="00E903FC" w:rsidP="00E903FC">
            <w:pPr>
              <w:spacing w:after="0" w:line="240" w:lineRule="auto"/>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 xml:space="preserve">Общ брой лица по внесените в съда прокурорски актове </w:t>
            </w:r>
          </w:p>
        </w:tc>
        <w:tc>
          <w:tcPr>
            <w:tcW w:w="1559" w:type="dxa"/>
            <w:tcBorders>
              <w:top w:val="single" w:sz="4" w:space="0" w:color="auto"/>
              <w:left w:val="single" w:sz="4" w:space="0" w:color="auto"/>
              <w:bottom w:val="single" w:sz="4" w:space="0" w:color="auto"/>
              <w:right w:val="single" w:sz="4" w:space="0" w:color="auto"/>
            </w:tcBorders>
            <w:hideMark/>
          </w:tcPr>
          <w:p w14:paraId="769147AD" w14:textId="77777777" w:rsidR="00E903FC" w:rsidRPr="00E903FC" w:rsidRDefault="00E903FC" w:rsidP="00E903FC">
            <w:pPr>
              <w:spacing w:after="0" w:line="240" w:lineRule="auto"/>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 xml:space="preserve">Осъдени лица с влязла в сила присъда </w:t>
            </w:r>
          </w:p>
        </w:tc>
      </w:tr>
      <w:tr w:rsidR="00E903FC" w:rsidRPr="00E903FC" w14:paraId="012D4E18" w14:textId="77777777" w:rsidTr="00E903FC">
        <w:trPr>
          <w:trHeight w:val="303"/>
        </w:trPr>
        <w:tc>
          <w:tcPr>
            <w:tcW w:w="1242" w:type="dxa"/>
            <w:tcBorders>
              <w:top w:val="single" w:sz="4" w:space="0" w:color="auto"/>
              <w:left w:val="single" w:sz="4" w:space="0" w:color="auto"/>
              <w:bottom w:val="single" w:sz="4" w:space="0" w:color="auto"/>
              <w:right w:val="single" w:sz="4" w:space="0" w:color="auto"/>
            </w:tcBorders>
            <w:shd w:val="clear" w:color="auto" w:fill="D9D9D9"/>
            <w:hideMark/>
          </w:tcPr>
          <w:p w14:paraId="11ABBEBF" w14:textId="77777777" w:rsidR="00E903FC" w:rsidRPr="00E903FC" w:rsidRDefault="00E903FC" w:rsidP="00E903FC">
            <w:pPr>
              <w:spacing w:after="0" w:line="240" w:lineRule="auto"/>
              <w:jc w:val="both"/>
              <w:rPr>
                <w:rFonts w:ascii="Times New Roman" w:eastAsia="Times New Roman" w:hAnsi="Times New Roman" w:cs="Times New Roman"/>
                <w:b/>
                <w:sz w:val="24"/>
                <w:szCs w:val="24"/>
                <w:lang w:eastAsia="bg-BG"/>
              </w:rPr>
            </w:pPr>
            <w:r w:rsidRPr="00E903FC">
              <w:rPr>
                <w:rFonts w:ascii="Times New Roman" w:eastAsia="Times New Roman" w:hAnsi="Times New Roman" w:cs="Times New Roman"/>
                <w:b/>
                <w:sz w:val="24"/>
                <w:szCs w:val="24"/>
                <w:lang w:eastAsia="bg-BG"/>
              </w:rPr>
              <w:t>2022 г.</w:t>
            </w:r>
          </w:p>
        </w:tc>
        <w:tc>
          <w:tcPr>
            <w:tcW w:w="1723" w:type="dxa"/>
            <w:tcBorders>
              <w:top w:val="single" w:sz="4" w:space="0" w:color="auto"/>
              <w:left w:val="single" w:sz="4" w:space="0" w:color="auto"/>
              <w:bottom w:val="single" w:sz="4" w:space="0" w:color="auto"/>
              <w:right w:val="single" w:sz="4" w:space="0" w:color="auto"/>
            </w:tcBorders>
            <w:shd w:val="clear" w:color="auto" w:fill="D9D9D9"/>
            <w:hideMark/>
          </w:tcPr>
          <w:p w14:paraId="04C15FAF" w14:textId="77777777" w:rsidR="00E903FC" w:rsidRPr="00E903FC" w:rsidRDefault="00E903FC" w:rsidP="00E903FC">
            <w:pPr>
              <w:spacing w:after="0" w:line="240" w:lineRule="auto"/>
              <w:ind w:firstLine="709"/>
              <w:jc w:val="both"/>
              <w:rPr>
                <w:rFonts w:ascii="Times New Roman" w:eastAsia="Times New Roman" w:hAnsi="Times New Roman" w:cs="Times New Roman"/>
                <w:b/>
                <w:sz w:val="24"/>
                <w:szCs w:val="24"/>
                <w:lang w:eastAsia="bg-BG"/>
              </w:rPr>
            </w:pPr>
            <w:r w:rsidRPr="00E903FC">
              <w:rPr>
                <w:rFonts w:ascii="Times New Roman" w:eastAsia="Times New Roman" w:hAnsi="Times New Roman" w:cs="Times New Roman"/>
                <w:b/>
                <w:bCs/>
                <w:sz w:val="24"/>
                <w:szCs w:val="24"/>
              </w:rPr>
              <w:t>1845</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09807C31" w14:textId="77777777" w:rsidR="00E903FC" w:rsidRPr="00E903FC" w:rsidRDefault="00E903FC" w:rsidP="00E903FC">
            <w:pPr>
              <w:spacing w:after="0" w:line="240" w:lineRule="auto"/>
              <w:ind w:firstLine="709"/>
              <w:jc w:val="both"/>
              <w:rPr>
                <w:rFonts w:ascii="Times New Roman" w:eastAsia="Times New Roman" w:hAnsi="Times New Roman" w:cs="Times New Roman"/>
                <w:b/>
                <w:sz w:val="24"/>
                <w:szCs w:val="24"/>
                <w:lang w:eastAsia="bg-BG"/>
              </w:rPr>
            </w:pPr>
            <w:r w:rsidRPr="00E903FC">
              <w:rPr>
                <w:rFonts w:ascii="Times New Roman" w:eastAsia="Times New Roman" w:hAnsi="Times New Roman" w:cs="Times New Roman"/>
                <w:b/>
                <w:sz w:val="24"/>
                <w:szCs w:val="24"/>
                <w:lang w:eastAsia="bg-BG"/>
              </w:rPr>
              <w:t>1018</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21291F72" w14:textId="77777777" w:rsidR="00E903FC" w:rsidRPr="00E903FC" w:rsidRDefault="00E903FC" w:rsidP="00E903FC">
            <w:pPr>
              <w:spacing w:after="0" w:line="240" w:lineRule="auto"/>
              <w:ind w:firstLine="709"/>
              <w:jc w:val="both"/>
              <w:rPr>
                <w:rFonts w:ascii="Times New Roman" w:eastAsia="Times New Roman" w:hAnsi="Times New Roman" w:cs="Times New Roman"/>
                <w:b/>
                <w:sz w:val="24"/>
                <w:szCs w:val="24"/>
                <w:lang w:eastAsia="bg-BG"/>
              </w:rPr>
            </w:pPr>
            <w:r w:rsidRPr="00E903FC">
              <w:rPr>
                <w:rFonts w:ascii="Times New Roman" w:eastAsia="Times New Roman" w:hAnsi="Times New Roman" w:cs="Times New Roman"/>
                <w:b/>
                <w:sz w:val="24"/>
                <w:szCs w:val="24"/>
                <w:lang w:eastAsia="bg-BG"/>
              </w:rPr>
              <w:t>669</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41A8225E" w14:textId="77777777" w:rsidR="00E903FC" w:rsidRPr="00E903FC" w:rsidRDefault="00E903FC" w:rsidP="00E903FC">
            <w:pPr>
              <w:spacing w:after="0" w:line="240" w:lineRule="auto"/>
              <w:ind w:firstLine="709"/>
              <w:jc w:val="both"/>
              <w:rPr>
                <w:rFonts w:ascii="Times New Roman" w:eastAsia="Times New Roman" w:hAnsi="Times New Roman" w:cs="Times New Roman"/>
                <w:b/>
                <w:sz w:val="24"/>
                <w:szCs w:val="24"/>
                <w:lang w:eastAsia="bg-BG"/>
              </w:rPr>
            </w:pPr>
            <w:r w:rsidRPr="00E903FC">
              <w:rPr>
                <w:rFonts w:ascii="Times New Roman" w:eastAsia="Times New Roman" w:hAnsi="Times New Roman" w:cs="Times New Roman"/>
                <w:b/>
                <w:sz w:val="24"/>
                <w:szCs w:val="24"/>
                <w:lang w:eastAsia="bg-BG"/>
              </w:rPr>
              <w:t>727</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6A3B54B3" w14:textId="77777777" w:rsidR="00E903FC" w:rsidRPr="00E903FC" w:rsidRDefault="00E903FC" w:rsidP="00E903FC">
            <w:pPr>
              <w:spacing w:after="0" w:line="240" w:lineRule="auto"/>
              <w:ind w:firstLine="46"/>
              <w:jc w:val="center"/>
              <w:rPr>
                <w:rFonts w:ascii="Times New Roman" w:eastAsia="Times New Roman" w:hAnsi="Times New Roman" w:cs="Times New Roman"/>
                <w:b/>
                <w:sz w:val="24"/>
                <w:szCs w:val="24"/>
                <w:lang w:eastAsia="bg-BG"/>
              </w:rPr>
            </w:pPr>
            <w:r w:rsidRPr="00E903FC">
              <w:rPr>
                <w:rFonts w:ascii="Times New Roman" w:eastAsia="Times New Roman" w:hAnsi="Times New Roman" w:cs="Times New Roman"/>
                <w:b/>
                <w:sz w:val="24"/>
                <w:szCs w:val="24"/>
                <w:lang w:eastAsia="bg-BG"/>
              </w:rPr>
              <w:t>687</w:t>
            </w:r>
          </w:p>
        </w:tc>
      </w:tr>
      <w:tr w:rsidR="00E903FC" w:rsidRPr="00E903FC" w14:paraId="31BBD916" w14:textId="77777777" w:rsidTr="00E903FC">
        <w:trPr>
          <w:trHeight w:val="109"/>
        </w:trPr>
        <w:tc>
          <w:tcPr>
            <w:tcW w:w="1242" w:type="dxa"/>
            <w:tcBorders>
              <w:top w:val="single" w:sz="4" w:space="0" w:color="auto"/>
              <w:left w:val="single" w:sz="4" w:space="0" w:color="auto"/>
              <w:bottom w:val="single" w:sz="4" w:space="0" w:color="auto"/>
              <w:right w:val="single" w:sz="4" w:space="0" w:color="auto"/>
            </w:tcBorders>
            <w:hideMark/>
          </w:tcPr>
          <w:p w14:paraId="421993E2" w14:textId="77777777" w:rsidR="00E903FC" w:rsidRPr="00E903FC" w:rsidRDefault="00E903FC" w:rsidP="00E903FC">
            <w:pPr>
              <w:spacing w:after="0" w:line="240" w:lineRule="auto"/>
              <w:jc w:val="both"/>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2021 г.</w:t>
            </w:r>
          </w:p>
        </w:tc>
        <w:tc>
          <w:tcPr>
            <w:tcW w:w="1723" w:type="dxa"/>
            <w:tcBorders>
              <w:top w:val="single" w:sz="4" w:space="0" w:color="auto"/>
              <w:left w:val="single" w:sz="4" w:space="0" w:color="auto"/>
              <w:bottom w:val="single" w:sz="4" w:space="0" w:color="auto"/>
              <w:right w:val="single" w:sz="4" w:space="0" w:color="auto"/>
            </w:tcBorders>
            <w:hideMark/>
          </w:tcPr>
          <w:p w14:paraId="6A4B2289" w14:textId="77777777" w:rsidR="00E903FC" w:rsidRPr="00E903FC" w:rsidRDefault="00E903FC" w:rsidP="00E903FC">
            <w:pPr>
              <w:spacing w:after="0" w:line="240" w:lineRule="auto"/>
              <w:ind w:firstLine="709"/>
              <w:jc w:val="both"/>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2031</w:t>
            </w:r>
          </w:p>
        </w:tc>
        <w:tc>
          <w:tcPr>
            <w:tcW w:w="1701" w:type="dxa"/>
            <w:tcBorders>
              <w:top w:val="single" w:sz="4" w:space="0" w:color="auto"/>
              <w:left w:val="single" w:sz="4" w:space="0" w:color="auto"/>
              <w:bottom w:val="single" w:sz="4" w:space="0" w:color="auto"/>
              <w:right w:val="single" w:sz="4" w:space="0" w:color="auto"/>
            </w:tcBorders>
            <w:hideMark/>
          </w:tcPr>
          <w:p w14:paraId="5F78DA7A" w14:textId="77777777" w:rsidR="00E903FC" w:rsidRPr="00E903FC" w:rsidRDefault="00E903FC" w:rsidP="00E903FC">
            <w:pPr>
              <w:spacing w:after="0" w:line="240" w:lineRule="auto"/>
              <w:ind w:firstLine="709"/>
              <w:jc w:val="both"/>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1168</w:t>
            </w:r>
          </w:p>
        </w:tc>
        <w:tc>
          <w:tcPr>
            <w:tcW w:w="1559" w:type="dxa"/>
            <w:tcBorders>
              <w:top w:val="single" w:sz="4" w:space="0" w:color="auto"/>
              <w:left w:val="single" w:sz="4" w:space="0" w:color="auto"/>
              <w:bottom w:val="single" w:sz="4" w:space="0" w:color="auto"/>
              <w:right w:val="single" w:sz="4" w:space="0" w:color="auto"/>
            </w:tcBorders>
            <w:hideMark/>
          </w:tcPr>
          <w:p w14:paraId="3A626C10" w14:textId="77777777" w:rsidR="00E903FC" w:rsidRPr="00E903FC" w:rsidRDefault="00E903FC" w:rsidP="00E903FC">
            <w:pPr>
              <w:spacing w:after="0" w:line="240" w:lineRule="auto"/>
              <w:ind w:firstLine="709"/>
              <w:jc w:val="both"/>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704</w:t>
            </w:r>
          </w:p>
        </w:tc>
        <w:tc>
          <w:tcPr>
            <w:tcW w:w="1559" w:type="dxa"/>
            <w:tcBorders>
              <w:top w:val="single" w:sz="4" w:space="0" w:color="auto"/>
              <w:left w:val="single" w:sz="4" w:space="0" w:color="auto"/>
              <w:bottom w:val="single" w:sz="4" w:space="0" w:color="auto"/>
              <w:right w:val="single" w:sz="4" w:space="0" w:color="auto"/>
            </w:tcBorders>
            <w:hideMark/>
          </w:tcPr>
          <w:p w14:paraId="6CD8714F" w14:textId="77777777" w:rsidR="00E903FC" w:rsidRPr="00E903FC" w:rsidRDefault="00E903FC" w:rsidP="00E903FC">
            <w:pPr>
              <w:spacing w:after="0" w:line="240" w:lineRule="auto"/>
              <w:ind w:firstLine="709"/>
              <w:jc w:val="both"/>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746</w:t>
            </w:r>
          </w:p>
        </w:tc>
        <w:tc>
          <w:tcPr>
            <w:tcW w:w="1559" w:type="dxa"/>
            <w:tcBorders>
              <w:top w:val="single" w:sz="4" w:space="0" w:color="auto"/>
              <w:left w:val="single" w:sz="4" w:space="0" w:color="auto"/>
              <w:bottom w:val="single" w:sz="4" w:space="0" w:color="auto"/>
              <w:right w:val="single" w:sz="4" w:space="0" w:color="auto"/>
            </w:tcBorders>
            <w:hideMark/>
          </w:tcPr>
          <w:p w14:paraId="467FD930" w14:textId="77777777" w:rsidR="00E903FC" w:rsidRPr="00E903FC" w:rsidRDefault="00E903FC" w:rsidP="00E903FC">
            <w:pPr>
              <w:spacing w:after="0" w:line="240" w:lineRule="auto"/>
              <w:ind w:firstLine="46"/>
              <w:jc w:val="center"/>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707</w:t>
            </w:r>
          </w:p>
        </w:tc>
      </w:tr>
      <w:tr w:rsidR="00E903FC" w:rsidRPr="00E903FC" w14:paraId="452EA39D" w14:textId="77777777" w:rsidTr="00E903FC">
        <w:trPr>
          <w:trHeight w:val="109"/>
        </w:trPr>
        <w:tc>
          <w:tcPr>
            <w:tcW w:w="1242" w:type="dxa"/>
            <w:tcBorders>
              <w:top w:val="single" w:sz="4" w:space="0" w:color="auto"/>
              <w:left w:val="single" w:sz="4" w:space="0" w:color="auto"/>
              <w:bottom w:val="single" w:sz="4" w:space="0" w:color="auto"/>
              <w:right w:val="single" w:sz="4" w:space="0" w:color="auto"/>
            </w:tcBorders>
            <w:hideMark/>
          </w:tcPr>
          <w:p w14:paraId="0E83E1E2" w14:textId="77777777" w:rsidR="00E903FC" w:rsidRPr="00E903FC" w:rsidRDefault="00E903FC" w:rsidP="00E903FC">
            <w:pPr>
              <w:spacing w:after="0" w:line="240" w:lineRule="auto"/>
              <w:jc w:val="both"/>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2020 г.</w:t>
            </w:r>
          </w:p>
        </w:tc>
        <w:tc>
          <w:tcPr>
            <w:tcW w:w="1723" w:type="dxa"/>
            <w:tcBorders>
              <w:top w:val="single" w:sz="4" w:space="0" w:color="auto"/>
              <w:left w:val="single" w:sz="4" w:space="0" w:color="auto"/>
              <w:bottom w:val="single" w:sz="4" w:space="0" w:color="auto"/>
              <w:right w:val="single" w:sz="4" w:space="0" w:color="auto"/>
            </w:tcBorders>
            <w:hideMark/>
          </w:tcPr>
          <w:p w14:paraId="747D5A1D" w14:textId="77777777" w:rsidR="00E903FC" w:rsidRPr="00E903FC" w:rsidRDefault="00E903FC" w:rsidP="00E903FC">
            <w:pPr>
              <w:spacing w:after="0" w:line="240" w:lineRule="auto"/>
              <w:ind w:firstLine="709"/>
              <w:jc w:val="both"/>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2133</w:t>
            </w:r>
          </w:p>
        </w:tc>
        <w:tc>
          <w:tcPr>
            <w:tcW w:w="1701" w:type="dxa"/>
            <w:tcBorders>
              <w:top w:val="single" w:sz="4" w:space="0" w:color="auto"/>
              <w:left w:val="single" w:sz="4" w:space="0" w:color="auto"/>
              <w:bottom w:val="single" w:sz="4" w:space="0" w:color="auto"/>
              <w:right w:val="single" w:sz="4" w:space="0" w:color="auto"/>
            </w:tcBorders>
            <w:hideMark/>
          </w:tcPr>
          <w:p w14:paraId="07F70186" w14:textId="77777777" w:rsidR="00E903FC" w:rsidRPr="00E903FC" w:rsidRDefault="00E903FC" w:rsidP="00E903FC">
            <w:pPr>
              <w:spacing w:after="0" w:line="240" w:lineRule="auto"/>
              <w:ind w:firstLine="709"/>
              <w:jc w:val="both"/>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944</w:t>
            </w:r>
          </w:p>
        </w:tc>
        <w:tc>
          <w:tcPr>
            <w:tcW w:w="1559" w:type="dxa"/>
            <w:tcBorders>
              <w:top w:val="single" w:sz="4" w:space="0" w:color="auto"/>
              <w:left w:val="single" w:sz="4" w:space="0" w:color="auto"/>
              <w:bottom w:val="single" w:sz="4" w:space="0" w:color="auto"/>
              <w:right w:val="single" w:sz="4" w:space="0" w:color="auto"/>
            </w:tcBorders>
            <w:hideMark/>
          </w:tcPr>
          <w:p w14:paraId="2A02363E" w14:textId="77777777" w:rsidR="00E903FC" w:rsidRPr="00E903FC" w:rsidRDefault="00E903FC" w:rsidP="00E903FC">
            <w:pPr>
              <w:spacing w:after="0" w:line="240" w:lineRule="auto"/>
              <w:ind w:firstLine="709"/>
              <w:jc w:val="both"/>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775</w:t>
            </w:r>
          </w:p>
        </w:tc>
        <w:tc>
          <w:tcPr>
            <w:tcW w:w="1559" w:type="dxa"/>
            <w:tcBorders>
              <w:top w:val="single" w:sz="4" w:space="0" w:color="auto"/>
              <w:left w:val="single" w:sz="4" w:space="0" w:color="auto"/>
              <w:bottom w:val="single" w:sz="4" w:space="0" w:color="auto"/>
              <w:right w:val="single" w:sz="4" w:space="0" w:color="auto"/>
            </w:tcBorders>
            <w:hideMark/>
          </w:tcPr>
          <w:p w14:paraId="31E7A3B8" w14:textId="77777777" w:rsidR="00E903FC" w:rsidRPr="00E903FC" w:rsidRDefault="00E903FC" w:rsidP="00E903FC">
            <w:pPr>
              <w:spacing w:after="0" w:line="240" w:lineRule="auto"/>
              <w:ind w:firstLine="709"/>
              <w:jc w:val="both"/>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843</w:t>
            </w:r>
          </w:p>
        </w:tc>
        <w:tc>
          <w:tcPr>
            <w:tcW w:w="1559" w:type="dxa"/>
            <w:tcBorders>
              <w:top w:val="single" w:sz="4" w:space="0" w:color="auto"/>
              <w:left w:val="single" w:sz="4" w:space="0" w:color="auto"/>
              <w:bottom w:val="single" w:sz="4" w:space="0" w:color="auto"/>
              <w:right w:val="single" w:sz="4" w:space="0" w:color="auto"/>
            </w:tcBorders>
            <w:hideMark/>
          </w:tcPr>
          <w:p w14:paraId="1E80905B" w14:textId="77777777" w:rsidR="00E903FC" w:rsidRPr="00E903FC" w:rsidRDefault="00E903FC" w:rsidP="00E903FC">
            <w:pPr>
              <w:spacing w:after="0" w:line="240" w:lineRule="auto"/>
              <w:ind w:firstLine="46"/>
              <w:jc w:val="center"/>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747</w:t>
            </w:r>
          </w:p>
        </w:tc>
      </w:tr>
    </w:tbl>
    <w:p w14:paraId="29478C7D"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rPr>
      </w:pPr>
    </w:p>
    <w:p w14:paraId="38E551B5"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В заключение – от регистрираните 1845 престъпления са разкрити 55,2% срещу 57,5% за 2021 г. и 44,26% за 2020 г.</w:t>
      </w:r>
      <w:r w:rsidRPr="00E903FC">
        <w:rPr>
          <w:rFonts w:ascii="Times New Roman" w:eastAsia="Times New Roman" w:hAnsi="Times New Roman" w:cs="Times New Roman"/>
          <w:color w:val="000000"/>
          <w:sz w:val="28"/>
          <w:szCs w:val="28"/>
          <w:lang w:eastAsia="bg-BG"/>
        </w:rPr>
        <w:t xml:space="preserve"> Отчита се незначително намаление на процента разкриваемост </w:t>
      </w:r>
      <w:r w:rsidRPr="00E903FC">
        <w:rPr>
          <w:rFonts w:ascii="Times New Roman" w:eastAsia="Times New Roman" w:hAnsi="Times New Roman" w:cs="Times New Roman"/>
          <w:sz w:val="28"/>
          <w:szCs w:val="28"/>
          <w:lang w:eastAsia="bg-BG"/>
        </w:rPr>
        <w:t xml:space="preserve">спрямо 2021 г. и </w:t>
      </w:r>
      <w:r w:rsidRPr="00E903FC">
        <w:rPr>
          <w:rFonts w:ascii="Times New Roman" w:eastAsia="Times New Roman" w:hAnsi="Times New Roman" w:cs="Times New Roman"/>
          <w:color w:val="000000"/>
          <w:sz w:val="28"/>
          <w:szCs w:val="28"/>
          <w:lang w:eastAsia="bg-BG"/>
        </w:rPr>
        <w:t>увеличение</w:t>
      </w:r>
      <w:r w:rsidRPr="00E903FC">
        <w:rPr>
          <w:rFonts w:ascii="Times New Roman" w:eastAsia="Times New Roman" w:hAnsi="Times New Roman" w:cs="Times New Roman"/>
          <w:sz w:val="28"/>
          <w:szCs w:val="28"/>
          <w:lang w:eastAsia="bg-BG"/>
        </w:rPr>
        <w:t xml:space="preserve"> спрямо 2020 г. </w:t>
      </w:r>
    </w:p>
    <w:p w14:paraId="507C4C5E" w14:textId="11AEE089" w:rsidR="00E903FC" w:rsidRPr="00E903FC" w:rsidRDefault="00E903FC" w:rsidP="00E903FC">
      <w:pPr>
        <w:spacing w:after="0" w:line="240" w:lineRule="auto"/>
        <w:ind w:firstLine="709"/>
        <w:jc w:val="both"/>
        <w:rPr>
          <w:rFonts w:ascii="Times New Roman" w:eastAsia="Calibri" w:hAnsi="Times New Roman" w:cs="Times New Roman"/>
          <w:sz w:val="28"/>
          <w:szCs w:val="28"/>
        </w:rPr>
      </w:pPr>
      <w:r w:rsidRPr="00E903FC">
        <w:rPr>
          <w:rFonts w:ascii="Times New Roman" w:eastAsia="Times New Roman" w:hAnsi="Times New Roman" w:cs="Times New Roman"/>
          <w:sz w:val="28"/>
          <w:szCs w:val="28"/>
          <w:lang w:eastAsia="bg-BG"/>
        </w:rPr>
        <w:t xml:space="preserve">Въпреки тези сравнително положителни характеристики за разкритите престъпления, това са  общоопасните – преди всичко транспортни, при които деецът винаги е известен. Голяма част от престъпленията обаче остават неразкрити, или ако деецът е установен, то деянието е малозначително (най-често при посегателствата срещу собствеността или при престъпления, свързани с държане на наркотични вещества). Забелязва се запазване на нивото на разкриваемостта на престъпленията срещу личността и увеличение при разкриваемостта на икономическите престъпления, престъпленията срещу собствеността и на </w:t>
      </w:r>
      <w:r w:rsidRPr="00E903FC">
        <w:rPr>
          <w:rFonts w:ascii="Times New Roman" w:eastAsia="Calibri" w:hAnsi="Times New Roman" w:cs="Times New Roman"/>
          <w:sz w:val="28"/>
          <w:szCs w:val="28"/>
        </w:rPr>
        <w:t>престъпленията по линия наркотици.</w:t>
      </w:r>
    </w:p>
    <w:p w14:paraId="4B8A9427"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Запазват се негативните тенденции в състоянието на икономиката в региона, поради което се очаква устойчивост в активността на груповата, младежката и рецидивна престъпност, както и на престъпните деяния, извършвани от лица от ромски произход. Като цяло основните параметри на оперативната обстановка през 2021 година отбелязват намаление в количествено отношение на регистрираните престъпления, и увеличение на разкритите престъпления спрямо предходните отчетни години.</w:t>
      </w:r>
    </w:p>
    <w:p w14:paraId="1E628C7D"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 xml:space="preserve">Структурата на вида на престъпленията по внесените в съда прокурорски актове съответства на структурата на разкритите престъпления през отчетния период. </w:t>
      </w:r>
    </w:p>
    <w:p w14:paraId="45B4559A" w14:textId="2B682F77" w:rsidR="00E903FC" w:rsidRPr="00E903FC" w:rsidRDefault="00E903FC" w:rsidP="00E903FC">
      <w:pPr>
        <w:spacing w:after="0" w:line="240" w:lineRule="auto"/>
        <w:ind w:firstLine="709"/>
        <w:jc w:val="both"/>
        <w:rPr>
          <w:rFonts w:ascii="Times New Roman" w:eastAsia="Times New Roman" w:hAnsi="Times New Roman" w:cs="Times New Roman"/>
          <w:bCs/>
          <w:sz w:val="28"/>
          <w:szCs w:val="28"/>
          <w:lang w:eastAsia="bg-BG"/>
        </w:rPr>
      </w:pPr>
      <w:r w:rsidRPr="00E903FC">
        <w:rPr>
          <w:rFonts w:ascii="Times New Roman" w:eastAsia="Times New Roman" w:hAnsi="Times New Roman" w:cs="Times New Roman"/>
          <w:sz w:val="28"/>
          <w:szCs w:val="28"/>
          <w:lang w:eastAsia="bg-BG"/>
        </w:rPr>
        <w:t>През 20</w:t>
      </w:r>
      <w:r w:rsidRPr="00E903FC">
        <w:rPr>
          <w:rFonts w:ascii="Times New Roman" w:eastAsia="Times New Roman" w:hAnsi="Times New Roman" w:cs="Times New Roman"/>
          <w:sz w:val="28"/>
          <w:szCs w:val="28"/>
          <w:lang w:val="en-US" w:eastAsia="bg-BG"/>
        </w:rPr>
        <w:t>2</w:t>
      </w:r>
      <w:r w:rsidRPr="00E903FC">
        <w:rPr>
          <w:rFonts w:ascii="Times New Roman" w:eastAsia="Times New Roman" w:hAnsi="Times New Roman" w:cs="Times New Roman"/>
          <w:sz w:val="28"/>
          <w:szCs w:val="28"/>
          <w:lang w:eastAsia="bg-BG"/>
        </w:rPr>
        <w:t xml:space="preserve">2 г. общо внесените прокурорски актове в съда са 669 при </w:t>
      </w:r>
      <w:r w:rsidRPr="00E903FC">
        <w:rPr>
          <w:rFonts w:ascii="Times New Roman" w:eastAsia="Times New Roman" w:hAnsi="Times New Roman" w:cs="Times New Roman"/>
          <w:sz w:val="28"/>
          <w:szCs w:val="28"/>
          <w:lang w:val="en-US" w:eastAsia="bg-BG"/>
        </w:rPr>
        <w:t>7</w:t>
      </w:r>
      <w:r w:rsidRPr="00E903FC">
        <w:rPr>
          <w:rFonts w:ascii="Times New Roman" w:eastAsia="Times New Roman" w:hAnsi="Times New Roman" w:cs="Times New Roman"/>
          <w:sz w:val="28"/>
          <w:szCs w:val="28"/>
          <w:lang w:eastAsia="bg-BG"/>
        </w:rPr>
        <w:t xml:space="preserve">04 за 2021 г. и 775 за 2020 г. През отчетния период най-много прокурорски актове са внесени в съда  отново за общоопасни </w:t>
      </w:r>
      <w:r w:rsidRPr="00E903FC">
        <w:rPr>
          <w:rFonts w:ascii="Times New Roman" w:eastAsia="Times New Roman" w:hAnsi="Times New Roman" w:cs="Times New Roman"/>
          <w:bCs/>
          <w:sz w:val="28"/>
          <w:szCs w:val="28"/>
          <w:lang w:eastAsia="bg-BG"/>
        </w:rPr>
        <w:t xml:space="preserve">престъпления (глава XI от НК) – </w:t>
      </w:r>
      <w:r w:rsidRPr="00E903FC">
        <w:rPr>
          <w:rFonts w:ascii="Times New Roman" w:eastAsia="Times New Roman" w:hAnsi="Times New Roman" w:cs="Times New Roman"/>
          <w:bCs/>
          <w:sz w:val="28"/>
          <w:szCs w:val="28"/>
          <w:lang w:val="en-US" w:eastAsia="bg-BG"/>
        </w:rPr>
        <w:t>5</w:t>
      </w:r>
      <w:r w:rsidRPr="00E903FC">
        <w:rPr>
          <w:rFonts w:ascii="Times New Roman" w:eastAsia="Times New Roman" w:hAnsi="Times New Roman" w:cs="Times New Roman"/>
          <w:bCs/>
          <w:sz w:val="28"/>
          <w:szCs w:val="28"/>
          <w:lang w:eastAsia="bg-BG"/>
        </w:rPr>
        <w:t xml:space="preserve">1%. </w:t>
      </w:r>
      <w:r w:rsidR="00362242">
        <w:rPr>
          <w:rFonts w:ascii="Times New Roman" w:eastAsia="Times New Roman" w:hAnsi="Times New Roman" w:cs="Times New Roman"/>
          <w:bCs/>
          <w:sz w:val="28"/>
          <w:szCs w:val="28"/>
          <w:lang w:eastAsia="bg-BG"/>
        </w:rPr>
        <w:tab/>
      </w:r>
      <w:r w:rsidRPr="00362242">
        <w:rPr>
          <w:rFonts w:ascii="Times New Roman" w:eastAsia="Times New Roman" w:hAnsi="Times New Roman" w:cs="Times New Roman"/>
          <w:bCs/>
          <w:sz w:val="28"/>
          <w:szCs w:val="28"/>
          <w:lang w:eastAsia="bg-BG"/>
        </w:rPr>
        <w:t>55%</w:t>
      </w:r>
      <w:r w:rsidRPr="00E903FC">
        <w:rPr>
          <w:rFonts w:ascii="Times New Roman" w:eastAsia="Times New Roman" w:hAnsi="Times New Roman" w:cs="Times New Roman"/>
          <w:bCs/>
          <w:sz w:val="28"/>
          <w:szCs w:val="28"/>
          <w:lang w:eastAsia="bg-BG"/>
        </w:rPr>
        <w:t xml:space="preserve"> е било това съотношението спрямо общия брой внесени актове за 2021 г. и </w:t>
      </w:r>
      <w:r w:rsidRPr="00E903FC">
        <w:rPr>
          <w:rFonts w:ascii="Times New Roman" w:eastAsia="Times New Roman" w:hAnsi="Times New Roman" w:cs="Times New Roman"/>
          <w:bCs/>
          <w:sz w:val="28"/>
          <w:szCs w:val="28"/>
          <w:lang w:val="en-US" w:eastAsia="bg-BG"/>
        </w:rPr>
        <w:t>5</w:t>
      </w:r>
      <w:r w:rsidRPr="00E903FC">
        <w:rPr>
          <w:rFonts w:ascii="Times New Roman" w:eastAsia="Times New Roman" w:hAnsi="Times New Roman" w:cs="Times New Roman"/>
          <w:bCs/>
          <w:sz w:val="28"/>
          <w:szCs w:val="28"/>
          <w:lang w:eastAsia="bg-BG"/>
        </w:rPr>
        <w:t>6</w:t>
      </w:r>
      <w:r w:rsidRPr="00E903FC">
        <w:rPr>
          <w:rFonts w:ascii="Times New Roman" w:eastAsia="Times New Roman" w:hAnsi="Times New Roman" w:cs="Times New Roman"/>
          <w:bCs/>
          <w:sz w:val="28"/>
          <w:szCs w:val="28"/>
          <w:lang w:val="en-US" w:eastAsia="bg-BG"/>
        </w:rPr>
        <w:t xml:space="preserve">% </w:t>
      </w:r>
      <w:r w:rsidRPr="00E903FC">
        <w:rPr>
          <w:rFonts w:ascii="Times New Roman" w:eastAsia="Times New Roman" w:hAnsi="Times New Roman" w:cs="Times New Roman"/>
          <w:bCs/>
          <w:sz w:val="28"/>
          <w:szCs w:val="28"/>
          <w:lang w:eastAsia="bg-BG"/>
        </w:rPr>
        <w:t>за 2020 г. На следващо място са актовете за престъпления против собствеността (глава V от НК) – 15,5%</w:t>
      </w:r>
      <w:r w:rsidR="003A6CCC">
        <w:rPr>
          <w:rFonts w:ascii="Times New Roman" w:eastAsia="Times New Roman" w:hAnsi="Times New Roman" w:cs="Times New Roman"/>
          <w:bCs/>
          <w:sz w:val="28"/>
          <w:szCs w:val="28"/>
          <w:lang w:eastAsia="bg-BG"/>
        </w:rPr>
        <w:t xml:space="preserve">, </w:t>
      </w:r>
      <w:r w:rsidRPr="00E903FC">
        <w:rPr>
          <w:rFonts w:ascii="Times New Roman" w:eastAsia="Times New Roman" w:hAnsi="Times New Roman" w:cs="Times New Roman"/>
          <w:bCs/>
          <w:sz w:val="28"/>
          <w:szCs w:val="28"/>
          <w:lang w:eastAsia="bg-BG"/>
        </w:rPr>
        <w:t xml:space="preserve"> при 14,91% за 2021 г. и 14,45% за 2020 г. </w:t>
      </w:r>
    </w:p>
    <w:p w14:paraId="3244C5A5"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 xml:space="preserve">Значително по-малък е делът на актовете за престъпления против стопанството (глава VI НК) – 10,16% при 9,23% за 2021 г. и 11,09% за 2020 г. </w:t>
      </w:r>
    </w:p>
    <w:p w14:paraId="135F1679"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Малък е и делът на престъпленията против брака, семейството и младежта (глава IV НК) – 4,6% срещу 3,4% за 2021 г. и 3,2% за 2020 г.; макар и не с много увеличен е дела на документните престъпления (глава IX НК) – 6,6% срещу 5,1% за 2021 г. и 5,3% за 2020 г., намалял е делът на престъпленията против дейността на държавните органи и обществени организации (глава VІІІ от НК) – 1,94% при 3,1% за 2021г. и 2,2% за 2020 г.</w:t>
      </w:r>
    </w:p>
    <w:p w14:paraId="41EDD708"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lastRenderedPageBreak/>
        <w:t>От посочените стойности и съотношения се установява, че актовете за общоопасни престъпления макар и леко намалели в процентно съотношение  спрямо двата предходни периода отново са на първо място за отчетната година. Налице е увеличение на съотношението на актовете за престъпления срещу собствеността спрямо общия им брой. Намалял е обаче делът на актовете за престъпления против дейността на държавните органи спрямо и двата предходни периода. Увеличен е незначително делът на престъпленията против стопанството и документните престъпления. Увеличен е незначително - 7% делът на актовете за престъпления срещу личността при 6% за 2021 г. и 5% за 2020 г.</w:t>
      </w:r>
    </w:p>
    <w:p w14:paraId="5C5F14C9" w14:textId="77777777" w:rsidR="00E903FC" w:rsidRPr="00E903FC" w:rsidRDefault="00E903FC" w:rsidP="00E903FC">
      <w:pPr>
        <w:spacing w:after="0" w:line="240" w:lineRule="auto"/>
        <w:ind w:firstLine="709"/>
        <w:jc w:val="both"/>
        <w:rPr>
          <w:rFonts w:ascii="Times New Roman" w:eastAsia="Times New Roman" w:hAnsi="Times New Roman" w:cs="Times New Roman"/>
          <w:b/>
          <w:bCs/>
          <w:i/>
          <w:sz w:val="28"/>
          <w:szCs w:val="28"/>
          <w:lang w:eastAsia="bg-BG"/>
        </w:rPr>
      </w:pPr>
    </w:p>
    <w:p w14:paraId="46AD5CC7" w14:textId="77777777" w:rsidR="00E903FC" w:rsidRPr="00E903FC" w:rsidRDefault="00E903FC" w:rsidP="00E903FC">
      <w:pPr>
        <w:ind w:firstLine="708"/>
        <w:rPr>
          <w:rFonts w:ascii="Times New Roman" w:eastAsia="Calibri" w:hAnsi="Times New Roman" w:cs="Times New Roman"/>
          <w:b/>
          <w:i/>
          <w:sz w:val="28"/>
          <w:szCs w:val="28"/>
          <w:u w:val="single"/>
        </w:rPr>
      </w:pPr>
      <w:r w:rsidRPr="00E903FC">
        <w:rPr>
          <w:rFonts w:ascii="Times New Roman" w:eastAsia="Calibri" w:hAnsi="Times New Roman" w:cs="Times New Roman"/>
          <w:b/>
          <w:i/>
          <w:sz w:val="28"/>
          <w:szCs w:val="28"/>
          <w:u w:val="single"/>
        </w:rPr>
        <w:t>1.3. Обобщени данни по основни показатели за дейността на разследващите органи и на прокуратурата:</w:t>
      </w:r>
    </w:p>
    <w:p w14:paraId="03CD1E81" w14:textId="77777777" w:rsidR="00E903FC" w:rsidRPr="00E903FC" w:rsidRDefault="00E903FC" w:rsidP="00E903FC">
      <w:pPr>
        <w:spacing w:after="0" w:line="240" w:lineRule="auto"/>
        <w:ind w:firstLine="709"/>
        <w:jc w:val="both"/>
        <w:rPr>
          <w:rFonts w:ascii="Times New Roman" w:eastAsia="Times New Roman" w:hAnsi="Times New Roman" w:cs="Times New Roman"/>
          <w:color w:val="000000"/>
          <w:sz w:val="28"/>
          <w:szCs w:val="28"/>
          <w:lang w:eastAsia="bg-BG"/>
        </w:rPr>
      </w:pPr>
      <w:r w:rsidRPr="00E903FC">
        <w:rPr>
          <w:rFonts w:ascii="Times New Roman" w:eastAsia="Times New Roman" w:hAnsi="Times New Roman" w:cs="Times New Roman"/>
          <w:color w:val="000000"/>
          <w:sz w:val="28"/>
          <w:szCs w:val="28"/>
          <w:u w:val="single"/>
          <w:lang w:eastAsia="bg-BG"/>
        </w:rPr>
        <w:t>Преписки и наказателни производства</w:t>
      </w:r>
      <w:r w:rsidRPr="00E903FC">
        <w:rPr>
          <w:rFonts w:ascii="Times New Roman" w:eastAsia="Times New Roman" w:hAnsi="Times New Roman" w:cs="Times New Roman"/>
          <w:color w:val="000000"/>
          <w:sz w:val="28"/>
          <w:szCs w:val="28"/>
          <w:lang w:eastAsia="bg-BG"/>
        </w:rPr>
        <w:t xml:space="preserve"> – представя таблично обобщение в абсолютни стойности на всички преписки и досъдебни производства. Данните обхващат дейността на прокурорите и на разследващите органи за последните три години:</w:t>
      </w:r>
    </w:p>
    <w:p w14:paraId="6F17F707" w14:textId="77777777" w:rsidR="00E903FC" w:rsidRPr="00E903FC" w:rsidRDefault="00E903FC" w:rsidP="00E903FC">
      <w:pPr>
        <w:spacing w:after="0" w:line="240" w:lineRule="auto"/>
        <w:ind w:firstLine="709"/>
        <w:jc w:val="both"/>
        <w:rPr>
          <w:rFonts w:ascii="Times New Roman" w:eastAsia="Times New Roman" w:hAnsi="Times New Roman" w:cs="Times New Roman"/>
          <w:color w:val="000000"/>
          <w:sz w:val="28"/>
          <w:szCs w:val="28"/>
          <w:lang w:eastAsia="bg-BG"/>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844"/>
        <w:gridCol w:w="1844"/>
        <w:gridCol w:w="2269"/>
      </w:tblGrid>
      <w:tr w:rsidR="00E903FC" w:rsidRPr="00E903FC" w14:paraId="349C711A" w14:textId="77777777" w:rsidTr="00E903FC">
        <w:trPr>
          <w:trHeight w:val="111"/>
        </w:trPr>
        <w:tc>
          <w:tcPr>
            <w:tcW w:w="3402" w:type="dxa"/>
            <w:tcBorders>
              <w:top w:val="single" w:sz="4" w:space="0" w:color="auto"/>
              <w:left w:val="single" w:sz="4" w:space="0" w:color="auto"/>
              <w:bottom w:val="single" w:sz="4" w:space="0" w:color="auto"/>
              <w:right w:val="single" w:sz="4" w:space="0" w:color="auto"/>
            </w:tcBorders>
            <w:hideMark/>
          </w:tcPr>
          <w:p w14:paraId="056CC248" w14:textId="77777777" w:rsidR="00E903FC" w:rsidRPr="00E903FC" w:rsidRDefault="00E903FC" w:rsidP="00E903FC">
            <w:pPr>
              <w:spacing w:after="0" w:line="240" w:lineRule="auto"/>
              <w:ind w:firstLine="709"/>
              <w:jc w:val="both"/>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 xml:space="preserve">Показатели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3865E5A6" w14:textId="77777777" w:rsidR="00E903FC" w:rsidRPr="00E903FC" w:rsidRDefault="00E903FC" w:rsidP="00E903FC">
            <w:pPr>
              <w:spacing w:after="0" w:line="240" w:lineRule="auto"/>
              <w:ind w:firstLine="709"/>
              <w:jc w:val="both"/>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2022 г.</w:t>
            </w:r>
          </w:p>
        </w:tc>
        <w:tc>
          <w:tcPr>
            <w:tcW w:w="1843" w:type="dxa"/>
            <w:tcBorders>
              <w:top w:val="single" w:sz="4" w:space="0" w:color="auto"/>
              <w:left w:val="single" w:sz="4" w:space="0" w:color="auto"/>
              <w:bottom w:val="single" w:sz="4" w:space="0" w:color="auto"/>
              <w:right w:val="single" w:sz="4" w:space="0" w:color="auto"/>
            </w:tcBorders>
            <w:hideMark/>
          </w:tcPr>
          <w:p w14:paraId="3827F290" w14:textId="77777777" w:rsidR="00E903FC" w:rsidRPr="00E903FC" w:rsidRDefault="00E903FC" w:rsidP="00E903FC">
            <w:pPr>
              <w:spacing w:after="0" w:line="240" w:lineRule="auto"/>
              <w:ind w:firstLine="709"/>
              <w:jc w:val="both"/>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2021 г.</w:t>
            </w:r>
          </w:p>
        </w:tc>
        <w:tc>
          <w:tcPr>
            <w:tcW w:w="2268" w:type="dxa"/>
            <w:tcBorders>
              <w:top w:val="single" w:sz="4" w:space="0" w:color="auto"/>
              <w:left w:val="single" w:sz="4" w:space="0" w:color="auto"/>
              <w:bottom w:val="single" w:sz="4" w:space="0" w:color="auto"/>
              <w:right w:val="single" w:sz="4" w:space="0" w:color="auto"/>
            </w:tcBorders>
            <w:hideMark/>
          </w:tcPr>
          <w:p w14:paraId="6F914F4F" w14:textId="77777777" w:rsidR="00E903FC" w:rsidRPr="00E903FC" w:rsidRDefault="00E903FC" w:rsidP="00E903FC">
            <w:pPr>
              <w:spacing w:after="0" w:line="240" w:lineRule="auto"/>
              <w:ind w:firstLine="709"/>
              <w:jc w:val="both"/>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2020 г</w:t>
            </w:r>
            <w:r w:rsidRPr="00E903FC">
              <w:rPr>
                <w:rFonts w:ascii="Times New Roman" w:eastAsia="Times New Roman" w:hAnsi="Times New Roman" w:cs="Times New Roman"/>
                <w:b/>
                <w:bCs/>
                <w:sz w:val="24"/>
                <w:szCs w:val="24"/>
                <w:lang w:eastAsia="bg-BG"/>
              </w:rPr>
              <w:t>.</w:t>
            </w:r>
          </w:p>
        </w:tc>
      </w:tr>
      <w:tr w:rsidR="00E903FC" w:rsidRPr="00E903FC" w14:paraId="62B1B225" w14:textId="77777777" w:rsidTr="00E903FC">
        <w:trPr>
          <w:trHeight w:val="109"/>
        </w:trPr>
        <w:tc>
          <w:tcPr>
            <w:tcW w:w="9356" w:type="dxa"/>
            <w:gridSpan w:val="4"/>
            <w:tcBorders>
              <w:top w:val="single" w:sz="4" w:space="0" w:color="auto"/>
              <w:left w:val="single" w:sz="4" w:space="0" w:color="auto"/>
              <w:bottom w:val="single" w:sz="4" w:space="0" w:color="auto"/>
              <w:right w:val="single" w:sz="4" w:space="0" w:color="auto"/>
            </w:tcBorders>
          </w:tcPr>
          <w:p w14:paraId="70ABBF65" w14:textId="77777777" w:rsidR="00E903FC" w:rsidRPr="00E903FC" w:rsidRDefault="00E903FC" w:rsidP="00E903FC">
            <w:pPr>
              <w:spacing w:after="0" w:line="240" w:lineRule="auto"/>
              <w:ind w:firstLine="709"/>
              <w:jc w:val="both"/>
              <w:rPr>
                <w:rFonts w:ascii="Times New Roman" w:eastAsia="Times New Roman" w:hAnsi="Times New Roman" w:cs="Times New Roman"/>
                <w:b/>
                <w:bCs/>
                <w:sz w:val="24"/>
                <w:szCs w:val="24"/>
                <w:lang w:eastAsia="bg-BG"/>
              </w:rPr>
            </w:pPr>
          </w:p>
          <w:p w14:paraId="07DA7470" w14:textId="77777777" w:rsidR="00E903FC" w:rsidRPr="00E903FC" w:rsidRDefault="00E903FC" w:rsidP="00E903FC">
            <w:pPr>
              <w:spacing w:after="0" w:line="240" w:lineRule="auto"/>
              <w:ind w:firstLine="709"/>
              <w:jc w:val="both"/>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Преписки</w:t>
            </w:r>
          </w:p>
        </w:tc>
      </w:tr>
      <w:tr w:rsidR="00E903FC" w:rsidRPr="00E903FC" w14:paraId="13D6CD70" w14:textId="77777777" w:rsidTr="00E903FC">
        <w:trPr>
          <w:trHeight w:val="111"/>
        </w:trPr>
        <w:tc>
          <w:tcPr>
            <w:tcW w:w="3402" w:type="dxa"/>
            <w:tcBorders>
              <w:top w:val="single" w:sz="4" w:space="0" w:color="auto"/>
              <w:left w:val="single" w:sz="4" w:space="0" w:color="auto"/>
              <w:bottom w:val="single" w:sz="4" w:space="0" w:color="auto"/>
              <w:right w:val="single" w:sz="4" w:space="0" w:color="auto"/>
            </w:tcBorders>
            <w:hideMark/>
          </w:tcPr>
          <w:p w14:paraId="560C1DE4"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Преписки на ОП и РП</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29E3959C"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5572</w:t>
            </w:r>
          </w:p>
        </w:tc>
        <w:tc>
          <w:tcPr>
            <w:tcW w:w="1843" w:type="dxa"/>
            <w:tcBorders>
              <w:top w:val="single" w:sz="4" w:space="0" w:color="auto"/>
              <w:left w:val="single" w:sz="4" w:space="0" w:color="auto"/>
              <w:bottom w:val="single" w:sz="4" w:space="0" w:color="auto"/>
              <w:right w:val="single" w:sz="4" w:space="0" w:color="auto"/>
            </w:tcBorders>
            <w:hideMark/>
          </w:tcPr>
          <w:p w14:paraId="1AEF5D16"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5903</w:t>
            </w:r>
          </w:p>
        </w:tc>
        <w:tc>
          <w:tcPr>
            <w:tcW w:w="2268" w:type="dxa"/>
            <w:tcBorders>
              <w:top w:val="single" w:sz="4" w:space="0" w:color="auto"/>
              <w:left w:val="single" w:sz="4" w:space="0" w:color="auto"/>
              <w:bottom w:val="single" w:sz="4" w:space="0" w:color="auto"/>
              <w:right w:val="single" w:sz="4" w:space="0" w:color="auto"/>
            </w:tcBorders>
            <w:hideMark/>
          </w:tcPr>
          <w:p w14:paraId="6BD2DF8B" w14:textId="77777777" w:rsidR="00E903FC" w:rsidRPr="00E903FC" w:rsidRDefault="00E903FC" w:rsidP="00E903FC">
            <w:pPr>
              <w:spacing w:after="0" w:line="240" w:lineRule="auto"/>
              <w:ind w:firstLine="709"/>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
                <w:bCs/>
                <w:sz w:val="24"/>
                <w:szCs w:val="24"/>
                <w:lang w:eastAsia="bg-BG"/>
              </w:rPr>
              <w:t>5567</w:t>
            </w:r>
          </w:p>
        </w:tc>
      </w:tr>
      <w:tr w:rsidR="00E903FC" w:rsidRPr="00E903FC" w14:paraId="5EDDDA25" w14:textId="77777777" w:rsidTr="00E903FC">
        <w:trPr>
          <w:trHeight w:val="111"/>
        </w:trPr>
        <w:tc>
          <w:tcPr>
            <w:tcW w:w="3402" w:type="dxa"/>
            <w:tcBorders>
              <w:top w:val="single" w:sz="4" w:space="0" w:color="auto"/>
              <w:left w:val="single" w:sz="4" w:space="0" w:color="auto"/>
              <w:bottom w:val="single" w:sz="4" w:space="0" w:color="auto"/>
              <w:right w:val="single" w:sz="4" w:space="0" w:color="auto"/>
            </w:tcBorders>
            <w:hideMark/>
          </w:tcPr>
          <w:p w14:paraId="3293F191"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iCs/>
                <w:sz w:val="24"/>
                <w:szCs w:val="24"/>
                <w:lang w:eastAsia="bg-BG"/>
              </w:rPr>
              <w:t xml:space="preserve">Решени преписки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70A72422"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5175</w:t>
            </w:r>
          </w:p>
        </w:tc>
        <w:tc>
          <w:tcPr>
            <w:tcW w:w="1843" w:type="dxa"/>
            <w:tcBorders>
              <w:top w:val="single" w:sz="4" w:space="0" w:color="auto"/>
              <w:left w:val="single" w:sz="4" w:space="0" w:color="auto"/>
              <w:bottom w:val="single" w:sz="4" w:space="0" w:color="auto"/>
              <w:right w:val="single" w:sz="4" w:space="0" w:color="auto"/>
            </w:tcBorders>
            <w:hideMark/>
          </w:tcPr>
          <w:p w14:paraId="57223219"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5675</w:t>
            </w:r>
          </w:p>
        </w:tc>
        <w:tc>
          <w:tcPr>
            <w:tcW w:w="2268" w:type="dxa"/>
            <w:tcBorders>
              <w:top w:val="single" w:sz="4" w:space="0" w:color="auto"/>
              <w:left w:val="single" w:sz="4" w:space="0" w:color="auto"/>
              <w:bottom w:val="single" w:sz="4" w:space="0" w:color="auto"/>
              <w:right w:val="single" w:sz="4" w:space="0" w:color="auto"/>
            </w:tcBorders>
            <w:hideMark/>
          </w:tcPr>
          <w:p w14:paraId="55E8CBC3" w14:textId="77777777" w:rsidR="00E903FC" w:rsidRPr="00E903FC" w:rsidRDefault="00E903FC" w:rsidP="00E903FC">
            <w:pPr>
              <w:spacing w:after="0" w:line="240" w:lineRule="auto"/>
              <w:ind w:firstLine="709"/>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
                <w:bCs/>
                <w:sz w:val="24"/>
                <w:szCs w:val="24"/>
                <w:lang w:eastAsia="bg-BG"/>
              </w:rPr>
              <w:t>5308</w:t>
            </w:r>
          </w:p>
        </w:tc>
      </w:tr>
      <w:tr w:rsidR="00E903FC" w:rsidRPr="00E903FC" w14:paraId="170BBE2C" w14:textId="77777777" w:rsidTr="00E903FC">
        <w:trPr>
          <w:trHeight w:val="111"/>
        </w:trPr>
        <w:tc>
          <w:tcPr>
            <w:tcW w:w="3402" w:type="dxa"/>
            <w:tcBorders>
              <w:top w:val="single" w:sz="4" w:space="0" w:color="auto"/>
              <w:left w:val="single" w:sz="4" w:space="0" w:color="auto"/>
              <w:bottom w:val="single" w:sz="4" w:space="0" w:color="auto"/>
              <w:right w:val="single" w:sz="4" w:space="0" w:color="auto"/>
            </w:tcBorders>
            <w:hideMark/>
          </w:tcPr>
          <w:p w14:paraId="0006A346" w14:textId="77777777" w:rsidR="00E903FC" w:rsidRPr="00E903FC" w:rsidRDefault="00E903FC" w:rsidP="00E903FC">
            <w:pPr>
              <w:spacing w:after="0" w:line="240" w:lineRule="auto"/>
              <w:rPr>
                <w:rFonts w:ascii="Times New Roman" w:eastAsia="Times New Roman" w:hAnsi="Times New Roman" w:cs="Times New Roman"/>
                <w:bCs/>
                <w:iCs/>
                <w:sz w:val="24"/>
                <w:szCs w:val="24"/>
                <w:lang w:eastAsia="bg-BG"/>
              </w:rPr>
            </w:pPr>
            <w:r w:rsidRPr="00E903FC">
              <w:rPr>
                <w:rFonts w:ascii="Times New Roman" w:eastAsia="Times New Roman" w:hAnsi="Times New Roman" w:cs="Times New Roman"/>
                <w:bCs/>
                <w:iCs/>
                <w:sz w:val="24"/>
                <w:szCs w:val="24"/>
                <w:lang w:eastAsia="bg-BG"/>
              </w:rPr>
              <w:t xml:space="preserve">Решени инстанционни </w:t>
            </w:r>
          </w:p>
          <w:p w14:paraId="19B26223"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iCs/>
                <w:sz w:val="24"/>
                <w:szCs w:val="24"/>
                <w:lang w:eastAsia="bg-BG"/>
              </w:rPr>
              <w:t xml:space="preserve">преписки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6B6BAAE9"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185</w:t>
            </w:r>
          </w:p>
        </w:tc>
        <w:tc>
          <w:tcPr>
            <w:tcW w:w="1843" w:type="dxa"/>
            <w:tcBorders>
              <w:top w:val="single" w:sz="4" w:space="0" w:color="auto"/>
              <w:left w:val="single" w:sz="4" w:space="0" w:color="auto"/>
              <w:bottom w:val="single" w:sz="4" w:space="0" w:color="auto"/>
              <w:right w:val="single" w:sz="4" w:space="0" w:color="auto"/>
            </w:tcBorders>
            <w:hideMark/>
          </w:tcPr>
          <w:p w14:paraId="1C889E1B"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283</w:t>
            </w:r>
          </w:p>
        </w:tc>
        <w:tc>
          <w:tcPr>
            <w:tcW w:w="2268" w:type="dxa"/>
            <w:tcBorders>
              <w:top w:val="single" w:sz="4" w:space="0" w:color="auto"/>
              <w:left w:val="single" w:sz="4" w:space="0" w:color="auto"/>
              <w:bottom w:val="single" w:sz="4" w:space="0" w:color="auto"/>
              <w:right w:val="single" w:sz="4" w:space="0" w:color="auto"/>
            </w:tcBorders>
            <w:hideMark/>
          </w:tcPr>
          <w:p w14:paraId="40264401" w14:textId="77777777" w:rsidR="00E903FC" w:rsidRPr="00E903FC" w:rsidRDefault="00E903FC" w:rsidP="00E903FC">
            <w:pPr>
              <w:spacing w:after="0" w:line="240" w:lineRule="auto"/>
              <w:ind w:firstLine="709"/>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167</w:t>
            </w:r>
          </w:p>
        </w:tc>
      </w:tr>
      <w:tr w:rsidR="00E903FC" w:rsidRPr="00E903FC" w14:paraId="1BB20B96" w14:textId="77777777" w:rsidTr="00E903FC">
        <w:trPr>
          <w:trHeight w:val="109"/>
        </w:trPr>
        <w:tc>
          <w:tcPr>
            <w:tcW w:w="9356" w:type="dxa"/>
            <w:gridSpan w:val="4"/>
            <w:tcBorders>
              <w:top w:val="single" w:sz="4" w:space="0" w:color="auto"/>
              <w:left w:val="single" w:sz="4" w:space="0" w:color="auto"/>
              <w:bottom w:val="single" w:sz="4" w:space="0" w:color="auto"/>
              <w:right w:val="single" w:sz="4" w:space="0" w:color="auto"/>
            </w:tcBorders>
          </w:tcPr>
          <w:p w14:paraId="388B4F5D"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p>
          <w:p w14:paraId="53707129"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 xml:space="preserve">Досъдебни производства </w:t>
            </w:r>
          </w:p>
        </w:tc>
      </w:tr>
      <w:tr w:rsidR="00E903FC" w:rsidRPr="00E903FC" w14:paraId="66CA5C50" w14:textId="77777777" w:rsidTr="00E903FC">
        <w:trPr>
          <w:trHeight w:val="139"/>
        </w:trPr>
        <w:tc>
          <w:tcPr>
            <w:tcW w:w="3402" w:type="dxa"/>
            <w:tcBorders>
              <w:top w:val="single" w:sz="4" w:space="0" w:color="auto"/>
              <w:left w:val="single" w:sz="4" w:space="0" w:color="auto"/>
              <w:bottom w:val="single" w:sz="4" w:space="0" w:color="auto"/>
              <w:right w:val="single" w:sz="4" w:space="0" w:color="auto"/>
            </w:tcBorders>
            <w:hideMark/>
          </w:tcPr>
          <w:p w14:paraId="18733D3B"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Общо наблюдавани ДП</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1800BBB4"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4582</w:t>
            </w:r>
          </w:p>
        </w:tc>
        <w:tc>
          <w:tcPr>
            <w:tcW w:w="1843" w:type="dxa"/>
            <w:tcBorders>
              <w:top w:val="single" w:sz="4" w:space="0" w:color="auto"/>
              <w:left w:val="single" w:sz="4" w:space="0" w:color="auto"/>
              <w:bottom w:val="single" w:sz="4" w:space="0" w:color="auto"/>
              <w:right w:val="single" w:sz="4" w:space="0" w:color="auto"/>
            </w:tcBorders>
            <w:hideMark/>
          </w:tcPr>
          <w:p w14:paraId="6F2DB5DD"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4855</w:t>
            </w:r>
          </w:p>
        </w:tc>
        <w:tc>
          <w:tcPr>
            <w:tcW w:w="2268" w:type="dxa"/>
            <w:tcBorders>
              <w:top w:val="single" w:sz="4" w:space="0" w:color="auto"/>
              <w:left w:val="single" w:sz="4" w:space="0" w:color="auto"/>
              <w:bottom w:val="single" w:sz="4" w:space="0" w:color="auto"/>
              <w:right w:val="single" w:sz="4" w:space="0" w:color="auto"/>
            </w:tcBorders>
            <w:hideMark/>
          </w:tcPr>
          <w:p w14:paraId="47A6D872" w14:textId="77777777" w:rsidR="00E903FC" w:rsidRPr="00E903FC" w:rsidRDefault="00E903FC" w:rsidP="00E903FC">
            <w:pPr>
              <w:spacing w:after="0" w:line="240" w:lineRule="auto"/>
              <w:ind w:firstLine="709"/>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
                <w:bCs/>
                <w:sz w:val="24"/>
                <w:szCs w:val="24"/>
                <w:lang w:eastAsia="bg-BG"/>
              </w:rPr>
              <w:t>4487</w:t>
            </w:r>
          </w:p>
        </w:tc>
      </w:tr>
      <w:tr w:rsidR="00E903FC" w:rsidRPr="00E903FC" w14:paraId="7DB389BA" w14:textId="77777777" w:rsidTr="00E903FC">
        <w:trPr>
          <w:trHeight w:val="111"/>
        </w:trPr>
        <w:tc>
          <w:tcPr>
            <w:tcW w:w="3402" w:type="dxa"/>
            <w:tcBorders>
              <w:top w:val="single" w:sz="4" w:space="0" w:color="auto"/>
              <w:left w:val="single" w:sz="4" w:space="0" w:color="auto"/>
              <w:bottom w:val="single" w:sz="4" w:space="0" w:color="auto"/>
              <w:right w:val="single" w:sz="4" w:space="0" w:color="auto"/>
            </w:tcBorders>
            <w:hideMark/>
          </w:tcPr>
          <w:p w14:paraId="7C444D2A"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iCs/>
                <w:sz w:val="24"/>
                <w:szCs w:val="24"/>
                <w:lang w:eastAsia="bg-BG"/>
              </w:rPr>
              <w:t xml:space="preserve">Новообразувани ДП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635137DF"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1806</w:t>
            </w:r>
          </w:p>
        </w:tc>
        <w:tc>
          <w:tcPr>
            <w:tcW w:w="1843" w:type="dxa"/>
            <w:tcBorders>
              <w:top w:val="single" w:sz="4" w:space="0" w:color="auto"/>
              <w:left w:val="single" w:sz="4" w:space="0" w:color="auto"/>
              <w:bottom w:val="single" w:sz="4" w:space="0" w:color="auto"/>
              <w:right w:val="single" w:sz="4" w:space="0" w:color="auto"/>
            </w:tcBorders>
            <w:hideMark/>
          </w:tcPr>
          <w:p w14:paraId="3DD94A57"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1923</w:t>
            </w:r>
          </w:p>
        </w:tc>
        <w:tc>
          <w:tcPr>
            <w:tcW w:w="2268" w:type="dxa"/>
            <w:tcBorders>
              <w:top w:val="single" w:sz="4" w:space="0" w:color="auto"/>
              <w:left w:val="single" w:sz="4" w:space="0" w:color="auto"/>
              <w:bottom w:val="single" w:sz="4" w:space="0" w:color="auto"/>
              <w:right w:val="single" w:sz="4" w:space="0" w:color="auto"/>
            </w:tcBorders>
            <w:hideMark/>
          </w:tcPr>
          <w:p w14:paraId="5405CDC3" w14:textId="77777777" w:rsidR="00E903FC" w:rsidRPr="00E903FC" w:rsidRDefault="00E903FC" w:rsidP="00E903FC">
            <w:pPr>
              <w:spacing w:after="0" w:line="240" w:lineRule="auto"/>
              <w:ind w:firstLine="709"/>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
                <w:bCs/>
                <w:sz w:val="24"/>
                <w:szCs w:val="24"/>
                <w:lang w:eastAsia="bg-BG"/>
              </w:rPr>
              <w:t>2040</w:t>
            </w:r>
          </w:p>
        </w:tc>
      </w:tr>
      <w:tr w:rsidR="00E903FC" w:rsidRPr="00E903FC" w14:paraId="49528B49" w14:textId="77777777" w:rsidTr="00E903FC">
        <w:trPr>
          <w:trHeight w:val="111"/>
        </w:trPr>
        <w:tc>
          <w:tcPr>
            <w:tcW w:w="3402" w:type="dxa"/>
            <w:tcBorders>
              <w:top w:val="single" w:sz="4" w:space="0" w:color="auto"/>
              <w:left w:val="single" w:sz="4" w:space="0" w:color="auto"/>
              <w:bottom w:val="single" w:sz="4" w:space="0" w:color="auto"/>
              <w:right w:val="single" w:sz="4" w:space="0" w:color="auto"/>
            </w:tcBorders>
            <w:hideMark/>
          </w:tcPr>
          <w:p w14:paraId="6BB7A73E"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iCs/>
                <w:sz w:val="24"/>
                <w:szCs w:val="24"/>
                <w:lang w:eastAsia="bg-BG"/>
              </w:rPr>
              <w:t xml:space="preserve">Приключени ДП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7F97ED55"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2040</w:t>
            </w:r>
          </w:p>
        </w:tc>
        <w:tc>
          <w:tcPr>
            <w:tcW w:w="1843" w:type="dxa"/>
            <w:tcBorders>
              <w:top w:val="single" w:sz="4" w:space="0" w:color="auto"/>
              <w:left w:val="single" w:sz="4" w:space="0" w:color="auto"/>
              <w:bottom w:val="single" w:sz="4" w:space="0" w:color="auto"/>
              <w:right w:val="single" w:sz="4" w:space="0" w:color="auto"/>
            </w:tcBorders>
            <w:hideMark/>
          </w:tcPr>
          <w:p w14:paraId="0278C0CE"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2282</w:t>
            </w:r>
          </w:p>
        </w:tc>
        <w:tc>
          <w:tcPr>
            <w:tcW w:w="2268" w:type="dxa"/>
            <w:tcBorders>
              <w:top w:val="single" w:sz="4" w:space="0" w:color="auto"/>
              <w:left w:val="single" w:sz="4" w:space="0" w:color="auto"/>
              <w:bottom w:val="single" w:sz="4" w:space="0" w:color="auto"/>
              <w:right w:val="single" w:sz="4" w:space="0" w:color="auto"/>
            </w:tcBorders>
            <w:hideMark/>
          </w:tcPr>
          <w:p w14:paraId="6D895A1A" w14:textId="77777777" w:rsidR="00E903FC" w:rsidRPr="00E903FC" w:rsidRDefault="00E903FC" w:rsidP="00E903FC">
            <w:pPr>
              <w:spacing w:after="0" w:line="240" w:lineRule="auto"/>
              <w:ind w:firstLine="709"/>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
                <w:bCs/>
                <w:sz w:val="24"/>
                <w:szCs w:val="24"/>
                <w:lang w:eastAsia="bg-BG"/>
              </w:rPr>
              <w:t>2273</w:t>
            </w:r>
          </w:p>
        </w:tc>
      </w:tr>
      <w:tr w:rsidR="00E903FC" w:rsidRPr="00E903FC" w14:paraId="6E9E3FC5" w14:textId="77777777" w:rsidTr="00E903FC">
        <w:trPr>
          <w:trHeight w:val="111"/>
        </w:trPr>
        <w:tc>
          <w:tcPr>
            <w:tcW w:w="3402" w:type="dxa"/>
            <w:tcBorders>
              <w:top w:val="single" w:sz="4" w:space="0" w:color="auto"/>
              <w:left w:val="single" w:sz="4" w:space="0" w:color="auto"/>
              <w:bottom w:val="single" w:sz="4" w:space="0" w:color="auto"/>
              <w:right w:val="single" w:sz="4" w:space="0" w:color="auto"/>
            </w:tcBorders>
            <w:hideMark/>
          </w:tcPr>
          <w:p w14:paraId="7EB65964"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 xml:space="preserve">Решени ДП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3490446B"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3342</w:t>
            </w:r>
          </w:p>
        </w:tc>
        <w:tc>
          <w:tcPr>
            <w:tcW w:w="1843" w:type="dxa"/>
            <w:tcBorders>
              <w:top w:val="single" w:sz="4" w:space="0" w:color="auto"/>
              <w:left w:val="single" w:sz="4" w:space="0" w:color="auto"/>
              <w:bottom w:val="single" w:sz="4" w:space="0" w:color="auto"/>
              <w:right w:val="single" w:sz="4" w:space="0" w:color="auto"/>
            </w:tcBorders>
            <w:hideMark/>
          </w:tcPr>
          <w:p w14:paraId="1D9D96B6"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2308</w:t>
            </w:r>
          </w:p>
        </w:tc>
        <w:tc>
          <w:tcPr>
            <w:tcW w:w="2268" w:type="dxa"/>
            <w:tcBorders>
              <w:top w:val="single" w:sz="4" w:space="0" w:color="auto"/>
              <w:left w:val="single" w:sz="4" w:space="0" w:color="auto"/>
              <w:bottom w:val="single" w:sz="4" w:space="0" w:color="auto"/>
              <w:right w:val="single" w:sz="4" w:space="0" w:color="auto"/>
            </w:tcBorders>
            <w:hideMark/>
          </w:tcPr>
          <w:p w14:paraId="41AB95CA" w14:textId="77777777" w:rsidR="00E903FC" w:rsidRPr="00E903FC" w:rsidRDefault="00E903FC" w:rsidP="00E903FC">
            <w:pPr>
              <w:spacing w:after="0" w:line="240" w:lineRule="auto"/>
              <w:ind w:firstLine="709"/>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
                <w:bCs/>
                <w:sz w:val="24"/>
                <w:szCs w:val="24"/>
                <w:lang w:eastAsia="bg-BG"/>
              </w:rPr>
              <w:t>2761</w:t>
            </w:r>
          </w:p>
        </w:tc>
      </w:tr>
      <w:tr w:rsidR="00E903FC" w:rsidRPr="00E903FC" w14:paraId="5122F0D1" w14:textId="77777777" w:rsidTr="00E903FC">
        <w:trPr>
          <w:trHeight w:val="111"/>
        </w:trPr>
        <w:tc>
          <w:tcPr>
            <w:tcW w:w="3402" w:type="dxa"/>
            <w:tcBorders>
              <w:top w:val="single" w:sz="4" w:space="0" w:color="auto"/>
              <w:left w:val="single" w:sz="4" w:space="0" w:color="auto"/>
              <w:bottom w:val="single" w:sz="4" w:space="0" w:color="auto"/>
              <w:right w:val="single" w:sz="4" w:space="0" w:color="auto"/>
            </w:tcBorders>
            <w:hideMark/>
          </w:tcPr>
          <w:p w14:paraId="48015D28"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iCs/>
                <w:sz w:val="24"/>
                <w:szCs w:val="24"/>
                <w:lang w:eastAsia="bg-BG"/>
              </w:rPr>
              <w:t xml:space="preserve">Прокурорски актове, внесени в съда </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775F9348"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669</w:t>
            </w:r>
          </w:p>
          <w:p w14:paraId="28A22380"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hideMark/>
          </w:tcPr>
          <w:p w14:paraId="6F38A02B"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704</w:t>
            </w:r>
          </w:p>
        </w:tc>
        <w:tc>
          <w:tcPr>
            <w:tcW w:w="2268" w:type="dxa"/>
            <w:tcBorders>
              <w:top w:val="single" w:sz="4" w:space="0" w:color="auto"/>
              <w:left w:val="single" w:sz="4" w:space="0" w:color="auto"/>
              <w:bottom w:val="single" w:sz="4" w:space="0" w:color="auto"/>
              <w:right w:val="single" w:sz="4" w:space="0" w:color="auto"/>
            </w:tcBorders>
            <w:hideMark/>
          </w:tcPr>
          <w:p w14:paraId="6A657413" w14:textId="77777777" w:rsidR="00E903FC" w:rsidRPr="00E903FC" w:rsidRDefault="00E903FC" w:rsidP="00E903FC">
            <w:pPr>
              <w:spacing w:after="0" w:line="240" w:lineRule="auto"/>
              <w:ind w:firstLine="709"/>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
                <w:bCs/>
                <w:sz w:val="24"/>
                <w:szCs w:val="24"/>
                <w:lang w:eastAsia="bg-BG"/>
              </w:rPr>
              <w:t>775</w:t>
            </w:r>
          </w:p>
        </w:tc>
      </w:tr>
      <w:tr w:rsidR="00E903FC" w:rsidRPr="00E903FC" w14:paraId="2E773E59" w14:textId="77777777" w:rsidTr="00E903FC">
        <w:trPr>
          <w:trHeight w:val="111"/>
        </w:trPr>
        <w:tc>
          <w:tcPr>
            <w:tcW w:w="3402" w:type="dxa"/>
            <w:tcBorders>
              <w:top w:val="single" w:sz="4" w:space="0" w:color="auto"/>
              <w:left w:val="single" w:sz="4" w:space="0" w:color="auto"/>
              <w:bottom w:val="single" w:sz="4" w:space="0" w:color="auto"/>
              <w:right w:val="single" w:sz="4" w:space="0" w:color="auto"/>
            </w:tcBorders>
            <w:hideMark/>
          </w:tcPr>
          <w:p w14:paraId="447D5BB1"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iCs/>
                <w:sz w:val="24"/>
                <w:szCs w:val="24"/>
                <w:lang w:eastAsia="bg-BG"/>
              </w:rPr>
              <w:t xml:space="preserve">Предадени на съд лица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18336002"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727</w:t>
            </w:r>
          </w:p>
        </w:tc>
        <w:tc>
          <w:tcPr>
            <w:tcW w:w="1843" w:type="dxa"/>
            <w:tcBorders>
              <w:top w:val="single" w:sz="4" w:space="0" w:color="auto"/>
              <w:left w:val="single" w:sz="4" w:space="0" w:color="auto"/>
              <w:bottom w:val="single" w:sz="4" w:space="0" w:color="auto"/>
              <w:right w:val="single" w:sz="4" w:space="0" w:color="auto"/>
            </w:tcBorders>
            <w:hideMark/>
          </w:tcPr>
          <w:p w14:paraId="05F6E3E1"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746</w:t>
            </w:r>
          </w:p>
        </w:tc>
        <w:tc>
          <w:tcPr>
            <w:tcW w:w="2268" w:type="dxa"/>
            <w:tcBorders>
              <w:top w:val="single" w:sz="4" w:space="0" w:color="auto"/>
              <w:left w:val="single" w:sz="4" w:space="0" w:color="auto"/>
              <w:bottom w:val="single" w:sz="4" w:space="0" w:color="auto"/>
              <w:right w:val="single" w:sz="4" w:space="0" w:color="auto"/>
            </w:tcBorders>
            <w:hideMark/>
          </w:tcPr>
          <w:p w14:paraId="6B90D639" w14:textId="77777777" w:rsidR="00E903FC" w:rsidRPr="00E903FC" w:rsidRDefault="00E903FC" w:rsidP="00E903FC">
            <w:pPr>
              <w:spacing w:after="0" w:line="240" w:lineRule="auto"/>
              <w:ind w:firstLine="709"/>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843</w:t>
            </w:r>
          </w:p>
        </w:tc>
      </w:tr>
      <w:tr w:rsidR="00E903FC" w:rsidRPr="00E903FC" w14:paraId="7F075757" w14:textId="77777777" w:rsidTr="00E903FC">
        <w:trPr>
          <w:trHeight w:val="109"/>
        </w:trPr>
        <w:tc>
          <w:tcPr>
            <w:tcW w:w="9356" w:type="dxa"/>
            <w:gridSpan w:val="4"/>
            <w:tcBorders>
              <w:top w:val="single" w:sz="4" w:space="0" w:color="auto"/>
              <w:left w:val="single" w:sz="4" w:space="0" w:color="auto"/>
              <w:bottom w:val="single" w:sz="4" w:space="0" w:color="auto"/>
              <w:right w:val="single" w:sz="4" w:space="0" w:color="auto"/>
            </w:tcBorders>
          </w:tcPr>
          <w:p w14:paraId="2F9F96B4"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p>
          <w:p w14:paraId="18653DFA"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 xml:space="preserve">Съдебна фаза по наказателни дела </w:t>
            </w:r>
          </w:p>
        </w:tc>
      </w:tr>
      <w:tr w:rsidR="00E903FC" w:rsidRPr="00E903FC" w14:paraId="0789FF64" w14:textId="77777777" w:rsidTr="00E903FC">
        <w:trPr>
          <w:trHeight w:val="111"/>
        </w:trPr>
        <w:tc>
          <w:tcPr>
            <w:tcW w:w="3402" w:type="dxa"/>
            <w:tcBorders>
              <w:top w:val="single" w:sz="4" w:space="0" w:color="auto"/>
              <w:left w:val="single" w:sz="4" w:space="0" w:color="auto"/>
              <w:bottom w:val="single" w:sz="4" w:space="0" w:color="auto"/>
              <w:right w:val="single" w:sz="4" w:space="0" w:color="auto"/>
            </w:tcBorders>
            <w:hideMark/>
          </w:tcPr>
          <w:p w14:paraId="57AE954C"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 xml:space="preserve">Върнати дела от съда на прокуратурата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5FA265A4"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12</w:t>
            </w:r>
          </w:p>
        </w:tc>
        <w:tc>
          <w:tcPr>
            <w:tcW w:w="1843" w:type="dxa"/>
            <w:tcBorders>
              <w:top w:val="single" w:sz="4" w:space="0" w:color="auto"/>
              <w:left w:val="single" w:sz="4" w:space="0" w:color="auto"/>
              <w:bottom w:val="single" w:sz="4" w:space="0" w:color="auto"/>
              <w:right w:val="single" w:sz="4" w:space="0" w:color="auto"/>
            </w:tcBorders>
            <w:hideMark/>
          </w:tcPr>
          <w:p w14:paraId="74222708"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7</w:t>
            </w:r>
          </w:p>
        </w:tc>
        <w:tc>
          <w:tcPr>
            <w:tcW w:w="2268" w:type="dxa"/>
            <w:tcBorders>
              <w:top w:val="single" w:sz="4" w:space="0" w:color="auto"/>
              <w:left w:val="single" w:sz="4" w:space="0" w:color="auto"/>
              <w:bottom w:val="single" w:sz="4" w:space="0" w:color="auto"/>
              <w:right w:val="single" w:sz="4" w:space="0" w:color="auto"/>
            </w:tcBorders>
            <w:hideMark/>
          </w:tcPr>
          <w:p w14:paraId="5D4051AB" w14:textId="77777777" w:rsidR="00E903FC" w:rsidRPr="00E903FC" w:rsidRDefault="00E903FC" w:rsidP="00E903FC">
            <w:pPr>
              <w:spacing w:after="0" w:line="240" w:lineRule="auto"/>
              <w:ind w:firstLine="709"/>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
                <w:bCs/>
                <w:sz w:val="24"/>
                <w:szCs w:val="24"/>
                <w:lang w:eastAsia="bg-BG"/>
              </w:rPr>
              <w:t>10</w:t>
            </w:r>
          </w:p>
        </w:tc>
      </w:tr>
      <w:tr w:rsidR="00E903FC" w:rsidRPr="00E903FC" w14:paraId="4110A23F" w14:textId="77777777" w:rsidTr="00E903FC">
        <w:trPr>
          <w:trHeight w:val="139"/>
        </w:trPr>
        <w:tc>
          <w:tcPr>
            <w:tcW w:w="3402" w:type="dxa"/>
            <w:tcBorders>
              <w:top w:val="single" w:sz="4" w:space="0" w:color="auto"/>
              <w:left w:val="single" w:sz="4" w:space="0" w:color="auto"/>
              <w:bottom w:val="single" w:sz="4" w:space="0" w:color="auto"/>
              <w:right w:val="single" w:sz="4" w:space="0" w:color="auto"/>
            </w:tcBorders>
            <w:hideMark/>
          </w:tcPr>
          <w:p w14:paraId="541752E1"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Общо осъдителни и санкционни съдебни  решения</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1DD35A62"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687</w:t>
            </w:r>
          </w:p>
        </w:tc>
        <w:tc>
          <w:tcPr>
            <w:tcW w:w="1843" w:type="dxa"/>
            <w:tcBorders>
              <w:top w:val="single" w:sz="4" w:space="0" w:color="auto"/>
              <w:left w:val="single" w:sz="4" w:space="0" w:color="auto"/>
              <w:bottom w:val="single" w:sz="4" w:space="0" w:color="auto"/>
              <w:right w:val="single" w:sz="4" w:space="0" w:color="auto"/>
            </w:tcBorders>
            <w:hideMark/>
          </w:tcPr>
          <w:p w14:paraId="503F1082"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695</w:t>
            </w:r>
          </w:p>
        </w:tc>
        <w:tc>
          <w:tcPr>
            <w:tcW w:w="2268" w:type="dxa"/>
            <w:tcBorders>
              <w:top w:val="single" w:sz="4" w:space="0" w:color="auto"/>
              <w:left w:val="single" w:sz="4" w:space="0" w:color="auto"/>
              <w:bottom w:val="single" w:sz="4" w:space="0" w:color="auto"/>
              <w:right w:val="single" w:sz="4" w:space="0" w:color="auto"/>
            </w:tcBorders>
            <w:hideMark/>
          </w:tcPr>
          <w:p w14:paraId="1E6919D4" w14:textId="77777777" w:rsidR="00E903FC" w:rsidRPr="00E903FC" w:rsidRDefault="00E903FC" w:rsidP="00E903FC">
            <w:pPr>
              <w:spacing w:after="0" w:line="240" w:lineRule="auto"/>
              <w:ind w:firstLine="709"/>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
                <w:bCs/>
                <w:sz w:val="24"/>
                <w:szCs w:val="24"/>
                <w:lang w:eastAsia="bg-BG"/>
              </w:rPr>
              <w:t>734</w:t>
            </w:r>
          </w:p>
        </w:tc>
      </w:tr>
      <w:tr w:rsidR="00E903FC" w:rsidRPr="00E903FC" w14:paraId="41E4BF9C" w14:textId="77777777" w:rsidTr="00E903FC">
        <w:trPr>
          <w:trHeight w:val="111"/>
        </w:trPr>
        <w:tc>
          <w:tcPr>
            <w:tcW w:w="3402" w:type="dxa"/>
            <w:tcBorders>
              <w:top w:val="single" w:sz="4" w:space="0" w:color="auto"/>
              <w:left w:val="single" w:sz="4" w:space="0" w:color="auto"/>
              <w:bottom w:val="single" w:sz="4" w:space="0" w:color="auto"/>
              <w:right w:val="single" w:sz="4" w:space="0" w:color="auto"/>
            </w:tcBorders>
            <w:hideMark/>
          </w:tcPr>
          <w:p w14:paraId="362D289F"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iCs/>
                <w:sz w:val="24"/>
                <w:szCs w:val="24"/>
                <w:lang w:eastAsia="bg-BG"/>
              </w:rPr>
              <w:t xml:space="preserve">Осъдени/санкционирани лица по влезли в сила съд. актове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7D7C3E84"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687</w:t>
            </w:r>
          </w:p>
        </w:tc>
        <w:tc>
          <w:tcPr>
            <w:tcW w:w="1843" w:type="dxa"/>
            <w:tcBorders>
              <w:top w:val="single" w:sz="4" w:space="0" w:color="auto"/>
              <w:left w:val="single" w:sz="4" w:space="0" w:color="auto"/>
              <w:bottom w:val="single" w:sz="4" w:space="0" w:color="auto"/>
              <w:right w:val="single" w:sz="4" w:space="0" w:color="auto"/>
            </w:tcBorders>
            <w:hideMark/>
          </w:tcPr>
          <w:p w14:paraId="2277373B"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707</w:t>
            </w:r>
          </w:p>
        </w:tc>
        <w:tc>
          <w:tcPr>
            <w:tcW w:w="2268" w:type="dxa"/>
            <w:tcBorders>
              <w:top w:val="single" w:sz="4" w:space="0" w:color="auto"/>
              <w:left w:val="single" w:sz="4" w:space="0" w:color="auto"/>
              <w:bottom w:val="single" w:sz="4" w:space="0" w:color="auto"/>
              <w:right w:val="single" w:sz="4" w:space="0" w:color="auto"/>
            </w:tcBorders>
            <w:hideMark/>
          </w:tcPr>
          <w:p w14:paraId="528E8DDA" w14:textId="77777777" w:rsidR="00E903FC" w:rsidRPr="00E903FC" w:rsidRDefault="00E903FC" w:rsidP="00E903FC">
            <w:pPr>
              <w:spacing w:after="0" w:line="240" w:lineRule="auto"/>
              <w:ind w:firstLine="709"/>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
                <w:bCs/>
                <w:sz w:val="24"/>
                <w:szCs w:val="24"/>
                <w:lang w:eastAsia="bg-BG"/>
              </w:rPr>
              <w:t>747</w:t>
            </w:r>
          </w:p>
        </w:tc>
      </w:tr>
      <w:tr w:rsidR="00E903FC" w:rsidRPr="00E903FC" w14:paraId="19BFB007" w14:textId="77777777" w:rsidTr="00E903FC">
        <w:trPr>
          <w:trHeight w:val="111"/>
        </w:trPr>
        <w:tc>
          <w:tcPr>
            <w:tcW w:w="3402" w:type="dxa"/>
            <w:tcBorders>
              <w:top w:val="single" w:sz="4" w:space="0" w:color="auto"/>
              <w:left w:val="single" w:sz="4" w:space="0" w:color="auto"/>
              <w:bottom w:val="single" w:sz="4" w:space="0" w:color="auto"/>
              <w:right w:val="single" w:sz="4" w:space="0" w:color="auto"/>
            </w:tcBorders>
            <w:hideMark/>
          </w:tcPr>
          <w:p w14:paraId="7F978E39"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iCs/>
                <w:sz w:val="24"/>
                <w:szCs w:val="24"/>
                <w:lang w:eastAsia="bg-BG"/>
              </w:rPr>
              <w:t>Оправдани лица /по влезли в сила актове/</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743816A4"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12</w:t>
            </w:r>
          </w:p>
        </w:tc>
        <w:tc>
          <w:tcPr>
            <w:tcW w:w="1843" w:type="dxa"/>
            <w:tcBorders>
              <w:top w:val="single" w:sz="4" w:space="0" w:color="auto"/>
              <w:left w:val="single" w:sz="4" w:space="0" w:color="auto"/>
              <w:bottom w:val="single" w:sz="4" w:space="0" w:color="auto"/>
              <w:right w:val="single" w:sz="4" w:space="0" w:color="auto"/>
            </w:tcBorders>
            <w:hideMark/>
          </w:tcPr>
          <w:p w14:paraId="26C98E30"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9</w:t>
            </w:r>
          </w:p>
        </w:tc>
        <w:tc>
          <w:tcPr>
            <w:tcW w:w="2268" w:type="dxa"/>
            <w:tcBorders>
              <w:top w:val="single" w:sz="4" w:space="0" w:color="auto"/>
              <w:left w:val="single" w:sz="4" w:space="0" w:color="auto"/>
              <w:bottom w:val="single" w:sz="4" w:space="0" w:color="auto"/>
              <w:right w:val="single" w:sz="4" w:space="0" w:color="auto"/>
            </w:tcBorders>
            <w:hideMark/>
          </w:tcPr>
          <w:p w14:paraId="1D607D9D"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10</w:t>
            </w:r>
          </w:p>
        </w:tc>
      </w:tr>
      <w:tr w:rsidR="00E903FC" w:rsidRPr="00E903FC" w14:paraId="109A2EA9" w14:textId="77777777" w:rsidTr="00E903FC">
        <w:trPr>
          <w:trHeight w:val="111"/>
        </w:trPr>
        <w:tc>
          <w:tcPr>
            <w:tcW w:w="3402" w:type="dxa"/>
            <w:tcBorders>
              <w:top w:val="single" w:sz="4" w:space="0" w:color="auto"/>
              <w:left w:val="single" w:sz="4" w:space="0" w:color="auto"/>
              <w:bottom w:val="single" w:sz="4" w:space="0" w:color="auto"/>
              <w:right w:val="single" w:sz="4" w:space="0" w:color="auto"/>
            </w:tcBorders>
            <w:hideMark/>
          </w:tcPr>
          <w:p w14:paraId="69D0B4A9"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 xml:space="preserve">Участия в съдебни заседания по НСН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06AFB979"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865</w:t>
            </w:r>
          </w:p>
        </w:tc>
        <w:tc>
          <w:tcPr>
            <w:tcW w:w="1843" w:type="dxa"/>
            <w:tcBorders>
              <w:top w:val="single" w:sz="4" w:space="0" w:color="auto"/>
              <w:left w:val="single" w:sz="4" w:space="0" w:color="auto"/>
              <w:bottom w:val="single" w:sz="4" w:space="0" w:color="auto"/>
              <w:right w:val="single" w:sz="4" w:space="0" w:color="auto"/>
            </w:tcBorders>
            <w:hideMark/>
          </w:tcPr>
          <w:p w14:paraId="1E6B1706"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945</w:t>
            </w:r>
          </w:p>
        </w:tc>
        <w:tc>
          <w:tcPr>
            <w:tcW w:w="2268" w:type="dxa"/>
            <w:tcBorders>
              <w:top w:val="single" w:sz="4" w:space="0" w:color="auto"/>
              <w:left w:val="single" w:sz="4" w:space="0" w:color="auto"/>
              <w:bottom w:val="single" w:sz="4" w:space="0" w:color="auto"/>
              <w:right w:val="single" w:sz="4" w:space="0" w:color="auto"/>
            </w:tcBorders>
            <w:hideMark/>
          </w:tcPr>
          <w:p w14:paraId="0D5F0046" w14:textId="77777777" w:rsidR="00E903FC" w:rsidRPr="00E903FC" w:rsidRDefault="00E903FC" w:rsidP="00E903FC">
            <w:pPr>
              <w:spacing w:after="0" w:line="240" w:lineRule="auto"/>
              <w:ind w:firstLine="709"/>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1051</w:t>
            </w:r>
          </w:p>
        </w:tc>
      </w:tr>
      <w:tr w:rsidR="00E903FC" w:rsidRPr="00E903FC" w14:paraId="6BAC0A0C" w14:textId="77777777" w:rsidTr="00E903FC">
        <w:trPr>
          <w:trHeight w:val="109"/>
        </w:trPr>
        <w:tc>
          <w:tcPr>
            <w:tcW w:w="9356" w:type="dxa"/>
            <w:gridSpan w:val="4"/>
            <w:tcBorders>
              <w:top w:val="single" w:sz="4" w:space="0" w:color="auto"/>
              <w:left w:val="single" w:sz="4" w:space="0" w:color="auto"/>
              <w:bottom w:val="single" w:sz="4" w:space="0" w:color="auto"/>
              <w:right w:val="single" w:sz="4" w:space="0" w:color="auto"/>
            </w:tcBorders>
          </w:tcPr>
          <w:p w14:paraId="05FCC9D6" w14:textId="77777777" w:rsidR="00E903FC" w:rsidRPr="00E903FC" w:rsidRDefault="00E903FC" w:rsidP="00E903FC">
            <w:pPr>
              <w:spacing w:after="0" w:line="240" w:lineRule="auto"/>
              <w:ind w:firstLine="709"/>
              <w:jc w:val="both"/>
              <w:rPr>
                <w:rFonts w:ascii="Times New Roman" w:eastAsia="Times New Roman" w:hAnsi="Times New Roman" w:cs="Times New Roman"/>
                <w:b/>
                <w:bCs/>
                <w:sz w:val="24"/>
                <w:szCs w:val="24"/>
                <w:lang w:eastAsia="bg-BG"/>
              </w:rPr>
            </w:pPr>
          </w:p>
          <w:p w14:paraId="4DD7D24F" w14:textId="77777777" w:rsidR="00E903FC" w:rsidRPr="00E903FC" w:rsidRDefault="00E903FC" w:rsidP="00E903FC">
            <w:pPr>
              <w:spacing w:after="0" w:line="240" w:lineRule="auto"/>
              <w:ind w:firstLine="709"/>
              <w:jc w:val="both"/>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Изпълнение на наказанията</w:t>
            </w:r>
          </w:p>
        </w:tc>
      </w:tr>
      <w:tr w:rsidR="00E903FC" w:rsidRPr="00E903FC" w14:paraId="194BB6F0" w14:textId="77777777" w:rsidTr="00E903FC">
        <w:trPr>
          <w:trHeight w:val="111"/>
        </w:trPr>
        <w:tc>
          <w:tcPr>
            <w:tcW w:w="3402" w:type="dxa"/>
            <w:tcBorders>
              <w:top w:val="single" w:sz="4" w:space="0" w:color="auto"/>
              <w:left w:val="single" w:sz="4" w:space="0" w:color="auto"/>
              <w:bottom w:val="single" w:sz="4" w:space="0" w:color="auto"/>
              <w:right w:val="single" w:sz="4" w:space="0" w:color="auto"/>
            </w:tcBorders>
            <w:hideMark/>
          </w:tcPr>
          <w:p w14:paraId="420A5709" w14:textId="77777777" w:rsidR="00E903FC" w:rsidRPr="00E903FC" w:rsidRDefault="00E903FC" w:rsidP="00E903FC">
            <w:pPr>
              <w:spacing w:after="0" w:line="240" w:lineRule="auto"/>
              <w:jc w:val="both"/>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Получени за изпълнение</w:t>
            </w:r>
          </w:p>
          <w:p w14:paraId="21B9C4AB" w14:textId="77777777" w:rsidR="00E903FC" w:rsidRPr="00E903FC" w:rsidRDefault="00E903FC" w:rsidP="00E903FC">
            <w:pPr>
              <w:spacing w:after="0" w:line="240" w:lineRule="auto"/>
              <w:jc w:val="both"/>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lastRenderedPageBreak/>
              <w:t xml:space="preserve">присъди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6EBAAA23" w14:textId="77777777" w:rsidR="00E903FC" w:rsidRPr="00E903FC" w:rsidRDefault="00E903FC" w:rsidP="00E903FC">
            <w:pPr>
              <w:spacing w:after="0" w:line="240" w:lineRule="auto"/>
              <w:ind w:firstLine="709"/>
              <w:jc w:val="both"/>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lastRenderedPageBreak/>
              <w:t>384</w:t>
            </w:r>
          </w:p>
        </w:tc>
        <w:tc>
          <w:tcPr>
            <w:tcW w:w="1843" w:type="dxa"/>
            <w:tcBorders>
              <w:top w:val="single" w:sz="4" w:space="0" w:color="auto"/>
              <w:left w:val="single" w:sz="4" w:space="0" w:color="auto"/>
              <w:bottom w:val="single" w:sz="4" w:space="0" w:color="auto"/>
              <w:right w:val="single" w:sz="4" w:space="0" w:color="auto"/>
            </w:tcBorders>
            <w:hideMark/>
          </w:tcPr>
          <w:p w14:paraId="0A1DEEA3" w14:textId="77777777" w:rsidR="00E903FC" w:rsidRPr="00E903FC" w:rsidRDefault="00E903FC" w:rsidP="00E903FC">
            <w:pPr>
              <w:spacing w:after="0" w:line="240" w:lineRule="auto"/>
              <w:ind w:firstLine="709"/>
              <w:jc w:val="both"/>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377</w:t>
            </w:r>
          </w:p>
        </w:tc>
        <w:tc>
          <w:tcPr>
            <w:tcW w:w="2268" w:type="dxa"/>
            <w:tcBorders>
              <w:top w:val="single" w:sz="4" w:space="0" w:color="auto"/>
              <w:left w:val="single" w:sz="4" w:space="0" w:color="auto"/>
              <w:bottom w:val="single" w:sz="4" w:space="0" w:color="auto"/>
              <w:right w:val="single" w:sz="4" w:space="0" w:color="auto"/>
            </w:tcBorders>
            <w:hideMark/>
          </w:tcPr>
          <w:p w14:paraId="3958A8AD" w14:textId="77777777" w:rsidR="00E903FC" w:rsidRPr="00E903FC" w:rsidRDefault="00E903FC" w:rsidP="00E903FC">
            <w:pPr>
              <w:spacing w:after="0" w:line="240" w:lineRule="auto"/>
              <w:ind w:firstLine="709"/>
              <w:jc w:val="both"/>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340</w:t>
            </w:r>
          </w:p>
        </w:tc>
      </w:tr>
      <w:tr w:rsidR="00E903FC" w:rsidRPr="00E903FC" w14:paraId="74E74678" w14:textId="77777777" w:rsidTr="00E903FC">
        <w:trPr>
          <w:trHeight w:val="111"/>
        </w:trPr>
        <w:tc>
          <w:tcPr>
            <w:tcW w:w="3402" w:type="dxa"/>
            <w:tcBorders>
              <w:top w:val="single" w:sz="4" w:space="0" w:color="auto"/>
              <w:left w:val="single" w:sz="4" w:space="0" w:color="auto"/>
              <w:bottom w:val="single" w:sz="4" w:space="0" w:color="auto"/>
              <w:right w:val="single" w:sz="4" w:space="0" w:color="auto"/>
            </w:tcBorders>
            <w:hideMark/>
          </w:tcPr>
          <w:p w14:paraId="08B5D09C" w14:textId="77777777" w:rsidR="00E903FC" w:rsidRPr="00E903FC" w:rsidRDefault="00E903FC" w:rsidP="00E903FC">
            <w:pPr>
              <w:spacing w:after="0" w:line="240" w:lineRule="auto"/>
              <w:jc w:val="both"/>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lastRenderedPageBreak/>
              <w:t>Приведени в изпълнение</w:t>
            </w:r>
          </w:p>
          <w:p w14:paraId="4210A5B9" w14:textId="77777777" w:rsidR="00E903FC" w:rsidRPr="00E903FC" w:rsidRDefault="00E903FC" w:rsidP="00E903FC">
            <w:pPr>
              <w:spacing w:after="0" w:line="240" w:lineRule="auto"/>
              <w:jc w:val="both"/>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присъди /по лица/</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13B274C4" w14:textId="77777777" w:rsidR="00E903FC" w:rsidRPr="00E903FC" w:rsidRDefault="00E903FC" w:rsidP="00E903FC">
            <w:pPr>
              <w:spacing w:after="0" w:line="240" w:lineRule="auto"/>
              <w:ind w:firstLine="709"/>
              <w:jc w:val="both"/>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362</w:t>
            </w:r>
          </w:p>
        </w:tc>
        <w:tc>
          <w:tcPr>
            <w:tcW w:w="1843" w:type="dxa"/>
            <w:tcBorders>
              <w:top w:val="single" w:sz="4" w:space="0" w:color="auto"/>
              <w:left w:val="single" w:sz="4" w:space="0" w:color="auto"/>
              <w:bottom w:val="single" w:sz="4" w:space="0" w:color="auto"/>
              <w:right w:val="single" w:sz="4" w:space="0" w:color="auto"/>
            </w:tcBorders>
            <w:hideMark/>
          </w:tcPr>
          <w:p w14:paraId="40362C6A" w14:textId="77777777" w:rsidR="00E903FC" w:rsidRPr="00E903FC" w:rsidRDefault="00E903FC" w:rsidP="00E903FC">
            <w:pPr>
              <w:spacing w:after="0" w:line="240" w:lineRule="auto"/>
              <w:ind w:firstLine="709"/>
              <w:jc w:val="both"/>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341</w:t>
            </w:r>
          </w:p>
        </w:tc>
        <w:tc>
          <w:tcPr>
            <w:tcW w:w="2268" w:type="dxa"/>
            <w:tcBorders>
              <w:top w:val="single" w:sz="4" w:space="0" w:color="auto"/>
              <w:left w:val="single" w:sz="4" w:space="0" w:color="auto"/>
              <w:bottom w:val="single" w:sz="4" w:space="0" w:color="auto"/>
              <w:right w:val="single" w:sz="4" w:space="0" w:color="auto"/>
            </w:tcBorders>
            <w:hideMark/>
          </w:tcPr>
          <w:p w14:paraId="7952B499" w14:textId="77777777" w:rsidR="00E903FC" w:rsidRPr="00E903FC" w:rsidRDefault="00E903FC" w:rsidP="00E903FC">
            <w:pPr>
              <w:spacing w:after="0" w:line="240" w:lineRule="auto"/>
              <w:ind w:firstLine="709"/>
              <w:jc w:val="both"/>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323</w:t>
            </w:r>
          </w:p>
        </w:tc>
      </w:tr>
    </w:tbl>
    <w:p w14:paraId="67875138" w14:textId="77777777" w:rsidR="00E903FC" w:rsidRPr="00E903FC" w:rsidRDefault="00E903FC" w:rsidP="00E903FC">
      <w:pPr>
        <w:spacing w:after="0" w:line="240" w:lineRule="auto"/>
        <w:ind w:firstLine="709"/>
        <w:jc w:val="both"/>
        <w:rPr>
          <w:rFonts w:ascii="Times New Roman" w:eastAsia="Times New Roman" w:hAnsi="Times New Roman" w:cs="Times New Roman"/>
          <w:color w:val="000000"/>
          <w:sz w:val="28"/>
          <w:szCs w:val="28"/>
          <w:lang w:eastAsia="bg-BG"/>
        </w:rPr>
      </w:pPr>
    </w:p>
    <w:p w14:paraId="4D43B346" w14:textId="77777777" w:rsidR="00E903FC" w:rsidRPr="00E903FC" w:rsidRDefault="00E903FC" w:rsidP="00E903FC">
      <w:pPr>
        <w:spacing w:after="0" w:line="240" w:lineRule="auto"/>
        <w:ind w:firstLine="709"/>
        <w:jc w:val="both"/>
        <w:rPr>
          <w:rFonts w:ascii="Times New Roman" w:eastAsia="Times New Roman" w:hAnsi="Times New Roman" w:cs="Times New Roman"/>
          <w:color w:val="000000"/>
          <w:sz w:val="28"/>
          <w:szCs w:val="28"/>
          <w:lang w:eastAsia="bg-BG"/>
        </w:rPr>
      </w:pPr>
      <w:r w:rsidRPr="00E903FC">
        <w:rPr>
          <w:rFonts w:ascii="Times New Roman" w:eastAsia="Times New Roman" w:hAnsi="Times New Roman" w:cs="Times New Roman"/>
          <w:color w:val="000000"/>
          <w:sz w:val="28"/>
          <w:szCs w:val="28"/>
          <w:lang w:eastAsia="bg-BG"/>
        </w:rPr>
        <w:t xml:space="preserve">От тази таблица е видно намаление на броя преписки спрямо 2021 г. (решени и наблюдавани) и увеличение спрямо 2020 г. По решените инстанционни преписки е налице намаление спрямо 2021 год. и увеличение спрямо 2020 год. </w:t>
      </w:r>
    </w:p>
    <w:p w14:paraId="39416DC8" w14:textId="7CF335EA" w:rsidR="00E903FC" w:rsidRPr="00E903FC" w:rsidRDefault="00E903FC" w:rsidP="00E903FC">
      <w:pPr>
        <w:spacing w:after="0" w:line="240" w:lineRule="auto"/>
        <w:ind w:firstLine="708"/>
        <w:jc w:val="both"/>
        <w:rPr>
          <w:rFonts w:ascii="Times New Roman" w:eastAsia="Times New Roman" w:hAnsi="Times New Roman" w:cs="Times New Roman"/>
          <w:color w:val="000000"/>
          <w:sz w:val="28"/>
          <w:szCs w:val="28"/>
          <w:lang w:eastAsia="bg-BG"/>
        </w:rPr>
      </w:pPr>
      <w:r w:rsidRPr="00E903FC">
        <w:rPr>
          <w:rFonts w:ascii="Times New Roman" w:eastAsia="Times New Roman" w:hAnsi="Times New Roman" w:cs="Times New Roman"/>
          <w:color w:val="000000"/>
          <w:sz w:val="28"/>
          <w:szCs w:val="28"/>
          <w:lang w:eastAsia="bg-BG"/>
        </w:rPr>
        <w:t>Налице е намаление спрямо 2021 г. на броят на наблюдаваните ДП, и увеличение спрямо 2020 г. Което само по с</w:t>
      </w:r>
      <w:r w:rsidR="002173B9">
        <w:rPr>
          <w:rFonts w:ascii="Times New Roman" w:eastAsia="Times New Roman" w:hAnsi="Times New Roman" w:cs="Times New Roman"/>
          <w:color w:val="000000"/>
          <w:sz w:val="28"/>
          <w:szCs w:val="28"/>
          <w:lang w:eastAsia="bg-BG"/>
        </w:rPr>
        <w:t>ебе си означава, че е налице ус</w:t>
      </w:r>
      <w:r w:rsidRPr="00E903FC">
        <w:rPr>
          <w:rFonts w:ascii="Times New Roman" w:eastAsia="Times New Roman" w:hAnsi="Times New Roman" w:cs="Times New Roman"/>
          <w:color w:val="000000"/>
          <w:sz w:val="28"/>
          <w:szCs w:val="28"/>
          <w:lang w:eastAsia="bg-BG"/>
        </w:rPr>
        <w:t xml:space="preserve">тойчивост в работата по вече образуваните досъдебни производства, с оглед резултатите от предходната отчетна година. </w:t>
      </w:r>
    </w:p>
    <w:p w14:paraId="1E1D53F8" w14:textId="77777777" w:rsidR="00E903FC" w:rsidRPr="00E903FC" w:rsidRDefault="00E903FC" w:rsidP="00E903FC">
      <w:pPr>
        <w:spacing w:after="0" w:line="240" w:lineRule="auto"/>
        <w:ind w:firstLine="708"/>
        <w:jc w:val="both"/>
        <w:rPr>
          <w:rFonts w:ascii="Times New Roman" w:eastAsia="Times New Roman" w:hAnsi="Times New Roman" w:cs="Times New Roman"/>
          <w:color w:val="000000"/>
          <w:sz w:val="28"/>
          <w:szCs w:val="28"/>
          <w:lang w:eastAsia="bg-BG"/>
        </w:rPr>
      </w:pPr>
      <w:r w:rsidRPr="00E903FC">
        <w:rPr>
          <w:rFonts w:ascii="Times New Roman" w:eastAsia="Times New Roman" w:hAnsi="Times New Roman" w:cs="Times New Roman"/>
          <w:color w:val="000000"/>
          <w:sz w:val="28"/>
          <w:szCs w:val="28"/>
          <w:lang w:eastAsia="bg-BG"/>
        </w:rPr>
        <w:t xml:space="preserve">Броят на върнатите от съда на прокурора дела е увеличен спрямо предходните 2021 г. с 5 бр. и спрямо 2019 г. с 2 бр. дела. </w:t>
      </w:r>
    </w:p>
    <w:p w14:paraId="662B216A" w14:textId="6EDC0319" w:rsidR="00E903FC" w:rsidRPr="00E903FC" w:rsidRDefault="00E903FC" w:rsidP="00E903FC">
      <w:pPr>
        <w:spacing w:after="0" w:line="240" w:lineRule="auto"/>
        <w:ind w:firstLine="708"/>
        <w:jc w:val="both"/>
        <w:rPr>
          <w:rFonts w:ascii="Times New Roman" w:eastAsia="Times New Roman" w:hAnsi="Times New Roman" w:cs="Times New Roman"/>
          <w:color w:val="000000"/>
          <w:sz w:val="28"/>
          <w:szCs w:val="28"/>
          <w:lang w:eastAsia="bg-BG"/>
        </w:rPr>
      </w:pPr>
      <w:r w:rsidRPr="00E903FC">
        <w:rPr>
          <w:rFonts w:ascii="Times New Roman" w:eastAsia="Times New Roman" w:hAnsi="Times New Roman" w:cs="Times New Roman"/>
          <w:color w:val="000000"/>
          <w:sz w:val="28"/>
          <w:szCs w:val="28"/>
          <w:lang w:eastAsia="bg-BG"/>
        </w:rPr>
        <w:t>Оправданите с влязъл в сила съдебен акт лица са се увеличили спрямо оправданите през 2021 г</w:t>
      </w:r>
      <w:r w:rsidR="00595089">
        <w:rPr>
          <w:rFonts w:ascii="Times New Roman" w:eastAsia="Times New Roman" w:hAnsi="Times New Roman" w:cs="Times New Roman"/>
          <w:color w:val="000000"/>
          <w:sz w:val="28"/>
          <w:szCs w:val="28"/>
          <w:lang w:eastAsia="bg-BG"/>
        </w:rPr>
        <w:t>.</w:t>
      </w:r>
      <w:r w:rsidRPr="00E903FC">
        <w:rPr>
          <w:rFonts w:ascii="Times New Roman" w:eastAsia="Times New Roman" w:hAnsi="Times New Roman" w:cs="Times New Roman"/>
          <w:color w:val="000000"/>
          <w:sz w:val="28"/>
          <w:szCs w:val="28"/>
          <w:lang w:eastAsia="bg-BG"/>
        </w:rPr>
        <w:t xml:space="preserve"> и 2020 г. – с 3 лица спрямо 2021 г. и с 2 лица спрямо 2020 г.</w:t>
      </w:r>
    </w:p>
    <w:p w14:paraId="1FADD4EC" w14:textId="77777777" w:rsidR="00E903FC" w:rsidRPr="00E903FC" w:rsidRDefault="00E903FC" w:rsidP="00E903FC">
      <w:pPr>
        <w:spacing w:after="0" w:line="240" w:lineRule="auto"/>
        <w:ind w:firstLine="709"/>
        <w:jc w:val="both"/>
        <w:rPr>
          <w:rFonts w:ascii="Times New Roman" w:eastAsia="Times New Roman" w:hAnsi="Times New Roman" w:cs="Times New Roman"/>
          <w:color w:val="000000"/>
          <w:sz w:val="28"/>
          <w:szCs w:val="28"/>
          <w:lang w:eastAsia="bg-BG"/>
        </w:rPr>
      </w:pPr>
    </w:p>
    <w:p w14:paraId="6ACE2D69" w14:textId="77777777" w:rsidR="00E903FC" w:rsidRPr="00E903FC" w:rsidRDefault="00E903FC" w:rsidP="00E903FC">
      <w:pPr>
        <w:spacing w:after="0" w:line="240" w:lineRule="auto"/>
        <w:ind w:firstLine="709"/>
        <w:jc w:val="both"/>
        <w:rPr>
          <w:rFonts w:ascii="Times New Roman" w:eastAsia="Times New Roman" w:hAnsi="Times New Roman" w:cs="Times New Roman"/>
          <w:color w:val="000000"/>
          <w:sz w:val="28"/>
          <w:szCs w:val="28"/>
          <w:lang w:eastAsia="bg-BG"/>
        </w:rPr>
      </w:pPr>
      <w:r w:rsidRPr="00E903FC">
        <w:rPr>
          <w:rFonts w:ascii="Times New Roman" w:eastAsia="Times New Roman" w:hAnsi="Times New Roman" w:cs="Times New Roman"/>
          <w:color w:val="000000"/>
          <w:sz w:val="28"/>
          <w:szCs w:val="28"/>
          <w:lang w:eastAsia="bg-BG"/>
        </w:rPr>
        <w:t xml:space="preserve">Следващата таблица очертава </w:t>
      </w:r>
      <w:r w:rsidRPr="00E903FC">
        <w:rPr>
          <w:rFonts w:ascii="Times New Roman" w:eastAsia="Times New Roman" w:hAnsi="Times New Roman" w:cs="Times New Roman"/>
          <w:color w:val="000000"/>
          <w:sz w:val="28"/>
          <w:szCs w:val="28"/>
          <w:u w:val="single"/>
          <w:lang w:eastAsia="bg-BG"/>
        </w:rPr>
        <w:t>структурата на престъпленията</w:t>
      </w:r>
      <w:r w:rsidRPr="00E903FC">
        <w:rPr>
          <w:rFonts w:ascii="Times New Roman" w:eastAsia="Times New Roman" w:hAnsi="Times New Roman" w:cs="Times New Roman"/>
          <w:color w:val="000000"/>
          <w:sz w:val="28"/>
          <w:szCs w:val="28"/>
          <w:lang w:eastAsia="bg-BG"/>
        </w:rPr>
        <w:t>, включени в мониторинга на ЕК и ВСС:</w:t>
      </w:r>
    </w:p>
    <w:p w14:paraId="02B10085" w14:textId="77777777" w:rsidR="00E903FC" w:rsidRPr="00E903FC" w:rsidRDefault="00E903FC" w:rsidP="00E903FC">
      <w:pPr>
        <w:spacing w:after="0" w:line="240" w:lineRule="auto"/>
        <w:ind w:firstLine="709"/>
        <w:jc w:val="both"/>
        <w:rPr>
          <w:rFonts w:ascii="Times New Roman" w:eastAsia="Times New Roman" w:hAnsi="Times New Roman" w:cs="Times New Roman"/>
          <w:color w:val="000000"/>
          <w:sz w:val="28"/>
          <w:szCs w:val="28"/>
          <w:lang w:eastAsia="bg-BG"/>
        </w:rPr>
      </w:pP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1417"/>
        <w:gridCol w:w="1277"/>
        <w:gridCol w:w="852"/>
        <w:gridCol w:w="1428"/>
        <w:gridCol w:w="1186"/>
        <w:gridCol w:w="1176"/>
        <w:gridCol w:w="10"/>
        <w:gridCol w:w="1152"/>
        <w:gridCol w:w="10"/>
      </w:tblGrid>
      <w:tr w:rsidR="00E903FC" w:rsidRPr="00E903FC" w14:paraId="2364E230" w14:textId="77777777" w:rsidTr="00E903FC">
        <w:trPr>
          <w:trHeight w:val="798"/>
        </w:trPr>
        <w:tc>
          <w:tcPr>
            <w:tcW w:w="996" w:type="dxa"/>
            <w:tcBorders>
              <w:top w:val="single" w:sz="4" w:space="0" w:color="auto"/>
              <w:left w:val="single" w:sz="4" w:space="0" w:color="auto"/>
              <w:bottom w:val="single" w:sz="4" w:space="0" w:color="auto"/>
              <w:right w:val="single" w:sz="4" w:space="0" w:color="auto"/>
            </w:tcBorders>
            <w:hideMark/>
          </w:tcPr>
          <w:p w14:paraId="5B6DAD08"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 xml:space="preserve">Година </w:t>
            </w:r>
          </w:p>
        </w:tc>
        <w:tc>
          <w:tcPr>
            <w:tcW w:w="1417" w:type="dxa"/>
            <w:tcBorders>
              <w:top w:val="single" w:sz="4" w:space="0" w:color="auto"/>
              <w:left w:val="single" w:sz="4" w:space="0" w:color="auto"/>
              <w:bottom w:val="single" w:sz="4" w:space="0" w:color="auto"/>
              <w:right w:val="single" w:sz="4" w:space="0" w:color="auto"/>
            </w:tcBorders>
            <w:hideMark/>
          </w:tcPr>
          <w:p w14:paraId="1993E706"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 xml:space="preserve">Наблюд. ДП </w:t>
            </w:r>
          </w:p>
        </w:tc>
        <w:tc>
          <w:tcPr>
            <w:tcW w:w="1276" w:type="dxa"/>
            <w:tcBorders>
              <w:top w:val="single" w:sz="4" w:space="0" w:color="auto"/>
              <w:left w:val="single" w:sz="4" w:space="0" w:color="auto"/>
              <w:bottom w:val="single" w:sz="4" w:space="0" w:color="auto"/>
              <w:right w:val="single" w:sz="4" w:space="0" w:color="auto"/>
            </w:tcBorders>
            <w:hideMark/>
          </w:tcPr>
          <w:p w14:paraId="5A1296DD"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 xml:space="preserve">Образ.ДП </w:t>
            </w:r>
          </w:p>
        </w:tc>
        <w:tc>
          <w:tcPr>
            <w:tcW w:w="851" w:type="dxa"/>
            <w:tcBorders>
              <w:top w:val="single" w:sz="4" w:space="0" w:color="auto"/>
              <w:left w:val="single" w:sz="4" w:space="0" w:color="auto"/>
              <w:bottom w:val="single" w:sz="4" w:space="0" w:color="auto"/>
              <w:right w:val="single" w:sz="4" w:space="0" w:color="auto"/>
            </w:tcBorders>
            <w:hideMark/>
          </w:tcPr>
          <w:p w14:paraId="16327348"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 xml:space="preserve">Реш. ДП </w:t>
            </w:r>
          </w:p>
        </w:tc>
        <w:tc>
          <w:tcPr>
            <w:tcW w:w="1427" w:type="dxa"/>
            <w:tcBorders>
              <w:top w:val="single" w:sz="4" w:space="0" w:color="auto"/>
              <w:left w:val="single" w:sz="4" w:space="0" w:color="auto"/>
              <w:bottom w:val="single" w:sz="4" w:space="0" w:color="auto"/>
              <w:right w:val="single" w:sz="4" w:space="0" w:color="auto"/>
            </w:tcBorders>
            <w:hideMark/>
          </w:tcPr>
          <w:p w14:paraId="287D4037"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 xml:space="preserve">Прок.акт., внесени в съда </w:t>
            </w:r>
          </w:p>
        </w:tc>
        <w:tc>
          <w:tcPr>
            <w:tcW w:w="1185" w:type="dxa"/>
            <w:tcBorders>
              <w:top w:val="single" w:sz="4" w:space="0" w:color="auto"/>
              <w:left w:val="single" w:sz="4" w:space="0" w:color="auto"/>
              <w:bottom w:val="single" w:sz="4" w:space="0" w:color="auto"/>
              <w:right w:val="single" w:sz="4" w:space="0" w:color="auto"/>
            </w:tcBorders>
            <w:hideMark/>
          </w:tcPr>
          <w:p w14:paraId="68153427"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 xml:space="preserve">Предад. на съд лица </w:t>
            </w:r>
          </w:p>
        </w:tc>
        <w:tc>
          <w:tcPr>
            <w:tcW w:w="1185" w:type="dxa"/>
            <w:gridSpan w:val="2"/>
            <w:tcBorders>
              <w:top w:val="single" w:sz="4" w:space="0" w:color="auto"/>
              <w:left w:val="single" w:sz="4" w:space="0" w:color="auto"/>
              <w:bottom w:val="single" w:sz="4" w:space="0" w:color="auto"/>
              <w:right w:val="single" w:sz="4" w:space="0" w:color="auto"/>
            </w:tcBorders>
            <w:hideMark/>
          </w:tcPr>
          <w:p w14:paraId="107EA286"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 xml:space="preserve">Осъдени и санкц. лица </w:t>
            </w:r>
          </w:p>
        </w:tc>
        <w:tc>
          <w:tcPr>
            <w:tcW w:w="1161" w:type="dxa"/>
            <w:gridSpan w:val="2"/>
            <w:tcBorders>
              <w:top w:val="single" w:sz="4" w:space="0" w:color="auto"/>
              <w:left w:val="single" w:sz="4" w:space="0" w:color="auto"/>
              <w:bottom w:val="single" w:sz="4" w:space="0" w:color="auto"/>
              <w:right w:val="single" w:sz="4" w:space="0" w:color="auto"/>
            </w:tcBorders>
            <w:hideMark/>
          </w:tcPr>
          <w:p w14:paraId="652DA6CD"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 xml:space="preserve">Оправд. лица </w:t>
            </w:r>
          </w:p>
        </w:tc>
      </w:tr>
      <w:tr w:rsidR="00E903FC" w:rsidRPr="00E903FC" w14:paraId="4A3412F4" w14:textId="77777777" w:rsidTr="00E903FC">
        <w:trPr>
          <w:trHeight w:val="262"/>
        </w:trPr>
        <w:tc>
          <w:tcPr>
            <w:tcW w:w="9498" w:type="dxa"/>
            <w:gridSpan w:val="10"/>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0460B80" w14:textId="77777777" w:rsidR="00E903FC" w:rsidRPr="00E903FC" w:rsidRDefault="00E903FC" w:rsidP="00E903FC">
            <w:pPr>
              <w:spacing w:after="0" w:line="240" w:lineRule="auto"/>
              <w:jc w:val="both"/>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ОРГАНИЗИРАНА ПРЕСТЪПНОСТ</w:t>
            </w:r>
          </w:p>
        </w:tc>
      </w:tr>
      <w:tr w:rsidR="00E903FC" w:rsidRPr="00E903FC" w14:paraId="380095FF" w14:textId="77777777" w:rsidTr="00E903FC">
        <w:trPr>
          <w:gridAfter w:val="1"/>
          <w:wAfter w:w="10" w:type="dxa"/>
          <w:trHeight w:val="75"/>
        </w:trPr>
        <w:tc>
          <w:tcPr>
            <w:tcW w:w="996" w:type="dxa"/>
            <w:tcBorders>
              <w:top w:val="single" w:sz="4" w:space="0" w:color="auto"/>
              <w:left w:val="single" w:sz="4" w:space="0" w:color="auto"/>
              <w:bottom w:val="single" w:sz="4" w:space="0" w:color="auto"/>
              <w:right w:val="single" w:sz="4" w:space="0" w:color="auto"/>
            </w:tcBorders>
            <w:shd w:val="clear" w:color="auto" w:fill="D9D9D9"/>
            <w:hideMark/>
          </w:tcPr>
          <w:p w14:paraId="4AC7F262" w14:textId="77777777" w:rsidR="00E903FC" w:rsidRPr="00E903FC" w:rsidRDefault="00E903FC" w:rsidP="00E903FC">
            <w:pPr>
              <w:spacing w:after="0" w:line="240" w:lineRule="auto"/>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2022 г</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73AA67F9"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5</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6B63BB82" w14:textId="77777777" w:rsidR="00E903FC" w:rsidRPr="00E903FC" w:rsidRDefault="00E903FC" w:rsidP="00E903FC">
            <w:pPr>
              <w:spacing w:after="0" w:line="240" w:lineRule="auto"/>
              <w:ind w:firstLine="31"/>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6C1D5466"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w:t>
            </w:r>
          </w:p>
        </w:tc>
        <w:tc>
          <w:tcPr>
            <w:tcW w:w="1427" w:type="dxa"/>
            <w:tcBorders>
              <w:top w:val="single" w:sz="4" w:space="0" w:color="auto"/>
              <w:left w:val="single" w:sz="4" w:space="0" w:color="auto"/>
              <w:bottom w:val="single" w:sz="4" w:space="0" w:color="auto"/>
              <w:right w:val="single" w:sz="4" w:space="0" w:color="auto"/>
            </w:tcBorders>
            <w:shd w:val="clear" w:color="auto" w:fill="D9D9D9"/>
            <w:hideMark/>
          </w:tcPr>
          <w:p w14:paraId="3C3BB5BB"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c>
          <w:tcPr>
            <w:tcW w:w="1185" w:type="dxa"/>
            <w:tcBorders>
              <w:top w:val="single" w:sz="4" w:space="0" w:color="auto"/>
              <w:left w:val="single" w:sz="4" w:space="0" w:color="auto"/>
              <w:bottom w:val="single" w:sz="4" w:space="0" w:color="auto"/>
              <w:right w:val="single" w:sz="4" w:space="0" w:color="auto"/>
            </w:tcBorders>
            <w:shd w:val="clear" w:color="auto" w:fill="D9D9D9"/>
            <w:hideMark/>
          </w:tcPr>
          <w:p w14:paraId="59B79755"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c>
          <w:tcPr>
            <w:tcW w:w="1175" w:type="dxa"/>
            <w:tcBorders>
              <w:top w:val="single" w:sz="4" w:space="0" w:color="auto"/>
              <w:left w:val="single" w:sz="4" w:space="0" w:color="auto"/>
              <w:bottom w:val="single" w:sz="4" w:space="0" w:color="auto"/>
              <w:right w:val="single" w:sz="4" w:space="0" w:color="auto"/>
            </w:tcBorders>
            <w:shd w:val="clear" w:color="auto" w:fill="D9D9D9"/>
            <w:hideMark/>
          </w:tcPr>
          <w:p w14:paraId="73356DE5"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3C5D81C"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r>
      <w:tr w:rsidR="00E903FC" w:rsidRPr="00E903FC" w14:paraId="3A7A8E13" w14:textId="77777777" w:rsidTr="00E903FC">
        <w:trPr>
          <w:gridAfter w:val="1"/>
          <w:wAfter w:w="10" w:type="dxa"/>
          <w:trHeight w:val="75"/>
        </w:trPr>
        <w:tc>
          <w:tcPr>
            <w:tcW w:w="996" w:type="dxa"/>
            <w:tcBorders>
              <w:top w:val="single" w:sz="4" w:space="0" w:color="auto"/>
              <w:left w:val="single" w:sz="4" w:space="0" w:color="auto"/>
              <w:bottom w:val="single" w:sz="4" w:space="0" w:color="auto"/>
              <w:right w:val="single" w:sz="4" w:space="0" w:color="auto"/>
            </w:tcBorders>
            <w:hideMark/>
          </w:tcPr>
          <w:p w14:paraId="098719BA"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2021 г.</w:t>
            </w:r>
          </w:p>
        </w:tc>
        <w:tc>
          <w:tcPr>
            <w:tcW w:w="1417" w:type="dxa"/>
            <w:tcBorders>
              <w:top w:val="single" w:sz="4" w:space="0" w:color="auto"/>
              <w:left w:val="single" w:sz="4" w:space="0" w:color="auto"/>
              <w:bottom w:val="single" w:sz="4" w:space="0" w:color="auto"/>
              <w:right w:val="single" w:sz="4" w:space="0" w:color="auto"/>
            </w:tcBorders>
            <w:hideMark/>
          </w:tcPr>
          <w:p w14:paraId="1EF2AFFE"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276" w:type="dxa"/>
            <w:tcBorders>
              <w:top w:val="single" w:sz="4" w:space="0" w:color="auto"/>
              <w:left w:val="single" w:sz="4" w:space="0" w:color="auto"/>
              <w:bottom w:val="single" w:sz="4" w:space="0" w:color="auto"/>
              <w:right w:val="single" w:sz="4" w:space="0" w:color="auto"/>
            </w:tcBorders>
            <w:hideMark/>
          </w:tcPr>
          <w:p w14:paraId="5F565852" w14:textId="77777777" w:rsidR="00E903FC" w:rsidRPr="00E903FC" w:rsidRDefault="00E903FC" w:rsidP="00E903FC">
            <w:pPr>
              <w:spacing w:after="0" w:line="240" w:lineRule="auto"/>
              <w:ind w:firstLine="31"/>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851" w:type="dxa"/>
            <w:tcBorders>
              <w:top w:val="single" w:sz="4" w:space="0" w:color="auto"/>
              <w:left w:val="single" w:sz="4" w:space="0" w:color="auto"/>
              <w:bottom w:val="single" w:sz="4" w:space="0" w:color="auto"/>
              <w:right w:val="single" w:sz="4" w:space="0" w:color="auto"/>
            </w:tcBorders>
            <w:hideMark/>
          </w:tcPr>
          <w:p w14:paraId="0E8732B6"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427" w:type="dxa"/>
            <w:tcBorders>
              <w:top w:val="single" w:sz="4" w:space="0" w:color="auto"/>
              <w:left w:val="single" w:sz="4" w:space="0" w:color="auto"/>
              <w:bottom w:val="single" w:sz="4" w:space="0" w:color="auto"/>
              <w:right w:val="single" w:sz="4" w:space="0" w:color="auto"/>
            </w:tcBorders>
            <w:hideMark/>
          </w:tcPr>
          <w:p w14:paraId="73B11953"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85" w:type="dxa"/>
            <w:tcBorders>
              <w:top w:val="single" w:sz="4" w:space="0" w:color="auto"/>
              <w:left w:val="single" w:sz="4" w:space="0" w:color="auto"/>
              <w:bottom w:val="single" w:sz="4" w:space="0" w:color="auto"/>
              <w:right w:val="single" w:sz="4" w:space="0" w:color="auto"/>
            </w:tcBorders>
            <w:hideMark/>
          </w:tcPr>
          <w:p w14:paraId="6C25819B"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75" w:type="dxa"/>
            <w:tcBorders>
              <w:top w:val="single" w:sz="4" w:space="0" w:color="auto"/>
              <w:left w:val="single" w:sz="4" w:space="0" w:color="auto"/>
              <w:bottom w:val="single" w:sz="4" w:space="0" w:color="auto"/>
              <w:right w:val="single" w:sz="4" w:space="0" w:color="auto"/>
            </w:tcBorders>
            <w:hideMark/>
          </w:tcPr>
          <w:p w14:paraId="75EA0C45"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61" w:type="dxa"/>
            <w:gridSpan w:val="2"/>
            <w:tcBorders>
              <w:top w:val="single" w:sz="4" w:space="0" w:color="auto"/>
              <w:left w:val="single" w:sz="4" w:space="0" w:color="auto"/>
              <w:bottom w:val="single" w:sz="4" w:space="0" w:color="auto"/>
              <w:right w:val="single" w:sz="4" w:space="0" w:color="auto"/>
            </w:tcBorders>
            <w:hideMark/>
          </w:tcPr>
          <w:p w14:paraId="2EE5A1BD"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r>
      <w:tr w:rsidR="00E903FC" w:rsidRPr="00E903FC" w14:paraId="34E8C240" w14:textId="77777777" w:rsidTr="00E903FC">
        <w:trPr>
          <w:gridAfter w:val="1"/>
          <w:wAfter w:w="10" w:type="dxa"/>
          <w:trHeight w:val="77"/>
        </w:trPr>
        <w:tc>
          <w:tcPr>
            <w:tcW w:w="996" w:type="dxa"/>
            <w:tcBorders>
              <w:top w:val="single" w:sz="4" w:space="0" w:color="auto"/>
              <w:left w:val="single" w:sz="4" w:space="0" w:color="auto"/>
              <w:bottom w:val="single" w:sz="4" w:space="0" w:color="auto"/>
              <w:right w:val="single" w:sz="4" w:space="0" w:color="auto"/>
            </w:tcBorders>
            <w:hideMark/>
          </w:tcPr>
          <w:p w14:paraId="0AA95482" w14:textId="77777777" w:rsidR="00E903FC" w:rsidRPr="00E903FC" w:rsidRDefault="00E903FC" w:rsidP="00E903FC">
            <w:pPr>
              <w:spacing w:after="0" w:line="240" w:lineRule="auto"/>
              <w:jc w:val="center"/>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2020 г.</w:t>
            </w:r>
          </w:p>
        </w:tc>
        <w:tc>
          <w:tcPr>
            <w:tcW w:w="1417" w:type="dxa"/>
            <w:tcBorders>
              <w:top w:val="single" w:sz="4" w:space="0" w:color="auto"/>
              <w:left w:val="single" w:sz="4" w:space="0" w:color="auto"/>
              <w:bottom w:val="single" w:sz="4" w:space="0" w:color="auto"/>
              <w:right w:val="single" w:sz="4" w:space="0" w:color="auto"/>
            </w:tcBorders>
            <w:hideMark/>
          </w:tcPr>
          <w:p w14:paraId="1D1BBE65"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276" w:type="dxa"/>
            <w:tcBorders>
              <w:top w:val="single" w:sz="4" w:space="0" w:color="auto"/>
              <w:left w:val="single" w:sz="4" w:space="0" w:color="auto"/>
              <w:bottom w:val="single" w:sz="4" w:space="0" w:color="auto"/>
              <w:right w:val="single" w:sz="4" w:space="0" w:color="auto"/>
            </w:tcBorders>
            <w:hideMark/>
          </w:tcPr>
          <w:p w14:paraId="4C63E0E3" w14:textId="77777777" w:rsidR="00E903FC" w:rsidRPr="00E903FC" w:rsidRDefault="00E903FC" w:rsidP="00E903FC">
            <w:pPr>
              <w:spacing w:after="0" w:line="240" w:lineRule="auto"/>
              <w:ind w:firstLine="31"/>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851" w:type="dxa"/>
            <w:tcBorders>
              <w:top w:val="single" w:sz="4" w:space="0" w:color="auto"/>
              <w:left w:val="single" w:sz="4" w:space="0" w:color="auto"/>
              <w:bottom w:val="single" w:sz="4" w:space="0" w:color="auto"/>
              <w:right w:val="single" w:sz="4" w:space="0" w:color="auto"/>
            </w:tcBorders>
            <w:hideMark/>
          </w:tcPr>
          <w:p w14:paraId="2EB74726"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427" w:type="dxa"/>
            <w:tcBorders>
              <w:top w:val="single" w:sz="4" w:space="0" w:color="auto"/>
              <w:left w:val="single" w:sz="4" w:space="0" w:color="auto"/>
              <w:bottom w:val="single" w:sz="4" w:space="0" w:color="auto"/>
              <w:right w:val="single" w:sz="4" w:space="0" w:color="auto"/>
            </w:tcBorders>
            <w:hideMark/>
          </w:tcPr>
          <w:p w14:paraId="483138BF"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85" w:type="dxa"/>
            <w:tcBorders>
              <w:top w:val="single" w:sz="4" w:space="0" w:color="auto"/>
              <w:left w:val="single" w:sz="4" w:space="0" w:color="auto"/>
              <w:bottom w:val="single" w:sz="4" w:space="0" w:color="auto"/>
              <w:right w:val="single" w:sz="4" w:space="0" w:color="auto"/>
            </w:tcBorders>
            <w:hideMark/>
          </w:tcPr>
          <w:p w14:paraId="235ADD37"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75" w:type="dxa"/>
            <w:tcBorders>
              <w:top w:val="single" w:sz="4" w:space="0" w:color="auto"/>
              <w:left w:val="single" w:sz="4" w:space="0" w:color="auto"/>
              <w:bottom w:val="single" w:sz="4" w:space="0" w:color="auto"/>
              <w:right w:val="single" w:sz="4" w:space="0" w:color="auto"/>
            </w:tcBorders>
            <w:hideMark/>
          </w:tcPr>
          <w:p w14:paraId="6FE55B0C"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61" w:type="dxa"/>
            <w:gridSpan w:val="2"/>
            <w:tcBorders>
              <w:top w:val="single" w:sz="4" w:space="0" w:color="auto"/>
              <w:left w:val="single" w:sz="4" w:space="0" w:color="auto"/>
              <w:bottom w:val="single" w:sz="4" w:space="0" w:color="auto"/>
              <w:right w:val="single" w:sz="4" w:space="0" w:color="auto"/>
            </w:tcBorders>
            <w:hideMark/>
          </w:tcPr>
          <w:p w14:paraId="4CE2D3EB"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r>
      <w:tr w:rsidR="00E903FC" w:rsidRPr="00E903FC" w14:paraId="67B27A9E" w14:textId="77777777" w:rsidTr="00E903FC">
        <w:trPr>
          <w:trHeight w:val="77"/>
        </w:trPr>
        <w:tc>
          <w:tcPr>
            <w:tcW w:w="9498" w:type="dxa"/>
            <w:gridSpan w:val="10"/>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070EFF5" w14:textId="77777777" w:rsidR="00E903FC" w:rsidRPr="00E903FC" w:rsidRDefault="00E903FC" w:rsidP="00E903FC">
            <w:pPr>
              <w:spacing w:after="0" w:line="240" w:lineRule="auto"/>
              <w:jc w:val="both"/>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КОРУПЦИОННИ ПРЕСТЪПЛЕНИЯ – ОБЩО</w:t>
            </w:r>
          </w:p>
        </w:tc>
      </w:tr>
      <w:tr w:rsidR="00E903FC" w:rsidRPr="00E903FC" w14:paraId="14CC25AC" w14:textId="77777777" w:rsidTr="00E903FC">
        <w:trPr>
          <w:trHeight w:val="75"/>
        </w:trPr>
        <w:tc>
          <w:tcPr>
            <w:tcW w:w="996" w:type="dxa"/>
            <w:tcBorders>
              <w:top w:val="single" w:sz="4" w:space="0" w:color="auto"/>
              <w:left w:val="single" w:sz="4" w:space="0" w:color="auto"/>
              <w:bottom w:val="single" w:sz="4" w:space="0" w:color="auto"/>
              <w:right w:val="single" w:sz="4" w:space="0" w:color="auto"/>
            </w:tcBorders>
            <w:shd w:val="clear" w:color="auto" w:fill="D9D9D9"/>
            <w:hideMark/>
          </w:tcPr>
          <w:p w14:paraId="4516FFD3" w14:textId="77777777" w:rsidR="00E903FC" w:rsidRPr="00E903FC" w:rsidRDefault="00E903FC" w:rsidP="00E903FC">
            <w:pPr>
              <w:spacing w:after="0" w:line="240" w:lineRule="auto"/>
              <w:jc w:val="center"/>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2022 г</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1E61283B"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68</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10512C77"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34</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15237A38"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25</w:t>
            </w:r>
          </w:p>
        </w:tc>
        <w:tc>
          <w:tcPr>
            <w:tcW w:w="1427" w:type="dxa"/>
            <w:tcBorders>
              <w:top w:val="single" w:sz="4" w:space="0" w:color="auto"/>
              <w:left w:val="single" w:sz="4" w:space="0" w:color="auto"/>
              <w:bottom w:val="single" w:sz="4" w:space="0" w:color="auto"/>
              <w:right w:val="single" w:sz="4" w:space="0" w:color="auto"/>
            </w:tcBorders>
            <w:shd w:val="clear" w:color="auto" w:fill="D9D9D9"/>
            <w:hideMark/>
          </w:tcPr>
          <w:p w14:paraId="0D147789"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9</w:t>
            </w:r>
          </w:p>
        </w:tc>
        <w:tc>
          <w:tcPr>
            <w:tcW w:w="1185" w:type="dxa"/>
            <w:tcBorders>
              <w:top w:val="single" w:sz="4" w:space="0" w:color="auto"/>
              <w:left w:val="single" w:sz="4" w:space="0" w:color="auto"/>
              <w:bottom w:val="single" w:sz="4" w:space="0" w:color="auto"/>
              <w:right w:val="single" w:sz="4" w:space="0" w:color="auto"/>
            </w:tcBorders>
            <w:shd w:val="clear" w:color="auto" w:fill="D9D9D9"/>
            <w:hideMark/>
          </w:tcPr>
          <w:p w14:paraId="653A774B"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9</w:t>
            </w:r>
          </w:p>
        </w:tc>
        <w:tc>
          <w:tcPr>
            <w:tcW w:w="118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EFF5EC0"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5E2B1CE"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w:t>
            </w:r>
          </w:p>
        </w:tc>
      </w:tr>
      <w:tr w:rsidR="00E903FC" w:rsidRPr="00E903FC" w14:paraId="74CC2D0D" w14:textId="77777777" w:rsidTr="00E903FC">
        <w:trPr>
          <w:trHeight w:val="75"/>
        </w:trPr>
        <w:tc>
          <w:tcPr>
            <w:tcW w:w="996" w:type="dxa"/>
            <w:tcBorders>
              <w:top w:val="single" w:sz="4" w:space="0" w:color="auto"/>
              <w:left w:val="single" w:sz="4" w:space="0" w:color="auto"/>
              <w:bottom w:val="single" w:sz="4" w:space="0" w:color="auto"/>
              <w:right w:val="single" w:sz="4" w:space="0" w:color="auto"/>
            </w:tcBorders>
            <w:hideMark/>
          </w:tcPr>
          <w:p w14:paraId="76CDF872" w14:textId="77777777" w:rsidR="00E903FC" w:rsidRPr="00E903FC" w:rsidRDefault="00E903FC" w:rsidP="00E903FC">
            <w:pPr>
              <w:spacing w:after="0" w:line="240" w:lineRule="auto"/>
              <w:jc w:val="center"/>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2021 г.</w:t>
            </w:r>
          </w:p>
        </w:tc>
        <w:tc>
          <w:tcPr>
            <w:tcW w:w="1417" w:type="dxa"/>
            <w:tcBorders>
              <w:top w:val="single" w:sz="4" w:space="0" w:color="auto"/>
              <w:left w:val="single" w:sz="4" w:space="0" w:color="auto"/>
              <w:bottom w:val="single" w:sz="4" w:space="0" w:color="auto"/>
              <w:right w:val="single" w:sz="4" w:space="0" w:color="auto"/>
            </w:tcBorders>
            <w:hideMark/>
          </w:tcPr>
          <w:p w14:paraId="56C119C2"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80</w:t>
            </w:r>
          </w:p>
        </w:tc>
        <w:tc>
          <w:tcPr>
            <w:tcW w:w="1276" w:type="dxa"/>
            <w:tcBorders>
              <w:top w:val="single" w:sz="4" w:space="0" w:color="auto"/>
              <w:left w:val="single" w:sz="4" w:space="0" w:color="auto"/>
              <w:bottom w:val="single" w:sz="4" w:space="0" w:color="auto"/>
              <w:right w:val="single" w:sz="4" w:space="0" w:color="auto"/>
            </w:tcBorders>
            <w:hideMark/>
          </w:tcPr>
          <w:p w14:paraId="49061A7E"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32</w:t>
            </w:r>
          </w:p>
        </w:tc>
        <w:tc>
          <w:tcPr>
            <w:tcW w:w="851" w:type="dxa"/>
            <w:tcBorders>
              <w:top w:val="single" w:sz="4" w:space="0" w:color="auto"/>
              <w:left w:val="single" w:sz="4" w:space="0" w:color="auto"/>
              <w:bottom w:val="single" w:sz="4" w:space="0" w:color="auto"/>
              <w:right w:val="single" w:sz="4" w:space="0" w:color="auto"/>
            </w:tcBorders>
            <w:hideMark/>
          </w:tcPr>
          <w:p w14:paraId="0A3326A6"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50</w:t>
            </w:r>
          </w:p>
        </w:tc>
        <w:tc>
          <w:tcPr>
            <w:tcW w:w="1427" w:type="dxa"/>
            <w:tcBorders>
              <w:top w:val="single" w:sz="4" w:space="0" w:color="auto"/>
              <w:left w:val="single" w:sz="4" w:space="0" w:color="auto"/>
              <w:bottom w:val="single" w:sz="4" w:space="0" w:color="auto"/>
              <w:right w:val="single" w:sz="4" w:space="0" w:color="auto"/>
            </w:tcBorders>
            <w:hideMark/>
          </w:tcPr>
          <w:p w14:paraId="675E5DBB"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12</w:t>
            </w:r>
          </w:p>
        </w:tc>
        <w:tc>
          <w:tcPr>
            <w:tcW w:w="1185" w:type="dxa"/>
            <w:tcBorders>
              <w:top w:val="single" w:sz="4" w:space="0" w:color="auto"/>
              <w:left w:val="single" w:sz="4" w:space="0" w:color="auto"/>
              <w:bottom w:val="single" w:sz="4" w:space="0" w:color="auto"/>
              <w:right w:val="single" w:sz="4" w:space="0" w:color="auto"/>
            </w:tcBorders>
            <w:hideMark/>
          </w:tcPr>
          <w:p w14:paraId="2A3ECE50"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13</w:t>
            </w:r>
          </w:p>
        </w:tc>
        <w:tc>
          <w:tcPr>
            <w:tcW w:w="1185" w:type="dxa"/>
            <w:gridSpan w:val="2"/>
            <w:tcBorders>
              <w:top w:val="single" w:sz="4" w:space="0" w:color="auto"/>
              <w:left w:val="single" w:sz="4" w:space="0" w:color="auto"/>
              <w:bottom w:val="single" w:sz="4" w:space="0" w:color="auto"/>
              <w:right w:val="single" w:sz="4" w:space="0" w:color="auto"/>
            </w:tcBorders>
            <w:hideMark/>
          </w:tcPr>
          <w:p w14:paraId="467DA4CF"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14</w:t>
            </w:r>
          </w:p>
        </w:tc>
        <w:tc>
          <w:tcPr>
            <w:tcW w:w="1161" w:type="dxa"/>
            <w:gridSpan w:val="2"/>
            <w:tcBorders>
              <w:top w:val="single" w:sz="4" w:space="0" w:color="auto"/>
              <w:left w:val="single" w:sz="4" w:space="0" w:color="auto"/>
              <w:bottom w:val="single" w:sz="4" w:space="0" w:color="auto"/>
              <w:right w:val="single" w:sz="4" w:space="0" w:color="auto"/>
            </w:tcBorders>
            <w:hideMark/>
          </w:tcPr>
          <w:p w14:paraId="5D28798E"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r>
      <w:tr w:rsidR="00E903FC" w:rsidRPr="00E903FC" w14:paraId="3DD03779" w14:textId="77777777" w:rsidTr="00E903FC">
        <w:trPr>
          <w:trHeight w:val="77"/>
        </w:trPr>
        <w:tc>
          <w:tcPr>
            <w:tcW w:w="996" w:type="dxa"/>
            <w:tcBorders>
              <w:top w:val="single" w:sz="4" w:space="0" w:color="auto"/>
              <w:left w:val="single" w:sz="4" w:space="0" w:color="auto"/>
              <w:bottom w:val="single" w:sz="4" w:space="0" w:color="auto"/>
              <w:right w:val="single" w:sz="4" w:space="0" w:color="auto"/>
            </w:tcBorders>
            <w:hideMark/>
          </w:tcPr>
          <w:p w14:paraId="57E93E36" w14:textId="77777777" w:rsidR="00E903FC" w:rsidRPr="00E903FC" w:rsidRDefault="00E903FC" w:rsidP="00E903FC">
            <w:pPr>
              <w:spacing w:after="0" w:line="240" w:lineRule="auto"/>
              <w:jc w:val="center"/>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2020 г.</w:t>
            </w:r>
          </w:p>
        </w:tc>
        <w:tc>
          <w:tcPr>
            <w:tcW w:w="1417" w:type="dxa"/>
            <w:tcBorders>
              <w:top w:val="single" w:sz="4" w:space="0" w:color="auto"/>
              <w:left w:val="single" w:sz="4" w:space="0" w:color="auto"/>
              <w:bottom w:val="single" w:sz="4" w:space="0" w:color="auto"/>
              <w:right w:val="single" w:sz="4" w:space="0" w:color="auto"/>
            </w:tcBorders>
            <w:hideMark/>
          </w:tcPr>
          <w:p w14:paraId="2A048C70"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64</w:t>
            </w:r>
          </w:p>
        </w:tc>
        <w:tc>
          <w:tcPr>
            <w:tcW w:w="1276" w:type="dxa"/>
            <w:tcBorders>
              <w:top w:val="single" w:sz="4" w:space="0" w:color="auto"/>
              <w:left w:val="single" w:sz="4" w:space="0" w:color="auto"/>
              <w:bottom w:val="single" w:sz="4" w:space="0" w:color="auto"/>
              <w:right w:val="single" w:sz="4" w:space="0" w:color="auto"/>
            </w:tcBorders>
            <w:hideMark/>
          </w:tcPr>
          <w:p w14:paraId="0B8C70F8"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14</w:t>
            </w:r>
          </w:p>
        </w:tc>
        <w:tc>
          <w:tcPr>
            <w:tcW w:w="851" w:type="dxa"/>
            <w:tcBorders>
              <w:top w:val="single" w:sz="4" w:space="0" w:color="auto"/>
              <w:left w:val="single" w:sz="4" w:space="0" w:color="auto"/>
              <w:bottom w:val="single" w:sz="4" w:space="0" w:color="auto"/>
              <w:right w:val="single" w:sz="4" w:space="0" w:color="auto"/>
            </w:tcBorders>
            <w:hideMark/>
          </w:tcPr>
          <w:p w14:paraId="25D68A20"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27</w:t>
            </w:r>
          </w:p>
        </w:tc>
        <w:tc>
          <w:tcPr>
            <w:tcW w:w="1427" w:type="dxa"/>
            <w:tcBorders>
              <w:top w:val="single" w:sz="4" w:space="0" w:color="auto"/>
              <w:left w:val="single" w:sz="4" w:space="0" w:color="auto"/>
              <w:bottom w:val="single" w:sz="4" w:space="0" w:color="auto"/>
              <w:right w:val="single" w:sz="4" w:space="0" w:color="auto"/>
            </w:tcBorders>
            <w:hideMark/>
          </w:tcPr>
          <w:p w14:paraId="327DB1A9"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6</w:t>
            </w:r>
          </w:p>
        </w:tc>
        <w:tc>
          <w:tcPr>
            <w:tcW w:w="1185" w:type="dxa"/>
            <w:tcBorders>
              <w:top w:val="single" w:sz="4" w:space="0" w:color="auto"/>
              <w:left w:val="single" w:sz="4" w:space="0" w:color="auto"/>
              <w:bottom w:val="single" w:sz="4" w:space="0" w:color="auto"/>
              <w:right w:val="single" w:sz="4" w:space="0" w:color="auto"/>
            </w:tcBorders>
            <w:hideMark/>
          </w:tcPr>
          <w:p w14:paraId="1B15778A"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6</w:t>
            </w:r>
          </w:p>
        </w:tc>
        <w:tc>
          <w:tcPr>
            <w:tcW w:w="1185" w:type="dxa"/>
            <w:gridSpan w:val="2"/>
            <w:tcBorders>
              <w:top w:val="single" w:sz="4" w:space="0" w:color="auto"/>
              <w:left w:val="single" w:sz="4" w:space="0" w:color="auto"/>
              <w:bottom w:val="single" w:sz="4" w:space="0" w:color="auto"/>
              <w:right w:val="single" w:sz="4" w:space="0" w:color="auto"/>
            </w:tcBorders>
            <w:hideMark/>
          </w:tcPr>
          <w:p w14:paraId="2197A620"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7</w:t>
            </w:r>
          </w:p>
        </w:tc>
        <w:tc>
          <w:tcPr>
            <w:tcW w:w="1161" w:type="dxa"/>
            <w:gridSpan w:val="2"/>
            <w:tcBorders>
              <w:top w:val="single" w:sz="4" w:space="0" w:color="auto"/>
              <w:left w:val="single" w:sz="4" w:space="0" w:color="auto"/>
              <w:bottom w:val="single" w:sz="4" w:space="0" w:color="auto"/>
              <w:right w:val="single" w:sz="4" w:space="0" w:color="auto"/>
            </w:tcBorders>
            <w:hideMark/>
          </w:tcPr>
          <w:p w14:paraId="51CCEDEB"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w:t>
            </w:r>
          </w:p>
        </w:tc>
      </w:tr>
      <w:tr w:rsidR="00E903FC" w:rsidRPr="00E903FC" w14:paraId="5868C5EB" w14:textId="77777777" w:rsidTr="00E903FC">
        <w:trPr>
          <w:trHeight w:val="77"/>
        </w:trPr>
        <w:tc>
          <w:tcPr>
            <w:tcW w:w="9498" w:type="dxa"/>
            <w:gridSpan w:val="10"/>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7ECF465" w14:textId="77777777" w:rsidR="00E903FC" w:rsidRPr="00E903FC" w:rsidRDefault="00E903FC" w:rsidP="00E903FC">
            <w:pPr>
              <w:spacing w:after="0" w:line="240" w:lineRule="auto"/>
              <w:jc w:val="both"/>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ИЗПИРАНЕ НА ПАРИ</w:t>
            </w:r>
          </w:p>
        </w:tc>
      </w:tr>
      <w:tr w:rsidR="00E903FC" w:rsidRPr="00E903FC" w14:paraId="25D3241D" w14:textId="77777777" w:rsidTr="00E903FC">
        <w:trPr>
          <w:trHeight w:val="75"/>
        </w:trPr>
        <w:tc>
          <w:tcPr>
            <w:tcW w:w="996" w:type="dxa"/>
            <w:tcBorders>
              <w:top w:val="single" w:sz="4" w:space="0" w:color="auto"/>
              <w:left w:val="single" w:sz="4" w:space="0" w:color="auto"/>
              <w:bottom w:val="single" w:sz="4" w:space="0" w:color="auto"/>
              <w:right w:val="single" w:sz="4" w:space="0" w:color="auto"/>
            </w:tcBorders>
            <w:shd w:val="clear" w:color="auto" w:fill="D9D9D9"/>
            <w:hideMark/>
          </w:tcPr>
          <w:p w14:paraId="467DB2B2" w14:textId="77777777" w:rsidR="00E903FC" w:rsidRPr="00E903FC" w:rsidRDefault="00E903FC" w:rsidP="00E903FC">
            <w:pPr>
              <w:spacing w:after="0" w:line="240" w:lineRule="auto"/>
              <w:jc w:val="center"/>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2022 г</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5F3D26D6"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4</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4807C738"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6D728343"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c>
          <w:tcPr>
            <w:tcW w:w="1427" w:type="dxa"/>
            <w:tcBorders>
              <w:top w:val="single" w:sz="4" w:space="0" w:color="auto"/>
              <w:left w:val="single" w:sz="4" w:space="0" w:color="auto"/>
              <w:bottom w:val="single" w:sz="4" w:space="0" w:color="auto"/>
              <w:right w:val="single" w:sz="4" w:space="0" w:color="auto"/>
            </w:tcBorders>
            <w:shd w:val="clear" w:color="auto" w:fill="D9D9D9"/>
            <w:hideMark/>
          </w:tcPr>
          <w:p w14:paraId="5D228BF6"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c>
          <w:tcPr>
            <w:tcW w:w="1185" w:type="dxa"/>
            <w:tcBorders>
              <w:top w:val="single" w:sz="4" w:space="0" w:color="auto"/>
              <w:left w:val="single" w:sz="4" w:space="0" w:color="auto"/>
              <w:bottom w:val="single" w:sz="4" w:space="0" w:color="auto"/>
              <w:right w:val="single" w:sz="4" w:space="0" w:color="auto"/>
            </w:tcBorders>
            <w:shd w:val="clear" w:color="auto" w:fill="D9D9D9"/>
            <w:hideMark/>
          </w:tcPr>
          <w:p w14:paraId="1160487E"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c>
          <w:tcPr>
            <w:tcW w:w="118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5C9C15F"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80C2AD0"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r>
      <w:tr w:rsidR="00E903FC" w:rsidRPr="00E903FC" w14:paraId="2CF5260D" w14:textId="77777777" w:rsidTr="00E903FC">
        <w:trPr>
          <w:trHeight w:val="75"/>
        </w:trPr>
        <w:tc>
          <w:tcPr>
            <w:tcW w:w="996" w:type="dxa"/>
            <w:tcBorders>
              <w:top w:val="single" w:sz="4" w:space="0" w:color="auto"/>
              <w:left w:val="single" w:sz="4" w:space="0" w:color="auto"/>
              <w:bottom w:val="single" w:sz="4" w:space="0" w:color="auto"/>
              <w:right w:val="single" w:sz="4" w:space="0" w:color="auto"/>
            </w:tcBorders>
            <w:hideMark/>
          </w:tcPr>
          <w:p w14:paraId="301D2901" w14:textId="77777777" w:rsidR="00E903FC" w:rsidRPr="00E903FC" w:rsidRDefault="00E903FC" w:rsidP="00E903FC">
            <w:pPr>
              <w:spacing w:after="0" w:line="240" w:lineRule="auto"/>
              <w:jc w:val="center"/>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2021 г.</w:t>
            </w:r>
          </w:p>
        </w:tc>
        <w:tc>
          <w:tcPr>
            <w:tcW w:w="1417" w:type="dxa"/>
            <w:tcBorders>
              <w:top w:val="single" w:sz="4" w:space="0" w:color="auto"/>
              <w:left w:val="single" w:sz="4" w:space="0" w:color="auto"/>
              <w:bottom w:val="single" w:sz="4" w:space="0" w:color="auto"/>
              <w:right w:val="single" w:sz="4" w:space="0" w:color="auto"/>
            </w:tcBorders>
            <w:hideMark/>
          </w:tcPr>
          <w:p w14:paraId="69BAD53E"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3</w:t>
            </w:r>
          </w:p>
        </w:tc>
        <w:tc>
          <w:tcPr>
            <w:tcW w:w="1276" w:type="dxa"/>
            <w:tcBorders>
              <w:top w:val="single" w:sz="4" w:space="0" w:color="auto"/>
              <w:left w:val="single" w:sz="4" w:space="0" w:color="auto"/>
              <w:bottom w:val="single" w:sz="4" w:space="0" w:color="auto"/>
              <w:right w:val="single" w:sz="4" w:space="0" w:color="auto"/>
            </w:tcBorders>
            <w:hideMark/>
          </w:tcPr>
          <w:p w14:paraId="3F93891C"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851" w:type="dxa"/>
            <w:tcBorders>
              <w:top w:val="single" w:sz="4" w:space="0" w:color="auto"/>
              <w:left w:val="single" w:sz="4" w:space="0" w:color="auto"/>
              <w:bottom w:val="single" w:sz="4" w:space="0" w:color="auto"/>
              <w:right w:val="single" w:sz="4" w:space="0" w:color="auto"/>
            </w:tcBorders>
            <w:hideMark/>
          </w:tcPr>
          <w:p w14:paraId="19FFCBFE"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w:t>
            </w:r>
          </w:p>
        </w:tc>
        <w:tc>
          <w:tcPr>
            <w:tcW w:w="1427" w:type="dxa"/>
            <w:tcBorders>
              <w:top w:val="single" w:sz="4" w:space="0" w:color="auto"/>
              <w:left w:val="single" w:sz="4" w:space="0" w:color="auto"/>
              <w:bottom w:val="single" w:sz="4" w:space="0" w:color="auto"/>
              <w:right w:val="single" w:sz="4" w:space="0" w:color="auto"/>
            </w:tcBorders>
            <w:hideMark/>
          </w:tcPr>
          <w:p w14:paraId="05419A6E"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85" w:type="dxa"/>
            <w:tcBorders>
              <w:top w:val="single" w:sz="4" w:space="0" w:color="auto"/>
              <w:left w:val="single" w:sz="4" w:space="0" w:color="auto"/>
              <w:bottom w:val="single" w:sz="4" w:space="0" w:color="auto"/>
              <w:right w:val="single" w:sz="4" w:space="0" w:color="auto"/>
            </w:tcBorders>
            <w:hideMark/>
          </w:tcPr>
          <w:p w14:paraId="40CE288E"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85" w:type="dxa"/>
            <w:gridSpan w:val="2"/>
            <w:tcBorders>
              <w:top w:val="single" w:sz="4" w:space="0" w:color="auto"/>
              <w:left w:val="single" w:sz="4" w:space="0" w:color="auto"/>
              <w:bottom w:val="single" w:sz="4" w:space="0" w:color="auto"/>
              <w:right w:val="single" w:sz="4" w:space="0" w:color="auto"/>
            </w:tcBorders>
            <w:hideMark/>
          </w:tcPr>
          <w:p w14:paraId="3FF6AB13"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61" w:type="dxa"/>
            <w:gridSpan w:val="2"/>
            <w:tcBorders>
              <w:top w:val="single" w:sz="4" w:space="0" w:color="auto"/>
              <w:left w:val="single" w:sz="4" w:space="0" w:color="auto"/>
              <w:bottom w:val="single" w:sz="4" w:space="0" w:color="auto"/>
              <w:right w:val="single" w:sz="4" w:space="0" w:color="auto"/>
            </w:tcBorders>
            <w:hideMark/>
          </w:tcPr>
          <w:p w14:paraId="750DC96C"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r>
      <w:tr w:rsidR="00E903FC" w:rsidRPr="00E903FC" w14:paraId="714EF9E1" w14:textId="77777777" w:rsidTr="00E903FC">
        <w:trPr>
          <w:trHeight w:val="77"/>
        </w:trPr>
        <w:tc>
          <w:tcPr>
            <w:tcW w:w="996" w:type="dxa"/>
            <w:tcBorders>
              <w:top w:val="single" w:sz="4" w:space="0" w:color="auto"/>
              <w:left w:val="single" w:sz="4" w:space="0" w:color="auto"/>
              <w:bottom w:val="single" w:sz="4" w:space="0" w:color="auto"/>
              <w:right w:val="single" w:sz="4" w:space="0" w:color="auto"/>
            </w:tcBorders>
            <w:hideMark/>
          </w:tcPr>
          <w:p w14:paraId="53C19744" w14:textId="77777777" w:rsidR="00E903FC" w:rsidRPr="00E903FC" w:rsidRDefault="00E903FC" w:rsidP="00E903FC">
            <w:pPr>
              <w:spacing w:after="0" w:line="240" w:lineRule="auto"/>
              <w:jc w:val="center"/>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 xml:space="preserve">2020 г. </w:t>
            </w:r>
          </w:p>
        </w:tc>
        <w:tc>
          <w:tcPr>
            <w:tcW w:w="1417" w:type="dxa"/>
            <w:tcBorders>
              <w:top w:val="single" w:sz="4" w:space="0" w:color="auto"/>
              <w:left w:val="single" w:sz="4" w:space="0" w:color="auto"/>
              <w:bottom w:val="single" w:sz="4" w:space="0" w:color="auto"/>
              <w:right w:val="single" w:sz="4" w:space="0" w:color="auto"/>
            </w:tcBorders>
            <w:hideMark/>
          </w:tcPr>
          <w:p w14:paraId="44D4DDAD"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6</w:t>
            </w:r>
          </w:p>
        </w:tc>
        <w:tc>
          <w:tcPr>
            <w:tcW w:w="1276" w:type="dxa"/>
            <w:tcBorders>
              <w:top w:val="single" w:sz="4" w:space="0" w:color="auto"/>
              <w:left w:val="single" w:sz="4" w:space="0" w:color="auto"/>
              <w:bottom w:val="single" w:sz="4" w:space="0" w:color="auto"/>
              <w:right w:val="single" w:sz="4" w:space="0" w:color="auto"/>
            </w:tcBorders>
            <w:hideMark/>
          </w:tcPr>
          <w:p w14:paraId="354904C0"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w:t>
            </w:r>
          </w:p>
        </w:tc>
        <w:tc>
          <w:tcPr>
            <w:tcW w:w="851" w:type="dxa"/>
            <w:tcBorders>
              <w:top w:val="single" w:sz="4" w:space="0" w:color="auto"/>
              <w:left w:val="single" w:sz="4" w:space="0" w:color="auto"/>
              <w:bottom w:val="single" w:sz="4" w:space="0" w:color="auto"/>
              <w:right w:val="single" w:sz="4" w:space="0" w:color="auto"/>
            </w:tcBorders>
            <w:hideMark/>
          </w:tcPr>
          <w:p w14:paraId="4D47F77E"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w:t>
            </w:r>
          </w:p>
        </w:tc>
        <w:tc>
          <w:tcPr>
            <w:tcW w:w="1427" w:type="dxa"/>
            <w:tcBorders>
              <w:top w:val="single" w:sz="4" w:space="0" w:color="auto"/>
              <w:left w:val="single" w:sz="4" w:space="0" w:color="auto"/>
              <w:bottom w:val="single" w:sz="4" w:space="0" w:color="auto"/>
              <w:right w:val="single" w:sz="4" w:space="0" w:color="auto"/>
            </w:tcBorders>
            <w:hideMark/>
          </w:tcPr>
          <w:p w14:paraId="5CEE6A06"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85" w:type="dxa"/>
            <w:tcBorders>
              <w:top w:val="single" w:sz="4" w:space="0" w:color="auto"/>
              <w:left w:val="single" w:sz="4" w:space="0" w:color="auto"/>
              <w:bottom w:val="single" w:sz="4" w:space="0" w:color="auto"/>
              <w:right w:val="single" w:sz="4" w:space="0" w:color="auto"/>
            </w:tcBorders>
            <w:hideMark/>
          </w:tcPr>
          <w:p w14:paraId="41664C6F"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85" w:type="dxa"/>
            <w:gridSpan w:val="2"/>
            <w:tcBorders>
              <w:top w:val="single" w:sz="4" w:space="0" w:color="auto"/>
              <w:left w:val="single" w:sz="4" w:space="0" w:color="auto"/>
              <w:bottom w:val="single" w:sz="4" w:space="0" w:color="auto"/>
              <w:right w:val="single" w:sz="4" w:space="0" w:color="auto"/>
            </w:tcBorders>
            <w:hideMark/>
          </w:tcPr>
          <w:p w14:paraId="0C8F1984"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61" w:type="dxa"/>
            <w:gridSpan w:val="2"/>
            <w:tcBorders>
              <w:top w:val="single" w:sz="4" w:space="0" w:color="auto"/>
              <w:left w:val="single" w:sz="4" w:space="0" w:color="auto"/>
              <w:bottom w:val="single" w:sz="4" w:space="0" w:color="auto"/>
              <w:right w:val="single" w:sz="4" w:space="0" w:color="auto"/>
            </w:tcBorders>
            <w:hideMark/>
          </w:tcPr>
          <w:p w14:paraId="68D2929A"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r>
      <w:tr w:rsidR="00E903FC" w:rsidRPr="00E903FC" w14:paraId="756F13C7" w14:textId="77777777" w:rsidTr="00E903FC">
        <w:trPr>
          <w:trHeight w:val="77"/>
        </w:trPr>
        <w:tc>
          <w:tcPr>
            <w:tcW w:w="9498" w:type="dxa"/>
            <w:gridSpan w:val="10"/>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DD52811" w14:textId="77777777" w:rsidR="00E903FC" w:rsidRPr="00E903FC" w:rsidRDefault="00E903FC" w:rsidP="00E903FC">
            <w:pPr>
              <w:spacing w:after="0" w:line="240" w:lineRule="auto"/>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ЗЛОУПОТРЕБИ С ФОНДОВЕ НА ЕС</w:t>
            </w:r>
          </w:p>
        </w:tc>
      </w:tr>
      <w:tr w:rsidR="00E903FC" w:rsidRPr="00E903FC" w14:paraId="7FEE0EF4" w14:textId="77777777" w:rsidTr="00E903FC">
        <w:trPr>
          <w:trHeight w:val="75"/>
        </w:trPr>
        <w:tc>
          <w:tcPr>
            <w:tcW w:w="996" w:type="dxa"/>
            <w:tcBorders>
              <w:top w:val="single" w:sz="4" w:space="0" w:color="auto"/>
              <w:left w:val="single" w:sz="4" w:space="0" w:color="auto"/>
              <w:bottom w:val="single" w:sz="4" w:space="0" w:color="auto"/>
              <w:right w:val="single" w:sz="4" w:space="0" w:color="auto"/>
            </w:tcBorders>
            <w:shd w:val="clear" w:color="auto" w:fill="D9D9D9"/>
            <w:hideMark/>
          </w:tcPr>
          <w:p w14:paraId="4156A005" w14:textId="77777777" w:rsidR="00E903FC" w:rsidRPr="00E903FC" w:rsidRDefault="00E903FC" w:rsidP="00E903FC">
            <w:pPr>
              <w:spacing w:after="0" w:line="240" w:lineRule="auto"/>
              <w:jc w:val="center"/>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2022</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3345BADB"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12</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151E31A3"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3</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4262F808"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5</w:t>
            </w:r>
          </w:p>
        </w:tc>
        <w:tc>
          <w:tcPr>
            <w:tcW w:w="1427" w:type="dxa"/>
            <w:tcBorders>
              <w:top w:val="single" w:sz="4" w:space="0" w:color="auto"/>
              <w:left w:val="single" w:sz="4" w:space="0" w:color="auto"/>
              <w:bottom w:val="single" w:sz="4" w:space="0" w:color="auto"/>
              <w:right w:val="single" w:sz="4" w:space="0" w:color="auto"/>
            </w:tcBorders>
            <w:shd w:val="clear" w:color="auto" w:fill="D9D9D9"/>
            <w:hideMark/>
          </w:tcPr>
          <w:p w14:paraId="69D21F20"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w:t>
            </w:r>
          </w:p>
        </w:tc>
        <w:tc>
          <w:tcPr>
            <w:tcW w:w="1185" w:type="dxa"/>
            <w:tcBorders>
              <w:top w:val="single" w:sz="4" w:space="0" w:color="auto"/>
              <w:left w:val="single" w:sz="4" w:space="0" w:color="auto"/>
              <w:bottom w:val="single" w:sz="4" w:space="0" w:color="auto"/>
              <w:right w:val="single" w:sz="4" w:space="0" w:color="auto"/>
            </w:tcBorders>
            <w:shd w:val="clear" w:color="auto" w:fill="D9D9D9"/>
            <w:hideMark/>
          </w:tcPr>
          <w:p w14:paraId="3D00EEC2"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3</w:t>
            </w:r>
          </w:p>
        </w:tc>
        <w:tc>
          <w:tcPr>
            <w:tcW w:w="118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7D46409"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A0EAC1F"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r>
      <w:tr w:rsidR="00E903FC" w:rsidRPr="00E903FC" w14:paraId="5B089D3D" w14:textId="77777777" w:rsidTr="00E903FC">
        <w:trPr>
          <w:trHeight w:val="362"/>
        </w:trPr>
        <w:tc>
          <w:tcPr>
            <w:tcW w:w="996" w:type="dxa"/>
            <w:tcBorders>
              <w:top w:val="single" w:sz="4" w:space="0" w:color="auto"/>
              <w:left w:val="single" w:sz="4" w:space="0" w:color="auto"/>
              <w:bottom w:val="single" w:sz="4" w:space="0" w:color="auto"/>
              <w:right w:val="single" w:sz="4" w:space="0" w:color="auto"/>
            </w:tcBorders>
            <w:hideMark/>
          </w:tcPr>
          <w:p w14:paraId="6AC0A3D8" w14:textId="77777777" w:rsidR="00E903FC" w:rsidRPr="00E903FC" w:rsidRDefault="00E903FC" w:rsidP="00E903FC">
            <w:pPr>
              <w:spacing w:after="0" w:line="240" w:lineRule="auto"/>
              <w:jc w:val="center"/>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2021 г.</w:t>
            </w:r>
          </w:p>
        </w:tc>
        <w:tc>
          <w:tcPr>
            <w:tcW w:w="1417" w:type="dxa"/>
            <w:tcBorders>
              <w:top w:val="single" w:sz="4" w:space="0" w:color="auto"/>
              <w:left w:val="single" w:sz="4" w:space="0" w:color="auto"/>
              <w:bottom w:val="single" w:sz="4" w:space="0" w:color="auto"/>
              <w:right w:val="single" w:sz="4" w:space="0" w:color="auto"/>
            </w:tcBorders>
            <w:hideMark/>
          </w:tcPr>
          <w:p w14:paraId="7B5A8363"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13</w:t>
            </w:r>
          </w:p>
        </w:tc>
        <w:tc>
          <w:tcPr>
            <w:tcW w:w="1276" w:type="dxa"/>
            <w:tcBorders>
              <w:top w:val="single" w:sz="4" w:space="0" w:color="auto"/>
              <w:left w:val="single" w:sz="4" w:space="0" w:color="auto"/>
              <w:bottom w:val="single" w:sz="4" w:space="0" w:color="auto"/>
              <w:right w:val="single" w:sz="4" w:space="0" w:color="auto"/>
            </w:tcBorders>
            <w:hideMark/>
          </w:tcPr>
          <w:p w14:paraId="5A6F58B6"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4</w:t>
            </w:r>
          </w:p>
        </w:tc>
        <w:tc>
          <w:tcPr>
            <w:tcW w:w="851" w:type="dxa"/>
            <w:tcBorders>
              <w:top w:val="single" w:sz="4" w:space="0" w:color="auto"/>
              <w:left w:val="single" w:sz="4" w:space="0" w:color="auto"/>
              <w:bottom w:val="single" w:sz="4" w:space="0" w:color="auto"/>
              <w:right w:val="single" w:sz="4" w:space="0" w:color="auto"/>
            </w:tcBorders>
            <w:hideMark/>
          </w:tcPr>
          <w:p w14:paraId="7CAB1FBF"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5</w:t>
            </w:r>
          </w:p>
        </w:tc>
        <w:tc>
          <w:tcPr>
            <w:tcW w:w="1427" w:type="dxa"/>
            <w:tcBorders>
              <w:top w:val="single" w:sz="4" w:space="0" w:color="auto"/>
              <w:left w:val="single" w:sz="4" w:space="0" w:color="auto"/>
              <w:bottom w:val="single" w:sz="4" w:space="0" w:color="auto"/>
              <w:right w:val="single" w:sz="4" w:space="0" w:color="auto"/>
            </w:tcBorders>
            <w:hideMark/>
          </w:tcPr>
          <w:p w14:paraId="4BEDD63A"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w:t>
            </w:r>
          </w:p>
        </w:tc>
        <w:tc>
          <w:tcPr>
            <w:tcW w:w="1185" w:type="dxa"/>
            <w:tcBorders>
              <w:top w:val="single" w:sz="4" w:space="0" w:color="auto"/>
              <w:left w:val="single" w:sz="4" w:space="0" w:color="auto"/>
              <w:bottom w:val="single" w:sz="4" w:space="0" w:color="auto"/>
              <w:right w:val="single" w:sz="4" w:space="0" w:color="auto"/>
            </w:tcBorders>
            <w:hideMark/>
          </w:tcPr>
          <w:p w14:paraId="7E404203"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w:t>
            </w:r>
          </w:p>
        </w:tc>
        <w:tc>
          <w:tcPr>
            <w:tcW w:w="1185" w:type="dxa"/>
            <w:gridSpan w:val="2"/>
            <w:tcBorders>
              <w:top w:val="single" w:sz="4" w:space="0" w:color="auto"/>
              <w:left w:val="single" w:sz="4" w:space="0" w:color="auto"/>
              <w:bottom w:val="single" w:sz="4" w:space="0" w:color="auto"/>
              <w:right w:val="single" w:sz="4" w:space="0" w:color="auto"/>
            </w:tcBorders>
            <w:hideMark/>
          </w:tcPr>
          <w:p w14:paraId="02317038"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w:t>
            </w:r>
          </w:p>
        </w:tc>
        <w:tc>
          <w:tcPr>
            <w:tcW w:w="1161" w:type="dxa"/>
            <w:gridSpan w:val="2"/>
            <w:tcBorders>
              <w:top w:val="single" w:sz="4" w:space="0" w:color="auto"/>
              <w:left w:val="single" w:sz="4" w:space="0" w:color="auto"/>
              <w:bottom w:val="single" w:sz="4" w:space="0" w:color="auto"/>
              <w:right w:val="single" w:sz="4" w:space="0" w:color="auto"/>
            </w:tcBorders>
            <w:hideMark/>
          </w:tcPr>
          <w:p w14:paraId="3DAAC306"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r>
      <w:tr w:rsidR="00E903FC" w:rsidRPr="00E903FC" w14:paraId="6BB1A9A9" w14:textId="77777777" w:rsidTr="00E903FC">
        <w:trPr>
          <w:trHeight w:val="367"/>
        </w:trPr>
        <w:tc>
          <w:tcPr>
            <w:tcW w:w="996" w:type="dxa"/>
            <w:tcBorders>
              <w:top w:val="single" w:sz="4" w:space="0" w:color="auto"/>
              <w:left w:val="single" w:sz="4" w:space="0" w:color="auto"/>
              <w:bottom w:val="single" w:sz="4" w:space="0" w:color="auto"/>
              <w:right w:val="single" w:sz="4" w:space="0" w:color="auto"/>
            </w:tcBorders>
            <w:hideMark/>
          </w:tcPr>
          <w:p w14:paraId="748518C1" w14:textId="77777777" w:rsidR="00E903FC" w:rsidRPr="00E903FC" w:rsidRDefault="00E903FC" w:rsidP="00E903FC">
            <w:pPr>
              <w:spacing w:after="0" w:line="240" w:lineRule="auto"/>
              <w:jc w:val="center"/>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2020 г.</w:t>
            </w:r>
          </w:p>
        </w:tc>
        <w:tc>
          <w:tcPr>
            <w:tcW w:w="1417" w:type="dxa"/>
            <w:tcBorders>
              <w:top w:val="single" w:sz="4" w:space="0" w:color="auto"/>
              <w:left w:val="single" w:sz="4" w:space="0" w:color="auto"/>
              <w:bottom w:val="single" w:sz="4" w:space="0" w:color="auto"/>
              <w:right w:val="single" w:sz="4" w:space="0" w:color="auto"/>
            </w:tcBorders>
            <w:hideMark/>
          </w:tcPr>
          <w:p w14:paraId="31139E06"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11</w:t>
            </w:r>
          </w:p>
        </w:tc>
        <w:tc>
          <w:tcPr>
            <w:tcW w:w="1276" w:type="dxa"/>
            <w:tcBorders>
              <w:top w:val="single" w:sz="4" w:space="0" w:color="auto"/>
              <w:left w:val="single" w:sz="4" w:space="0" w:color="auto"/>
              <w:bottom w:val="single" w:sz="4" w:space="0" w:color="auto"/>
              <w:right w:val="single" w:sz="4" w:space="0" w:color="auto"/>
            </w:tcBorders>
            <w:hideMark/>
          </w:tcPr>
          <w:p w14:paraId="58A21409"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6</w:t>
            </w:r>
          </w:p>
        </w:tc>
        <w:tc>
          <w:tcPr>
            <w:tcW w:w="851" w:type="dxa"/>
            <w:tcBorders>
              <w:top w:val="single" w:sz="4" w:space="0" w:color="auto"/>
              <w:left w:val="single" w:sz="4" w:space="0" w:color="auto"/>
              <w:bottom w:val="single" w:sz="4" w:space="0" w:color="auto"/>
              <w:right w:val="single" w:sz="4" w:space="0" w:color="auto"/>
            </w:tcBorders>
            <w:hideMark/>
          </w:tcPr>
          <w:p w14:paraId="5CE77E86"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4</w:t>
            </w:r>
          </w:p>
        </w:tc>
        <w:tc>
          <w:tcPr>
            <w:tcW w:w="1427" w:type="dxa"/>
            <w:tcBorders>
              <w:top w:val="single" w:sz="4" w:space="0" w:color="auto"/>
              <w:left w:val="single" w:sz="4" w:space="0" w:color="auto"/>
              <w:bottom w:val="single" w:sz="4" w:space="0" w:color="auto"/>
              <w:right w:val="single" w:sz="4" w:space="0" w:color="auto"/>
            </w:tcBorders>
            <w:hideMark/>
          </w:tcPr>
          <w:p w14:paraId="37EDD20B"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w:t>
            </w:r>
          </w:p>
        </w:tc>
        <w:tc>
          <w:tcPr>
            <w:tcW w:w="1185" w:type="dxa"/>
            <w:tcBorders>
              <w:top w:val="single" w:sz="4" w:space="0" w:color="auto"/>
              <w:left w:val="single" w:sz="4" w:space="0" w:color="auto"/>
              <w:bottom w:val="single" w:sz="4" w:space="0" w:color="auto"/>
              <w:right w:val="single" w:sz="4" w:space="0" w:color="auto"/>
            </w:tcBorders>
            <w:hideMark/>
          </w:tcPr>
          <w:p w14:paraId="399FB109"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w:t>
            </w:r>
          </w:p>
        </w:tc>
        <w:tc>
          <w:tcPr>
            <w:tcW w:w="1185" w:type="dxa"/>
            <w:gridSpan w:val="2"/>
            <w:tcBorders>
              <w:top w:val="single" w:sz="4" w:space="0" w:color="auto"/>
              <w:left w:val="single" w:sz="4" w:space="0" w:color="auto"/>
              <w:bottom w:val="single" w:sz="4" w:space="0" w:color="auto"/>
              <w:right w:val="single" w:sz="4" w:space="0" w:color="auto"/>
            </w:tcBorders>
            <w:hideMark/>
          </w:tcPr>
          <w:p w14:paraId="3E577339"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w:t>
            </w:r>
          </w:p>
        </w:tc>
        <w:tc>
          <w:tcPr>
            <w:tcW w:w="1161" w:type="dxa"/>
            <w:gridSpan w:val="2"/>
            <w:tcBorders>
              <w:top w:val="single" w:sz="4" w:space="0" w:color="auto"/>
              <w:left w:val="single" w:sz="4" w:space="0" w:color="auto"/>
              <w:bottom w:val="single" w:sz="4" w:space="0" w:color="auto"/>
              <w:right w:val="single" w:sz="4" w:space="0" w:color="auto"/>
            </w:tcBorders>
            <w:hideMark/>
          </w:tcPr>
          <w:p w14:paraId="3BEC1A17"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r>
      <w:tr w:rsidR="00E903FC" w:rsidRPr="00E903FC" w14:paraId="77BE7616" w14:textId="77777777" w:rsidTr="00E903FC">
        <w:trPr>
          <w:trHeight w:val="370"/>
        </w:trPr>
        <w:tc>
          <w:tcPr>
            <w:tcW w:w="9498" w:type="dxa"/>
            <w:gridSpan w:val="10"/>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9C6B946" w14:textId="77777777" w:rsidR="00E903FC" w:rsidRPr="00E903FC" w:rsidRDefault="00E903FC" w:rsidP="00E903FC">
            <w:pPr>
              <w:spacing w:after="0" w:line="240" w:lineRule="auto"/>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ДАНЪЧНИ ПРЕСТЪПЛЕНИЯ</w:t>
            </w:r>
          </w:p>
        </w:tc>
      </w:tr>
      <w:tr w:rsidR="00E903FC" w:rsidRPr="00E903FC" w14:paraId="0123B792" w14:textId="77777777" w:rsidTr="00E903FC">
        <w:trPr>
          <w:trHeight w:val="75"/>
        </w:trPr>
        <w:tc>
          <w:tcPr>
            <w:tcW w:w="996" w:type="dxa"/>
            <w:tcBorders>
              <w:top w:val="single" w:sz="4" w:space="0" w:color="auto"/>
              <w:left w:val="single" w:sz="4" w:space="0" w:color="auto"/>
              <w:bottom w:val="single" w:sz="4" w:space="0" w:color="auto"/>
              <w:right w:val="single" w:sz="4" w:space="0" w:color="auto"/>
            </w:tcBorders>
            <w:shd w:val="clear" w:color="auto" w:fill="D9D9D9"/>
            <w:hideMark/>
          </w:tcPr>
          <w:p w14:paraId="60C52B04" w14:textId="77777777" w:rsidR="00E903FC" w:rsidRPr="00E903FC" w:rsidRDefault="00E903FC" w:rsidP="00E903FC">
            <w:pPr>
              <w:spacing w:after="0" w:line="240" w:lineRule="auto"/>
              <w:jc w:val="center"/>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2022 г</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07103091"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61</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1323E4AC"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24</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63086496"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26</w:t>
            </w:r>
          </w:p>
        </w:tc>
        <w:tc>
          <w:tcPr>
            <w:tcW w:w="1427" w:type="dxa"/>
            <w:tcBorders>
              <w:top w:val="single" w:sz="4" w:space="0" w:color="auto"/>
              <w:left w:val="single" w:sz="4" w:space="0" w:color="auto"/>
              <w:bottom w:val="single" w:sz="4" w:space="0" w:color="auto"/>
              <w:right w:val="single" w:sz="4" w:space="0" w:color="auto"/>
            </w:tcBorders>
            <w:shd w:val="clear" w:color="auto" w:fill="D9D9D9"/>
            <w:hideMark/>
          </w:tcPr>
          <w:p w14:paraId="5407C0FB"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8</w:t>
            </w:r>
          </w:p>
        </w:tc>
        <w:tc>
          <w:tcPr>
            <w:tcW w:w="1185" w:type="dxa"/>
            <w:tcBorders>
              <w:top w:val="single" w:sz="4" w:space="0" w:color="auto"/>
              <w:left w:val="single" w:sz="4" w:space="0" w:color="auto"/>
              <w:bottom w:val="single" w:sz="4" w:space="0" w:color="auto"/>
              <w:right w:val="single" w:sz="4" w:space="0" w:color="auto"/>
            </w:tcBorders>
            <w:shd w:val="clear" w:color="auto" w:fill="D9D9D9"/>
            <w:hideMark/>
          </w:tcPr>
          <w:p w14:paraId="48834C01"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8</w:t>
            </w:r>
          </w:p>
        </w:tc>
        <w:tc>
          <w:tcPr>
            <w:tcW w:w="118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0078EA3"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CF7FFF8"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1</w:t>
            </w:r>
          </w:p>
        </w:tc>
      </w:tr>
      <w:tr w:rsidR="00E903FC" w:rsidRPr="00E903FC" w14:paraId="2CD2181C" w14:textId="77777777" w:rsidTr="00E903FC">
        <w:trPr>
          <w:trHeight w:val="75"/>
        </w:trPr>
        <w:tc>
          <w:tcPr>
            <w:tcW w:w="996" w:type="dxa"/>
            <w:tcBorders>
              <w:top w:val="single" w:sz="4" w:space="0" w:color="auto"/>
              <w:left w:val="single" w:sz="4" w:space="0" w:color="auto"/>
              <w:bottom w:val="single" w:sz="4" w:space="0" w:color="auto"/>
              <w:right w:val="single" w:sz="4" w:space="0" w:color="auto"/>
            </w:tcBorders>
            <w:hideMark/>
          </w:tcPr>
          <w:p w14:paraId="524613DC" w14:textId="77777777" w:rsidR="00E903FC" w:rsidRPr="00E903FC" w:rsidRDefault="00E903FC" w:rsidP="00E903FC">
            <w:pPr>
              <w:spacing w:after="0" w:line="240" w:lineRule="auto"/>
              <w:jc w:val="center"/>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2021 г.</w:t>
            </w:r>
          </w:p>
        </w:tc>
        <w:tc>
          <w:tcPr>
            <w:tcW w:w="1417" w:type="dxa"/>
            <w:tcBorders>
              <w:top w:val="single" w:sz="4" w:space="0" w:color="auto"/>
              <w:left w:val="single" w:sz="4" w:space="0" w:color="auto"/>
              <w:bottom w:val="single" w:sz="4" w:space="0" w:color="auto"/>
              <w:right w:val="single" w:sz="4" w:space="0" w:color="auto"/>
            </w:tcBorders>
            <w:hideMark/>
          </w:tcPr>
          <w:p w14:paraId="6574C520"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60</w:t>
            </w:r>
          </w:p>
        </w:tc>
        <w:tc>
          <w:tcPr>
            <w:tcW w:w="1276" w:type="dxa"/>
            <w:tcBorders>
              <w:top w:val="single" w:sz="4" w:space="0" w:color="auto"/>
              <w:left w:val="single" w:sz="4" w:space="0" w:color="auto"/>
              <w:bottom w:val="single" w:sz="4" w:space="0" w:color="auto"/>
              <w:right w:val="single" w:sz="4" w:space="0" w:color="auto"/>
            </w:tcBorders>
            <w:hideMark/>
          </w:tcPr>
          <w:p w14:paraId="4BBB38A3"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30</w:t>
            </w:r>
          </w:p>
        </w:tc>
        <w:tc>
          <w:tcPr>
            <w:tcW w:w="851" w:type="dxa"/>
            <w:tcBorders>
              <w:top w:val="single" w:sz="4" w:space="0" w:color="auto"/>
              <w:left w:val="single" w:sz="4" w:space="0" w:color="auto"/>
              <w:bottom w:val="single" w:sz="4" w:space="0" w:color="auto"/>
              <w:right w:val="single" w:sz="4" w:space="0" w:color="auto"/>
            </w:tcBorders>
            <w:hideMark/>
          </w:tcPr>
          <w:p w14:paraId="6878A126"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30</w:t>
            </w:r>
          </w:p>
        </w:tc>
        <w:tc>
          <w:tcPr>
            <w:tcW w:w="1427" w:type="dxa"/>
            <w:tcBorders>
              <w:top w:val="single" w:sz="4" w:space="0" w:color="auto"/>
              <w:left w:val="single" w:sz="4" w:space="0" w:color="auto"/>
              <w:bottom w:val="single" w:sz="4" w:space="0" w:color="auto"/>
              <w:right w:val="single" w:sz="4" w:space="0" w:color="auto"/>
            </w:tcBorders>
            <w:hideMark/>
          </w:tcPr>
          <w:p w14:paraId="76CB2A22"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8</w:t>
            </w:r>
          </w:p>
        </w:tc>
        <w:tc>
          <w:tcPr>
            <w:tcW w:w="1185" w:type="dxa"/>
            <w:tcBorders>
              <w:top w:val="single" w:sz="4" w:space="0" w:color="auto"/>
              <w:left w:val="single" w:sz="4" w:space="0" w:color="auto"/>
              <w:bottom w:val="single" w:sz="4" w:space="0" w:color="auto"/>
              <w:right w:val="single" w:sz="4" w:space="0" w:color="auto"/>
            </w:tcBorders>
            <w:hideMark/>
          </w:tcPr>
          <w:p w14:paraId="6B1C59CD"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8</w:t>
            </w:r>
          </w:p>
        </w:tc>
        <w:tc>
          <w:tcPr>
            <w:tcW w:w="1185" w:type="dxa"/>
            <w:gridSpan w:val="2"/>
            <w:tcBorders>
              <w:top w:val="single" w:sz="4" w:space="0" w:color="auto"/>
              <w:left w:val="single" w:sz="4" w:space="0" w:color="auto"/>
              <w:bottom w:val="single" w:sz="4" w:space="0" w:color="auto"/>
              <w:right w:val="single" w:sz="4" w:space="0" w:color="auto"/>
            </w:tcBorders>
            <w:hideMark/>
          </w:tcPr>
          <w:p w14:paraId="39AE0CA0"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9</w:t>
            </w:r>
          </w:p>
        </w:tc>
        <w:tc>
          <w:tcPr>
            <w:tcW w:w="1161" w:type="dxa"/>
            <w:gridSpan w:val="2"/>
            <w:tcBorders>
              <w:top w:val="single" w:sz="4" w:space="0" w:color="auto"/>
              <w:left w:val="single" w:sz="4" w:space="0" w:color="auto"/>
              <w:bottom w:val="single" w:sz="4" w:space="0" w:color="auto"/>
              <w:right w:val="single" w:sz="4" w:space="0" w:color="auto"/>
            </w:tcBorders>
            <w:hideMark/>
          </w:tcPr>
          <w:p w14:paraId="65273967"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r>
      <w:tr w:rsidR="00E903FC" w:rsidRPr="00E903FC" w14:paraId="632B3AEB" w14:textId="77777777" w:rsidTr="00E903FC">
        <w:trPr>
          <w:trHeight w:val="77"/>
        </w:trPr>
        <w:tc>
          <w:tcPr>
            <w:tcW w:w="996" w:type="dxa"/>
            <w:tcBorders>
              <w:top w:val="single" w:sz="4" w:space="0" w:color="auto"/>
              <w:left w:val="single" w:sz="4" w:space="0" w:color="auto"/>
              <w:bottom w:val="single" w:sz="4" w:space="0" w:color="auto"/>
              <w:right w:val="single" w:sz="4" w:space="0" w:color="auto"/>
            </w:tcBorders>
            <w:hideMark/>
          </w:tcPr>
          <w:p w14:paraId="12F3AF09" w14:textId="77777777" w:rsidR="00E903FC" w:rsidRPr="00E903FC" w:rsidRDefault="00E903FC" w:rsidP="00E903FC">
            <w:pPr>
              <w:spacing w:after="0" w:line="240" w:lineRule="auto"/>
              <w:jc w:val="center"/>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2020 г.</w:t>
            </w:r>
          </w:p>
        </w:tc>
        <w:tc>
          <w:tcPr>
            <w:tcW w:w="1417" w:type="dxa"/>
            <w:tcBorders>
              <w:top w:val="single" w:sz="4" w:space="0" w:color="auto"/>
              <w:left w:val="single" w:sz="4" w:space="0" w:color="auto"/>
              <w:bottom w:val="single" w:sz="4" w:space="0" w:color="auto"/>
              <w:right w:val="single" w:sz="4" w:space="0" w:color="auto"/>
            </w:tcBorders>
            <w:hideMark/>
          </w:tcPr>
          <w:p w14:paraId="298E9CFA"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80</w:t>
            </w:r>
          </w:p>
        </w:tc>
        <w:tc>
          <w:tcPr>
            <w:tcW w:w="1276" w:type="dxa"/>
            <w:tcBorders>
              <w:top w:val="single" w:sz="4" w:space="0" w:color="auto"/>
              <w:left w:val="single" w:sz="4" w:space="0" w:color="auto"/>
              <w:bottom w:val="single" w:sz="4" w:space="0" w:color="auto"/>
              <w:right w:val="single" w:sz="4" w:space="0" w:color="auto"/>
            </w:tcBorders>
            <w:hideMark/>
          </w:tcPr>
          <w:p w14:paraId="5F28D8D8"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45</w:t>
            </w:r>
          </w:p>
        </w:tc>
        <w:tc>
          <w:tcPr>
            <w:tcW w:w="851" w:type="dxa"/>
            <w:tcBorders>
              <w:top w:val="single" w:sz="4" w:space="0" w:color="auto"/>
              <w:left w:val="single" w:sz="4" w:space="0" w:color="auto"/>
              <w:bottom w:val="single" w:sz="4" w:space="0" w:color="auto"/>
              <w:right w:val="single" w:sz="4" w:space="0" w:color="auto"/>
            </w:tcBorders>
            <w:hideMark/>
          </w:tcPr>
          <w:p w14:paraId="3D13AEE2"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45</w:t>
            </w:r>
          </w:p>
        </w:tc>
        <w:tc>
          <w:tcPr>
            <w:tcW w:w="1427" w:type="dxa"/>
            <w:tcBorders>
              <w:top w:val="single" w:sz="4" w:space="0" w:color="auto"/>
              <w:left w:val="single" w:sz="4" w:space="0" w:color="auto"/>
              <w:bottom w:val="single" w:sz="4" w:space="0" w:color="auto"/>
              <w:right w:val="single" w:sz="4" w:space="0" w:color="auto"/>
            </w:tcBorders>
            <w:hideMark/>
          </w:tcPr>
          <w:p w14:paraId="3728FAD4"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27</w:t>
            </w:r>
          </w:p>
        </w:tc>
        <w:tc>
          <w:tcPr>
            <w:tcW w:w="1185" w:type="dxa"/>
            <w:tcBorders>
              <w:top w:val="single" w:sz="4" w:space="0" w:color="auto"/>
              <w:left w:val="single" w:sz="4" w:space="0" w:color="auto"/>
              <w:bottom w:val="single" w:sz="4" w:space="0" w:color="auto"/>
              <w:right w:val="single" w:sz="4" w:space="0" w:color="auto"/>
            </w:tcBorders>
            <w:hideMark/>
          </w:tcPr>
          <w:p w14:paraId="3A2B71FB"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28</w:t>
            </w:r>
          </w:p>
        </w:tc>
        <w:tc>
          <w:tcPr>
            <w:tcW w:w="1185" w:type="dxa"/>
            <w:gridSpan w:val="2"/>
            <w:tcBorders>
              <w:top w:val="single" w:sz="4" w:space="0" w:color="auto"/>
              <w:left w:val="single" w:sz="4" w:space="0" w:color="auto"/>
              <w:bottom w:val="single" w:sz="4" w:space="0" w:color="auto"/>
              <w:right w:val="single" w:sz="4" w:space="0" w:color="auto"/>
            </w:tcBorders>
            <w:hideMark/>
          </w:tcPr>
          <w:p w14:paraId="2FC0714B"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23</w:t>
            </w:r>
          </w:p>
        </w:tc>
        <w:tc>
          <w:tcPr>
            <w:tcW w:w="1161" w:type="dxa"/>
            <w:gridSpan w:val="2"/>
            <w:tcBorders>
              <w:top w:val="single" w:sz="4" w:space="0" w:color="auto"/>
              <w:left w:val="single" w:sz="4" w:space="0" w:color="auto"/>
              <w:bottom w:val="single" w:sz="4" w:space="0" w:color="auto"/>
              <w:right w:val="single" w:sz="4" w:space="0" w:color="auto"/>
            </w:tcBorders>
            <w:hideMark/>
          </w:tcPr>
          <w:p w14:paraId="04C70C30"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r>
      <w:tr w:rsidR="00E903FC" w:rsidRPr="00E903FC" w14:paraId="2C4C2F59" w14:textId="77777777" w:rsidTr="00E903FC">
        <w:trPr>
          <w:trHeight w:val="247"/>
        </w:trPr>
        <w:tc>
          <w:tcPr>
            <w:tcW w:w="9498" w:type="dxa"/>
            <w:gridSpan w:val="10"/>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C802D07" w14:textId="77777777" w:rsidR="00E903FC" w:rsidRPr="00E903FC" w:rsidRDefault="00E903FC" w:rsidP="00E903FC">
            <w:pPr>
              <w:spacing w:after="0" w:line="240" w:lineRule="auto"/>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ПОДПРАВКА НА ПАРИЧНИ ЗНАЦИ И ПЛАТЕЖНИ ИНСТРУМЕНТИ</w:t>
            </w:r>
          </w:p>
        </w:tc>
      </w:tr>
      <w:tr w:rsidR="00E903FC" w:rsidRPr="00E903FC" w14:paraId="4AFD08F9" w14:textId="77777777" w:rsidTr="00E903FC">
        <w:trPr>
          <w:trHeight w:val="75"/>
        </w:trPr>
        <w:tc>
          <w:tcPr>
            <w:tcW w:w="996" w:type="dxa"/>
            <w:tcBorders>
              <w:top w:val="single" w:sz="4" w:space="0" w:color="auto"/>
              <w:left w:val="single" w:sz="4" w:space="0" w:color="auto"/>
              <w:bottom w:val="single" w:sz="4" w:space="0" w:color="auto"/>
              <w:right w:val="single" w:sz="4" w:space="0" w:color="auto"/>
            </w:tcBorders>
            <w:shd w:val="clear" w:color="auto" w:fill="D9D9D9"/>
            <w:hideMark/>
          </w:tcPr>
          <w:p w14:paraId="01C13FF4" w14:textId="77777777" w:rsidR="00E903FC" w:rsidRPr="00E903FC" w:rsidRDefault="00E903FC" w:rsidP="00E903FC">
            <w:pPr>
              <w:spacing w:after="0" w:line="240" w:lineRule="auto"/>
              <w:jc w:val="center"/>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2022 г</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6DBF2637"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38</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5929FD20"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15</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3AE089D2"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19</w:t>
            </w:r>
          </w:p>
        </w:tc>
        <w:tc>
          <w:tcPr>
            <w:tcW w:w="1427" w:type="dxa"/>
            <w:tcBorders>
              <w:top w:val="single" w:sz="4" w:space="0" w:color="auto"/>
              <w:left w:val="single" w:sz="4" w:space="0" w:color="auto"/>
              <w:bottom w:val="single" w:sz="4" w:space="0" w:color="auto"/>
              <w:right w:val="single" w:sz="4" w:space="0" w:color="auto"/>
            </w:tcBorders>
            <w:shd w:val="clear" w:color="auto" w:fill="D9D9D9"/>
            <w:hideMark/>
          </w:tcPr>
          <w:p w14:paraId="531404EB"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w:t>
            </w:r>
          </w:p>
        </w:tc>
        <w:tc>
          <w:tcPr>
            <w:tcW w:w="1185" w:type="dxa"/>
            <w:tcBorders>
              <w:top w:val="single" w:sz="4" w:space="0" w:color="auto"/>
              <w:left w:val="single" w:sz="4" w:space="0" w:color="auto"/>
              <w:bottom w:val="single" w:sz="4" w:space="0" w:color="auto"/>
              <w:right w:val="single" w:sz="4" w:space="0" w:color="auto"/>
            </w:tcBorders>
            <w:shd w:val="clear" w:color="auto" w:fill="D9D9D9"/>
            <w:hideMark/>
          </w:tcPr>
          <w:p w14:paraId="420D9E16"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w:t>
            </w:r>
          </w:p>
        </w:tc>
        <w:tc>
          <w:tcPr>
            <w:tcW w:w="118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F768F5B"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w:t>
            </w:r>
          </w:p>
        </w:tc>
        <w:tc>
          <w:tcPr>
            <w:tcW w:w="116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26655F9"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r>
      <w:tr w:rsidR="00E903FC" w:rsidRPr="00E903FC" w14:paraId="1408360D" w14:textId="77777777" w:rsidTr="00E903FC">
        <w:trPr>
          <w:trHeight w:val="75"/>
        </w:trPr>
        <w:tc>
          <w:tcPr>
            <w:tcW w:w="996" w:type="dxa"/>
            <w:tcBorders>
              <w:top w:val="single" w:sz="4" w:space="0" w:color="auto"/>
              <w:left w:val="single" w:sz="4" w:space="0" w:color="auto"/>
              <w:bottom w:val="single" w:sz="4" w:space="0" w:color="auto"/>
              <w:right w:val="single" w:sz="4" w:space="0" w:color="auto"/>
            </w:tcBorders>
            <w:hideMark/>
          </w:tcPr>
          <w:p w14:paraId="684E184A" w14:textId="77777777" w:rsidR="00E903FC" w:rsidRPr="00E903FC" w:rsidRDefault="00E903FC" w:rsidP="00E903FC">
            <w:pPr>
              <w:spacing w:after="0" w:line="240" w:lineRule="auto"/>
              <w:jc w:val="center"/>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2021 г.</w:t>
            </w:r>
          </w:p>
        </w:tc>
        <w:tc>
          <w:tcPr>
            <w:tcW w:w="1417" w:type="dxa"/>
            <w:tcBorders>
              <w:top w:val="single" w:sz="4" w:space="0" w:color="auto"/>
              <w:left w:val="single" w:sz="4" w:space="0" w:color="auto"/>
              <w:bottom w:val="single" w:sz="4" w:space="0" w:color="auto"/>
              <w:right w:val="single" w:sz="4" w:space="0" w:color="auto"/>
            </w:tcBorders>
            <w:hideMark/>
          </w:tcPr>
          <w:p w14:paraId="1706B4F0"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42</w:t>
            </w:r>
          </w:p>
        </w:tc>
        <w:tc>
          <w:tcPr>
            <w:tcW w:w="1276" w:type="dxa"/>
            <w:tcBorders>
              <w:top w:val="single" w:sz="4" w:space="0" w:color="auto"/>
              <w:left w:val="single" w:sz="4" w:space="0" w:color="auto"/>
              <w:bottom w:val="single" w:sz="4" w:space="0" w:color="auto"/>
              <w:right w:val="single" w:sz="4" w:space="0" w:color="auto"/>
            </w:tcBorders>
            <w:hideMark/>
          </w:tcPr>
          <w:p w14:paraId="77581DCC"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23</w:t>
            </w:r>
          </w:p>
        </w:tc>
        <w:tc>
          <w:tcPr>
            <w:tcW w:w="851" w:type="dxa"/>
            <w:tcBorders>
              <w:top w:val="single" w:sz="4" w:space="0" w:color="auto"/>
              <w:left w:val="single" w:sz="4" w:space="0" w:color="auto"/>
              <w:bottom w:val="single" w:sz="4" w:space="0" w:color="auto"/>
              <w:right w:val="single" w:sz="4" w:space="0" w:color="auto"/>
            </w:tcBorders>
            <w:hideMark/>
          </w:tcPr>
          <w:p w14:paraId="0A7C074F"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25</w:t>
            </w:r>
          </w:p>
        </w:tc>
        <w:tc>
          <w:tcPr>
            <w:tcW w:w="1427" w:type="dxa"/>
            <w:tcBorders>
              <w:top w:val="single" w:sz="4" w:space="0" w:color="auto"/>
              <w:left w:val="single" w:sz="4" w:space="0" w:color="auto"/>
              <w:bottom w:val="single" w:sz="4" w:space="0" w:color="auto"/>
              <w:right w:val="single" w:sz="4" w:space="0" w:color="auto"/>
            </w:tcBorders>
            <w:hideMark/>
          </w:tcPr>
          <w:p w14:paraId="53312043"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5</w:t>
            </w:r>
          </w:p>
        </w:tc>
        <w:tc>
          <w:tcPr>
            <w:tcW w:w="1185" w:type="dxa"/>
            <w:tcBorders>
              <w:top w:val="single" w:sz="4" w:space="0" w:color="auto"/>
              <w:left w:val="single" w:sz="4" w:space="0" w:color="auto"/>
              <w:bottom w:val="single" w:sz="4" w:space="0" w:color="auto"/>
              <w:right w:val="single" w:sz="4" w:space="0" w:color="auto"/>
            </w:tcBorders>
            <w:hideMark/>
          </w:tcPr>
          <w:p w14:paraId="1EAF9DE2"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5</w:t>
            </w:r>
          </w:p>
        </w:tc>
        <w:tc>
          <w:tcPr>
            <w:tcW w:w="1185" w:type="dxa"/>
            <w:gridSpan w:val="2"/>
            <w:tcBorders>
              <w:top w:val="single" w:sz="4" w:space="0" w:color="auto"/>
              <w:left w:val="single" w:sz="4" w:space="0" w:color="auto"/>
              <w:bottom w:val="single" w:sz="4" w:space="0" w:color="auto"/>
              <w:right w:val="single" w:sz="4" w:space="0" w:color="auto"/>
            </w:tcBorders>
            <w:hideMark/>
          </w:tcPr>
          <w:p w14:paraId="52489E06"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8</w:t>
            </w:r>
          </w:p>
        </w:tc>
        <w:tc>
          <w:tcPr>
            <w:tcW w:w="1161" w:type="dxa"/>
            <w:gridSpan w:val="2"/>
            <w:tcBorders>
              <w:top w:val="single" w:sz="4" w:space="0" w:color="auto"/>
              <w:left w:val="single" w:sz="4" w:space="0" w:color="auto"/>
              <w:bottom w:val="single" w:sz="4" w:space="0" w:color="auto"/>
              <w:right w:val="single" w:sz="4" w:space="0" w:color="auto"/>
            </w:tcBorders>
            <w:hideMark/>
          </w:tcPr>
          <w:p w14:paraId="46E32B7D"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r>
      <w:tr w:rsidR="00E903FC" w:rsidRPr="00E903FC" w14:paraId="55081188" w14:textId="77777777" w:rsidTr="00E903FC">
        <w:trPr>
          <w:trHeight w:val="77"/>
        </w:trPr>
        <w:tc>
          <w:tcPr>
            <w:tcW w:w="996" w:type="dxa"/>
            <w:tcBorders>
              <w:top w:val="single" w:sz="4" w:space="0" w:color="auto"/>
              <w:left w:val="single" w:sz="4" w:space="0" w:color="auto"/>
              <w:bottom w:val="single" w:sz="4" w:space="0" w:color="auto"/>
              <w:right w:val="single" w:sz="4" w:space="0" w:color="auto"/>
            </w:tcBorders>
            <w:hideMark/>
          </w:tcPr>
          <w:p w14:paraId="1A0E49D2" w14:textId="77777777" w:rsidR="00E903FC" w:rsidRPr="00E903FC" w:rsidRDefault="00E903FC" w:rsidP="00E903FC">
            <w:pPr>
              <w:spacing w:after="0" w:line="240" w:lineRule="auto"/>
              <w:jc w:val="center"/>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2020 г.</w:t>
            </w:r>
          </w:p>
        </w:tc>
        <w:tc>
          <w:tcPr>
            <w:tcW w:w="1417" w:type="dxa"/>
            <w:tcBorders>
              <w:top w:val="single" w:sz="4" w:space="0" w:color="auto"/>
              <w:left w:val="single" w:sz="4" w:space="0" w:color="auto"/>
              <w:bottom w:val="single" w:sz="4" w:space="0" w:color="auto"/>
              <w:right w:val="single" w:sz="4" w:space="0" w:color="auto"/>
            </w:tcBorders>
            <w:hideMark/>
          </w:tcPr>
          <w:p w14:paraId="3132C080"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36</w:t>
            </w:r>
          </w:p>
        </w:tc>
        <w:tc>
          <w:tcPr>
            <w:tcW w:w="1276" w:type="dxa"/>
            <w:tcBorders>
              <w:top w:val="single" w:sz="4" w:space="0" w:color="auto"/>
              <w:left w:val="single" w:sz="4" w:space="0" w:color="auto"/>
              <w:bottom w:val="single" w:sz="4" w:space="0" w:color="auto"/>
              <w:right w:val="single" w:sz="4" w:space="0" w:color="auto"/>
            </w:tcBorders>
            <w:hideMark/>
          </w:tcPr>
          <w:p w14:paraId="030FC5B8"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17</w:t>
            </w:r>
          </w:p>
        </w:tc>
        <w:tc>
          <w:tcPr>
            <w:tcW w:w="851" w:type="dxa"/>
            <w:tcBorders>
              <w:top w:val="single" w:sz="4" w:space="0" w:color="auto"/>
              <w:left w:val="single" w:sz="4" w:space="0" w:color="auto"/>
              <w:bottom w:val="single" w:sz="4" w:space="0" w:color="auto"/>
              <w:right w:val="single" w:sz="4" w:space="0" w:color="auto"/>
            </w:tcBorders>
            <w:hideMark/>
          </w:tcPr>
          <w:p w14:paraId="0F20E7CF"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22</w:t>
            </w:r>
          </w:p>
        </w:tc>
        <w:tc>
          <w:tcPr>
            <w:tcW w:w="1427" w:type="dxa"/>
            <w:tcBorders>
              <w:top w:val="single" w:sz="4" w:space="0" w:color="auto"/>
              <w:left w:val="single" w:sz="4" w:space="0" w:color="auto"/>
              <w:bottom w:val="single" w:sz="4" w:space="0" w:color="auto"/>
              <w:right w:val="single" w:sz="4" w:space="0" w:color="auto"/>
            </w:tcBorders>
            <w:hideMark/>
          </w:tcPr>
          <w:p w14:paraId="7C699A02"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6</w:t>
            </w:r>
          </w:p>
        </w:tc>
        <w:tc>
          <w:tcPr>
            <w:tcW w:w="1185" w:type="dxa"/>
            <w:tcBorders>
              <w:top w:val="single" w:sz="4" w:space="0" w:color="auto"/>
              <w:left w:val="single" w:sz="4" w:space="0" w:color="auto"/>
              <w:bottom w:val="single" w:sz="4" w:space="0" w:color="auto"/>
              <w:right w:val="single" w:sz="4" w:space="0" w:color="auto"/>
            </w:tcBorders>
            <w:hideMark/>
          </w:tcPr>
          <w:p w14:paraId="7A463D34"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6</w:t>
            </w:r>
          </w:p>
        </w:tc>
        <w:tc>
          <w:tcPr>
            <w:tcW w:w="1185" w:type="dxa"/>
            <w:gridSpan w:val="2"/>
            <w:tcBorders>
              <w:top w:val="single" w:sz="4" w:space="0" w:color="auto"/>
              <w:left w:val="single" w:sz="4" w:space="0" w:color="auto"/>
              <w:bottom w:val="single" w:sz="4" w:space="0" w:color="auto"/>
              <w:right w:val="single" w:sz="4" w:space="0" w:color="auto"/>
            </w:tcBorders>
            <w:hideMark/>
          </w:tcPr>
          <w:p w14:paraId="73A6E51B"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6</w:t>
            </w:r>
          </w:p>
        </w:tc>
        <w:tc>
          <w:tcPr>
            <w:tcW w:w="1161" w:type="dxa"/>
            <w:gridSpan w:val="2"/>
            <w:tcBorders>
              <w:top w:val="single" w:sz="4" w:space="0" w:color="auto"/>
              <w:left w:val="single" w:sz="4" w:space="0" w:color="auto"/>
              <w:bottom w:val="single" w:sz="4" w:space="0" w:color="auto"/>
              <w:right w:val="single" w:sz="4" w:space="0" w:color="auto"/>
            </w:tcBorders>
            <w:hideMark/>
          </w:tcPr>
          <w:p w14:paraId="64B02854"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r>
      <w:tr w:rsidR="00E903FC" w:rsidRPr="00E903FC" w14:paraId="4AC1B696" w14:textId="77777777" w:rsidTr="00E903FC">
        <w:trPr>
          <w:trHeight w:val="77"/>
        </w:trPr>
        <w:tc>
          <w:tcPr>
            <w:tcW w:w="9498" w:type="dxa"/>
            <w:gridSpan w:val="10"/>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1956147" w14:textId="77777777" w:rsidR="00E903FC" w:rsidRPr="00E903FC" w:rsidRDefault="00E903FC" w:rsidP="00E903FC">
            <w:pPr>
              <w:spacing w:after="0" w:line="240" w:lineRule="auto"/>
              <w:jc w:val="both"/>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lastRenderedPageBreak/>
              <w:t>ТРАФИК НА НАРКОТИЦИ</w:t>
            </w:r>
          </w:p>
        </w:tc>
      </w:tr>
      <w:tr w:rsidR="00E903FC" w:rsidRPr="00E903FC" w14:paraId="35A543D9" w14:textId="77777777" w:rsidTr="00E903FC">
        <w:trPr>
          <w:trHeight w:val="75"/>
        </w:trPr>
        <w:tc>
          <w:tcPr>
            <w:tcW w:w="996" w:type="dxa"/>
            <w:tcBorders>
              <w:top w:val="single" w:sz="4" w:space="0" w:color="auto"/>
              <w:left w:val="single" w:sz="4" w:space="0" w:color="auto"/>
              <w:bottom w:val="single" w:sz="4" w:space="0" w:color="auto"/>
              <w:right w:val="single" w:sz="4" w:space="0" w:color="auto"/>
            </w:tcBorders>
            <w:shd w:val="clear" w:color="auto" w:fill="D9D9D9"/>
            <w:hideMark/>
          </w:tcPr>
          <w:p w14:paraId="04867183" w14:textId="77777777" w:rsidR="00E903FC" w:rsidRPr="00E903FC" w:rsidRDefault="00E903FC" w:rsidP="00E903FC">
            <w:pPr>
              <w:spacing w:after="0" w:line="240" w:lineRule="auto"/>
              <w:jc w:val="center"/>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2022 г</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34BD59F9"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181</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5F3185D0"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129</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09E76D09"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121</w:t>
            </w:r>
          </w:p>
        </w:tc>
        <w:tc>
          <w:tcPr>
            <w:tcW w:w="1427" w:type="dxa"/>
            <w:tcBorders>
              <w:top w:val="single" w:sz="4" w:space="0" w:color="auto"/>
              <w:left w:val="single" w:sz="4" w:space="0" w:color="auto"/>
              <w:bottom w:val="single" w:sz="4" w:space="0" w:color="auto"/>
              <w:right w:val="single" w:sz="4" w:space="0" w:color="auto"/>
            </w:tcBorders>
            <w:shd w:val="clear" w:color="auto" w:fill="D9D9D9"/>
            <w:hideMark/>
          </w:tcPr>
          <w:p w14:paraId="0E4E9809"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70</w:t>
            </w:r>
          </w:p>
        </w:tc>
        <w:tc>
          <w:tcPr>
            <w:tcW w:w="1185" w:type="dxa"/>
            <w:tcBorders>
              <w:top w:val="single" w:sz="4" w:space="0" w:color="auto"/>
              <w:left w:val="single" w:sz="4" w:space="0" w:color="auto"/>
              <w:bottom w:val="single" w:sz="4" w:space="0" w:color="auto"/>
              <w:right w:val="single" w:sz="4" w:space="0" w:color="auto"/>
            </w:tcBorders>
            <w:shd w:val="clear" w:color="auto" w:fill="D9D9D9"/>
            <w:hideMark/>
          </w:tcPr>
          <w:p w14:paraId="782B59B9"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71</w:t>
            </w:r>
          </w:p>
        </w:tc>
        <w:tc>
          <w:tcPr>
            <w:tcW w:w="118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21E00D9"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67</w:t>
            </w:r>
          </w:p>
        </w:tc>
        <w:tc>
          <w:tcPr>
            <w:tcW w:w="116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4135B60"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w:t>
            </w:r>
          </w:p>
        </w:tc>
      </w:tr>
      <w:tr w:rsidR="00E903FC" w:rsidRPr="00E903FC" w14:paraId="18BF171E" w14:textId="77777777" w:rsidTr="00E903FC">
        <w:trPr>
          <w:trHeight w:val="75"/>
        </w:trPr>
        <w:tc>
          <w:tcPr>
            <w:tcW w:w="996" w:type="dxa"/>
            <w:tcBorders>
              <w:top w:val="single" w:sz="4" w:space="0" w:color="auto"/>
              <w:left w:val="single" w:sz="4" w:space="0" w:color="auto"/>
              <w:bottom w:val="single" w:sz="4" w:space="0" w:color="auto"/>
              <w:right w:val="single" w:sz="4" w:space="0" w:color="auto"/>
            </w:tcBorders>
            <w:hideMark/>
          </w:tcPr>
          <w:p w14:paraId="2028AABC" w14:textId="77777777" w:rsidR="00E903FC" w:rsidRPr="00E903FC" w:rsidRDefault="00E903FC" w:rsidP="00E903FC">
            <w:pPr>
              <w:spacing w:after="0" w:line="240" w:lineRule="auto"/>
              <w:jc w:val="center"/>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2021 г.</w:t>
            </w:r>
          </w:p>
        </w:tc>
        <w:tc>
          <w:tcPr>
            <w:tcW w:w="1417" w:type="dxa"/>
            <w:tcBorders>
              <w:top w:val="single" w:sz="4" w:space="0" w:color="auto"/>
              <w:left w:val="single" w:sz="4" w:space="0" w:color="auto"/>
              <w:bottom w:val="single" w:sz="4" w:space="0" w:color="auto"/>
              <w:right w:val="single" w:sz="4" w:space="0" w:color="auto"/>
            </w:tcBorders>
            <w:hideMark/>
          </w:tcPr>
          <w:p w14:paraId="532AAC09"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187</w:t>
            </w:r>
          </w:p>
        </w:tc>
        <w:tc>
          <w:tcPr>
            <w:tcW w:w="1276" w:type="dxa"/>
            <w:tcBorders>
              <w:top w:val="single" w:sz="4" w:space="0" w:color="auto"/>
              <w:left w:val="single" w:sz="4" w:space="0" w:color="auto"/>
              <w:bottom w:val="single" w:sz="4" w:space="0" w:color="auto"/>
              <w:right w:val="single" w:sz="4" w:space="0" w:color="auto"/>
            </w:tcBorders>
            <w:hideMark/>
          </w:tcPr>
          <w:p w14:paraId="2716C8E3"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112</w:t>
            </w:r>
          </w:p>
        </w:tc>
        <w:tc>
          <w:tcPr>
            <w:tcW w:w="851" w:type="dxa"/>
            <w:tcBorders>
              <w:top w:val="single" w:sz="4" w:space="0" w:color="auto"/>
              <w:left w:val="single" w:sz="4" w:space="0" w:color="auto"/>
              <w:bottom w:val="single" w:sz="4" w:space="0" w:color="auto"/>
              <w:right w:val="single" w:sz="4" w:space="0" w:color="auto"/>
            </w:tcBorders>
            <w:hideMark/>
          </w:tcPr>
          <w:p w14:paraId="30256A5B"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141</w:t>
            </w:r>
          </w:p>
        </w:tc>
        <w:tc>
          <w:tcPr>
            <w:tcW w:w="1427" w:type="dxa"/>
            <w:tcBorders>
              <w:top w:val="single" w:sz="4" w:space="0" w:color="auto"/>
              <w:left w:val="single" w:sz="4" w:space="0" w:color="auto"/>
              <w:bottom w:val="single" w:sz="4" w:space="0" w:color="auto"/>
              <w:right w:val="single" w:sz="4" w:space="0" w:color="auto"/>
            </w:tcBorders>
            <w:hideMark/>
          </w:tcPr>
          <w:p w14:paraId="266E0040"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67</w:t>
            </w:r>
          </w:p>
        </w:tc>
        <w:tc>
          <w:tcPr>
            <w:tcW w:w="1185" w:type="dxa"/>
            <w:tcBorders>
              <w:top w:val="single" w:sz="4" w:space="0" w:color="auto"/>
              <w:left w:val="single" w:sz="4" w:space="0" w:color="auto"/>
              <w:bottom w:val="single" w:sz="4" w:space="0" w:color="auto"/>
              <w:right w:val="single" w:sz="4" w:space="0" w:color="auto"/>
            </w:tcBorders>
            <w:hideMark/>
          </w:tcPr>
          <w:p w14:paraId="650C4CE6"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69</w:t>
            </w:r>
          </w:p>
        </w:tc>
        <w:tc>
          <w:tcPr>
            <w:tcW w:w="1185" w:type="dxa"/>
            <w:gridSpan w:val="2"/>
            <w:tcBorders>
              <w:top w:val="single" w:sz="4" w:space="0" w:color="auto"/>
              <w:left w:val="single" w:sz="4" w:space="0" w:color="auto"/>
              <w:bottom w:val="single" w:sz="4" w:space="0" w:color="auto"/>
              <w:right w:val="single" w:sz="4" w:space="0" w:color="auto"/>
            </w:tcBorders>
            <w:hideMark/>
          </w:tcPr>
          <w:p w14:paraId="23EEEF7E"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67</w:t>
            </w:r>
          </w:p>
        </w:tc>
        <w:tc>
          <w:tcPr>
            <w:tcW w:w="1161" w:type="dxa"/>
            <w:gridSpan w:val="2"/>
            <w:tcBorders>
              <w:top w:val="single" w:sz="4" w:space="0" w:color="auto"/>
              <w:left w:val="single" w:sz="4" w:space="0" w:color="auto"/>
              <w:bottom w:val="single" w:sz="4" w:space="0" w:color="auto"/>
              <w:right w:val="single" w:sz="4" w:space="0" w:color="auto"/>
            </w:tcBorders>
            <w:hideMark/>
          </w:tcPr>
          <w:p w14:paraId="206689BF"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r>
      <w:tr w:rsidR="00E903FC" w:rsidRPr="00E903FC" w14:paraId="63DA253C" w14:textId="77777777" w:rsidTr="00E903FC">
        <w:trPr>
          <w:trHeight w:val="77"/>
        </w:trPr>
        <w:tc>
          <w:tcPr>
            <w:tcW w:w="996" w:type="dxa"/>
            <w:tcBorders>
              <w:top w:val="single" w:sz="4" w:space="0" w:color="auto"/>
              <w:left w:val="single" w:sz="4" w:space="0" w:color="auto"/>
              <w:bottom w:val="single" w:sz="4" w:space="0" w:color="auto"/>
              <w:right w:val="single" w:sz="4" w:space="0" w:color="auto"/>
            </w:tcBorders>
            <w:hideMark/>
          </w:tcPr>
          <w:p w14:paraId="75E68C3F" w14:textId="77777777" w:rsidR="00E903FC" w:rsidRPr="00E903FC" w:rsidRDefault="00E903FC" w:rsidP="00E903FC">
            <w:pPr>
              <w:spacing w:after="0" w:line="240" w:lineRule="auto"/>
              <w:jc w:val="center"/>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2020 г.</w:t>
            </w:r>
          </w:p>
        </w:tc>
        <w:tc>
          <w:tcPr>
            <w:tcW w:w="1417" w:type="dxa"/>
            <w:tcBorders>
              <w:top w:val="single" w:sz="4" w:space="0" w:color="auto"/>
              <w:left w:val="single" w:sz="4" w:space="0" w:color="auto"/>
              <w:bottom w:val="single" w:sz="4" w:space="0" w:color="auto"/>
              <w:right w:val="single" w:sz="4" w:space="0" w:color="auto"/>
            </w:tcBorders>
            <w:hideMark/>
          </w:tcPr>
          <w:p w14:paraId="289F4F7D"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207</w:t>
            </w:r>
          </w:p>
        </w:tc>
        <w:tc>
          <w:tcPr>
            <w:tcW w:w="1276" w:type="dxa"/>
            <w:tcBorders>
              <w:top w:val="single" w:sz="4" w:space="0" w:color="auto"/>
              <w:left w:val="single" w:sz="4" w:space="0" w:color="auto"/>
              <w:bottom w:val="single" w:sz="4" w:space="0" w:color="auto"/>
              <w:right w:val="single" w:sz="4" w:space="0" w:color="auto"/>
            </w:tcBorders>
            <w:hideMark/>
          </w:tcPr>
          <w:p w14:paraId="02B938F8"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117</w:t>
            </w:r>
          </w:p>
        </w:tc>
        <w:tc>
          <w:tcPr>
            <w:tcW w:w="851" w:type="dxa"/>
            <w:tcBorders>
              <w:top w:val="single" w:sz="4" w:space="0" w:color="auto"/>
              <w:left w:val="single" w:sz="4" w:space="0" w:color="auto"/>
              <w:bottom w:val="single" w:sz="4" w:space="0" w:color="auto"/>
              <w:right w:val="single" w:sz="4" w:space="0" w:color="auto"/>
            </w:tcBorders>
            <w:hideMark/>
          </w:tcPr>
          <w:p w14:paraId="16CB2B4F"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141</w:t>
            </w:r>
          </w:p>
        </w:tc>
        <w:tc>
          <w:tcPr>
            <w:tcW w:w="1427" w:type="dxa"/>
            <w:tcBorders>
              <w:top w:val="single" w:sz="4" w:space="0" w:color="auto"/>
              <w:left w:val="single" w:sz="4" w:space="0" w:color="auto"/>
              <w:bottom w:val="single" w:sz="4" w:space="0" w:color="auto"/>
              <w:right w:val="single" w:sz="4" w:space="0" w:color="auto"/>
            </w:tcBorders>
            <w:hideMark/>
          </w:tcPr>
          <w:p w14:paraId="0B49256F"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70</w:t>
            </w:r>
          </w:p>
        </w:tc>
        <w:tc>
          <w:tcPr>
            <w:tcW w:w="1185" w:type="dxa"/>
            <w:tcBorders>
              <w:top w:val="single" w:sz="4" w:space="0" w:color="auto"/>
              <w:left w:val="single" w:sz="4" w:space="0" w:color="auto"/>
              <w:bottom w:val="single" w:sz="4" w:space="0" w:color="auto"/>
              <w:right w:val="single" w:sz="4" w:space="0" w:color="auto"/>
            </w:tcBorders>
            <w:hideMark/>
          </w:tcPr>
          <w:p w14:paraId="102DD27E"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73</w:t>
            </w:r>
          </w:p>
        </w:tc>
        <w:tc>
          <w:tcPr>
            <w:tcW w:w="1185" w:type="dxa"/>
            <w:gridSpan w:val="2"/>
            <w:tcBorders>
              <w:top w:val="single" w:sz="4" w:space="0" w:color="auto"/>
              <w:left w:val="single" w:sz="4" w:space="0" w:color="auto"/>
              <w:bottom w:val="single" w:sz="4" w:space="0" w:color="auto"/>
              <w:right w:val="single" w:sz="4" w:space="0" w:color="auto"/>
            </w:tcBorders>
            <w:hideMark/>
          </w:tcPr>
          <w:p w14:paraId="48F0E3F8"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61</w:t>
            </w:r>
          </w:p>
        </w:tc>
        <w:tc>
          <w:tcPr>
            <w:tcW w:w="1161" w:type="dxa"/>
            <w:gridSpan w:val="2"/>
            <w:tcBorders>
              <w:top w:val="single" w:sz="4" w:space="0" w:color="auto"/>
              <w:left w:val="single" w:sz="4" w:space="0" w:color="auto"/>
              <w:bottom w:val="single" w:sz="4" w:space="0" w:color="auto"/>
              <w:right w:val="single" w:sz="4" w:space="0" w:color="auto"/>
            </w:tcBorders>
            <w:hideMark/>
          </w:tcPr>
          <w:p w14:paraId="5C6683C6"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r>
      <w:tr w:rsidR="00E903FC" w:rsidRPr="00E903FC" w14:paraId="40625232" w14:textId="77777777" w:rsidTr="00E903FC">
        <w:trPr>
          <w:trHeight w:val="77"/>
        </w:trPr>
        <w:tc>
          <w:tcPr>
            <w:tcW w:w="9498" w:type="dxa"/>
            <w:gridSpan w:val="10"/>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2D354A0" w14:textId="77777777" w:rsidR="00E903FC" w:rsidRPr="00E903FC" w:rsidRDefault="00E903FC" w:rsidP="00E903FC">
            <w:pPr>
              <w:spacing w:after="0" w:line="240" w:lineRule="auto"/>
              <w:rPr>
                <w:rFonts w:ascii="Times New Roman" w:eastAsia="Times New Roman" w:hAnsi="Times New Roman" w:cs="Times New Roman"/>
                <w:b/>
                <w:bCs/>
                <w:sz w:val="24"/>
                <w:szCs w:val="24"/>
                <w:lang w:eastAsia="bg-BG"/>
              </w:rPr>
            </w:pPr>
            <w:r w:rsidRPr="00E903FC">
              <w:rPr>
                <w:rFonts w:ascii="Times New Roman" w:eastAsia="Times New Roman" w:hAnsi="Times New Roman" w:cs="Times New Roman"/>
                <w:b/>
                <w:bCs/>
                <w:sz w:val="24"/>
                <w:szCs w:val="24"/>
                <w:lang w:eastAsia="bg-BG"/>
              </w:rPr>
              <w:t>ТРАФИК НА ХОРА</w:t>
            </w:r>
          </w:p>
        </w:tc>
      </w:tr>
      <w:tr w:rsidR="00E903FC" w:rsidRPr="00E903FC" w14:paraId="791E6FD2" w14:textId="77777777" w:rsidTr="00E903FC">
        <w:trPr>
          <w:trHeight w:val="75"/>
        </w:trPr>
        <w:tc>
          <w:tcPr>
            <w:tcW w:w="996" w:type="dxa"/>
            <w:tcBorders>
              <w:top w:val="single" w:sz="4" w:space="0" w:color="auto"/>
              <w:left w:val="single" w:sz="4" w:space="0" w:color="auto"/>
              <w:bottom w:val="single" w:sz="4" w:space="0" w:color="auto"/>
              <w:right w:val="single" w:sz="4" w:space="0" w:color="auto"/>
            </w:tcBorders>
            <w:shd w:val="clear" w:color="auto" w:fill="D9D9D9"/>
            <w:hideMark/>
          </w:tcPr>
          <w:p w14:paraId="16F81A5D" w14:textId="77777777" w:rsidR="00E903FC" w:rsidRPr="00E903FC" w:rsidRDefault="00E903FC" w:rsidP="00E903FC">
            <w:pPr>
              <w:spacing w:after="0" w:line="240" w:lineRule="auto"/>
              <w:jc w:val="center"/>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2022 г</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47181F3A"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5</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0372CBD1"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3</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6601B8EF"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w:t>
            </w:r>
          </w:p>
        </w:tc>
        <w:tc>
          <w:tcPr>
            <w:tcW w:w="1427" w:type="dxa"/>
            <w:tcBorders>
              <w:top w:val="single" w:sz="4" w:space="0" w:color="auto"/>
              <w:left w:val="single" w:sz="4" w:space="0" w:color="auto"/>
              <w:bottom w:val="single" w:sz="4" w:space="0" w:color="auto"/>
              <w:right w:val="single" w:sz="4" w:space="0" w:color="auto"/>
            </w:tcBorders>
            <w:shd w:val="clear" w:color="auto" w:fill="D9D9D9"/>
            <w:hideMark/>
          </w:tcPr>
          <w:p w14:paraId="6B20A8E0"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c>
          <w:tcPr>
            <w:tcW w:w="1185" w:type="dxa"/>
            <w:tcBorders>
              <w:top w:val="single" w:sz="4" w:space="0" w:color="auto"/>
              <w:left w:val="single" w:sz="4" w:space="0" w:color="auto"/>
              <w:bottom w:val="single" w:sz="4" w:space="0" w:color="auto"/>
              <w:right w:val="single" w:sz="4" w:space="0" w:color="auto"/>
            </w:tcBorders>
            <w:shd w:val="clear" w:color="auto" w:fill="D9D9D9"/>
            <w:hideMark/>
          </w:tcPr>
          <w:p w14:paraId="5EFB8379"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c>
          <w:tcPr>
            <w:tcW w:w="118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1EF9A96"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0A6056"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r>
      <w:tr w:rsidR="00E903FC" w:rsidRPr="00E903FC" w14:paraId="4851F071" w14:textId="77777777" w:rsidTr="00E903FC">
        <w:trPr>
          <w:trHeight w:val="75"/>
        </w:trPr>
        <w:tc>
          <w:tcPr>
            <w:tcW w:w="996" w:type="dxa"/>
            <w:tcBorders>
              <w:top w:val="single" w:sz="4" w:space="0" w:color="auto"/>
              <w:left w:val="single" w:sz="4" w:space="0" w:color="auto"/>
              <w:bottom w:val="single" w:sz="4" w:space="0" w:color="auto"/>
              <w:right w:val="single" w:sz="4" w:space="0" w:color="auto"/>
            </w:tcBorders>
            <w:hideMark/>
          </w:tcPr>
          <w:p w14:paraId="1FB4CE6A" w14:textId="77777777" w:rsidR="00E903FC" w:rsidRPr="00E903FC" w:rsidRDefault="00E903FC" w:rsidP="00E903FC">
            <w:pPr>
              <w:spacing w:after="0" w:line="240" w:lineRule="auto"/>
              <w:jc w:val="center"/>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2021 г.</w:t>
            </w:r>
          </w:p>
        </w:tc>
        <w:tc>
          <w:tcPr>
            <w:tcW w:w="1417" w:type="dxa"/>
            <w:tcBorders>
              <w:top w:val="single" w:sz="4" w:space="0" w:color="auto"/>
              <w:left w:val="single" w:sz="4" w:space="0" w:color="auto"/>
              <w:bottom w:val="single" w:sz="4" w:space="0" w:color="auto"/>
              <w:right w:val="single" w:sz="4" w:space="0" w:color="auto"/>
            </w:tcBorders>
            <w:hideMark/>
          </w:tcPr>
          <w:p w14:paraId="765F8D8C"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9</w:t>
            </w:r>
          </w:p>
        </w:tc>
        <w:tc>
          <w:tcPr>
            <w:tcW w:w="1276" w:type="dxa"/>
            <w:tcBorders>
              <w:top w:val="single" w:sz="4" w:space="0" w:color="auto"/>
              <w:left w:val="single" w:sz="4" w:space="0" w:color="auto"/>
              <w:bottom w:val="single" w:sz="4" w:space="0" w:color="auto"/>
              <w:right w:val="single" w:sz="4" w:space="0" w:color="auto"/>
            </w:tcBorders>
            <w:hideMark/>
          </w:tcPr>
          <w:p w14:paraId="4AC63A48"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w:t>
            </w:r>
          </w:p>
        </w:tc>
        <w:tc>
          <w:tcPr>
            <w:tcW w:w="851" w:type="dxa"/>
            <w:tcBorders>
              <w:top w:val="single" w:sz="4" w:space="0" w:color="auto"/>
              <w:left w:val="single" w:sz="4" w:space="0" w:color="auto"/>
              <w:bottom w:val="single" w:sz="4" w:space="0" w:color="auto"/>
              <w:right w:val="single" w:sz="4" w:space="0" w:color="auto"/>
            </w:tcBorders>
            <w:hideMark/>
          </w:tcPr>
          <w:p w14:paraId="31B6B0E7"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8</w:t>
            </w:r>
          </w:p>
        </w:tc>
        <w:tc>
          <w:tcPr>
            <w:tcW w:w="1427" w:type="dxa"/>
            <w:tcBorders>
              <w:top w:val="single" w:sz="4" w:space="0" w:color="auto"/>
              <w:left w:val="single" w:sz="4" w:space="0" w:color="auto"/>
              <w:bottom w:val="single" w:sz="4" w:space="0" w:color="auto"/>
              <w:right w:val="single" w:sz="4" w:space="0" w:color="auto"/>
            </w:tcBorders>
            <w:hideMark/>
          </w:tcPr>
          <w:p w14:paraId="48AD521A"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85" w:type="dxa"/>
            <w:tcBorders>
              <w:top w:val="single" w:sz="4" w:space="0" w:color="auto"/>
              <w:left w:val="single" w:sz="4" w:space="0" w:color="auto"/>
              <w:bottom w:val="single" w:sz="4" w:space="0" w:color="auto"/>
              <w:right w:val="single" w:sz="4" w:space="0" w:color="auto"/>
            </w:tcBorders>
            <w:hideMark/>
          </w:tcPr>
          <w:p w14:paraId="3C339486"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85" w:type="dxa"/>
            <w:gridSpan w:val="2"/>
            <w:tcBorders>
              <w:top w:val="single" w:sz="4" w:space="0" w:color="auto"/>
              <w:left w:val="single" w:sz="4" w:space="0" w:color="auto"/>
              <w:bottom w:val="single" w:sz="4" w:space="0" w:color="auto"/>
              <w:right w:val="single" w:sz="4" w:space="0" w:color="auto"/>
            </w:tcBorders>
            <w:hideMark/>
          </w:tcPr>
          <w:p w14:paraId="21D5B3CB"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61" w:type="dxa"/>
            <w:gridSpan w:val="2"/>
            <w:tcBorders>
              <w:top w:val="single" w:sz="4" w:space="0" w:color="auto"/>
              <w:left w:val="single" w:sz="4" w:space="0" w:color="auto"/>
              <w:bottom w:val="single" w:sz="4" w:space="0" w:color="auto"/>
              <w:right w:val="single" w:sz="4" w:space="0" w:color="auto"/>
            </w:tcBorders>
            <w:hideMark/>
          </w:tcPr>
          <w:p w14:paraId="1E5F47CB"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r>
      <w:tr w:rsidR="00E903FC" w:rsidRPr="00E903FC" w14:paraId="6C16D266" w14:textId="77777777" w:rsidTr="00E903FC">
        <w:trPr>
          <w:trHeight w:val="77"/>
        </w:trPr>
        <w:tc>
          <w:tcPr>
            <w:tcW w:w="996" w:type="dxa"/>
            <w:tcBorders>
              <w:top w:val="single" w:sz="4" w:space="0" w:color="auto"/>
              <w:left w:val="single" w:sz="4" w:space="0" w:color="auto"/>
              <w:bottom w:val="single" w:sz="4" w:space="0" w:color="auto"/>
              <w:right w:val="single" w:sz="4" w:space="0" w:color="auto"/>
            </w:tcBorders>
            <w:hideMark/>
          </w:tcPr>
          <w:p w14:paraId="0A81F3A6" w14:textId="77777777" w:rsidR="00E903FC" w:rsidRPr="00E903FC" w:rsidRDefault="00E903FC" w:rsidP="00E903FC">
            <w:pPr>
              <w:spacing w:after="0" w:line="240" w:lineRule="auto"/>
              <w:jc w:val="center"/>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2020 г.</w:t>
            </w:r>
          </w:p>
        </w:tc>
        <w:tc>
          <w:tcPr>
            <w:tcW w:w="1417" w:type="dxa"/>
            <w:tcBorders>
              <w:top w:val="single" w:sz="4" w:space="0" w:color="auto"/>
              <w:left w:val="single" w:sz="4" w:space="0" w:color="auto"/>
              <w:bottom w:val="single" w:sz="4" w:space="0" w:color="auto"/>
              <w:right w:val="single" w:sz="4" w:space="0" w:color="auto"/>
            </w:tcBorders>
            <w:hideMark/>
          </w:tcPr>
          <w:p w14:paraId="366CDD8E"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8</w:t>
            </w:r>
          </w:p>
        </w:tc>
        <w:tc>
          <w:tcPr>
            <w:tcW w:w="1276" w:type="dxa"/>
            <w:tcBorders>
              <w:top w:val="single" w:sz="4" w:space="0" w:color="auto"/>
              <w:left w:val="single" w:sz="4" w:space="0" w:color="auto"/>
              <w:bottom w:val="single" w:sz="4" w:space="0" w:color="auto"/>
              <w:right w:val="single" w:sz="4" w:space="0" w:color="auto"/>
            </w:tcBorders>
            <w:hideMark/>
          </w:tcPr>
          <w:p w14:paraId="097C578C"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w:t>
            </w:r>
          </w:p>
        </w:tc>
        <w:tc>
          <w:tcPr>
            <w:tcW w:w="851" w:type="dxa"/>
            <w:tcBorders>
              <w:top w:val="single" w:sz="4" w:space="0" w:color="auto"/>
              <w:left w:val="single" w:sz="4" w:space="0" w:color="auto"/>
              <w:bottom w:val="single" w:sz="4" w:space="0" w:color="auto"/>
              <w:right w:val="single" w:sz="4" w:space="0" w:color="auto"/>
            </w:tcBorders>
            <w:hideMark/>
          </w:tcPr>
          <w:p w14:paraId="023749DD"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3</w:t>
            </w:r>
          </w:p>
        </w:tc>
        <w:tc>
          <w:tcPr>
            <w:tcW w:w="1427" w:type="dxa"/>
            <w:tcBorders>
              <w:top w:val="single" w:sz="4" w:space="0" w:color="auto"/>
              <w:left w:val="single" w:sz="4" w:space="0" w:color="auto"/>
              <w:bottom w:val="single" w:sz="4" w:space="0" w:color="auto"/>
              <w:right w:val="single" w:sz="4" w:space="0" w:color="auto"/>
            </w:tcBorders>
            <w:hideMark/>
          </w:tcPr>
          <w:p w14:paraId="1E195903"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85" w:type="dxa"/>
            <w:tcBorders>
              <w:top w:val="single" w:sz="4" w:space="0" w:color="auto"/>
              <w:left w:val="single" w:sz="4" w:space="0" w:color="auto"/>
              <w:bottom w:val="single" w:sz="4" w:space="0" w:color="auto"/>
              <w:right w:val="single" w:sz="4" w:space="0" w:color="auto"/>
            </w:tcBorders>
            <w:hideMark/>
          </w:tcPr>
          <w:p w14:paraId="4D7884A2"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85" w:type="dxa"/>
            <w:gridSpan w:val="2"/>
            <w:tcBorders>
              <w:top w:val="single" w:sz="4" w:space="0" w:color="auto"/>
              <w:left w:val="single" w:sz="4" w:space="0" w:color="auto"/>
              <w:bottom w:val="single" w:sz="4" w:space="0" w:color="auto"/>
              <w:right w:val="single" w:sz="4" w:space="0" w:color="auto"/>
            </w:tcBorders>
            <w:hideMark/>
          </w:tcPr>
          <w:p w14:paraId="238522B4"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61" w:type="dxa"/>
            <w:gridSpan w:val="2"/>
            <w:tcBorders>
              <w:top w:val="single" w:sz="4" w:space="0" w:color="auto"/>
              <w:left w:val="single" w:sz="4" w:space="0" w:color="auto"/>
              <w:bottom w:val="single" w:sz="4" w:space="0" w:color="auto"/>
              <w:right w:val="single" w:sz="4" w:space="0" w:color="auto"/>
            </w:tcBorders>
            <w:hideMark/>
          </w:tcPr>
          <w:p w14:paraId="459123CA"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r>
      <w:tr w:rsidR="00E903FC" w:rsidRPr="00E903FC" w14:paraId="096ABC48" w14:textId="77777777" w:rsidTr="00E903FC">
        <w:trPr>
          <w:trHeight w:val="77"/>
        </w:trPr>
        <w:tc>
          <w:tcPr>
            <w:tcW w:w="9498" w:type="dxa"/>
            <w:gridSpan w:val="10"/>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29280FA" w14:textId="77777777" w:rsidR="00E903FC" w:rsidRPr="00E903FC" w:rsidRDefault="00E903FC" w:rsidP="00E903FC">
            <w:pPr>
              <w:spacing w:after="0" w:line="240" w:lineRule="auto"/>
              <w:jc w:val="both"/>
              <w:rPr>
                <w:rFonts w:ascii="Times New Roman" w:eastAsia="Times New Roman" w:hAnsi="Times New Roman" w:cs="Times New Roman"/>
                <w:b/>
                <w:bCs/>
                <w:color w:val="FF0000"/>
                <w:sz w:val="24"/>
                <w:szCs w:val="24"/>
                <w:lang w:eastAsia="bg-BG"/>
              </w:rPr>
            </w:pPr>
            <w:r w:rsidRPr="00E903FC">
              <w:rPr>
                <w:rFonts w:ascii="Times New Roman" w:eastAsia="Times New Roman" w:hAnsi="Times New Roman" w:cs="Times New Roman"/>
                <w:b/>
                <w:bCs/>
                <w:sz w:val="24"/>
                <w:szCs w:val="24"/>
                <w:lang w:eastAsia="bg-BG"/>
              </w:rPr>
              <w:t>ДОСЪДЕБНИ ПРОИЗВОДСТВА СРЕЩУ НЕПЪЛНОЛЕТНИ</w:t>
            </w:r>
          </w:p>
        </w:tc>
      </w:tr>
      <w:tr w:rsidR="00E903FC" w:rsidRPr="00E903FC" w14:paraId="18B99728" w14:textId="77777777" w:rsidTr="00E903FC">
        <w:trPr>
          <w:trHeight w:val="77"/>
        </w:trPr>
        <w:tc>
          <w:tcPr>
            <w:tcW w:w="996" w:type="dxa"/>
            <w:tcBorders>
              <w:top w:val="single" w:sz="4" w:space="0" w:color="auto"/>
              <w:left w:val="single" w:sz="4" w:space="0" w:color="auto"/>
              <w:bottom w:val="single" w:sz="4" w:space="0" w:color="auto"/>
              <w:right w:val="single" w:sz="4" w:space="0" w:color="auto"/>
            </w:tcBorders>
            <w:shd w:val="clear" w:color="auto" w:fill="D9D9D9"/>
            <w:hideMark/>
          </w:tcPr>
          <w:p w14:paraId="5EC5D83E" w14:textId="77777777" w:rsidR="00E903FC" w:rsidRPr="00E903FC" w:rsidRDefault="00E903FC" w:rsidP="00E903FC">
            <w:pPr>
              <w:spacing w:after="0" w:line="240" w:lineRule="auto"/>
              <w:jc w:val="center"/>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2022 г</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6705A44E"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37</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5E7D1FBF"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21</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0137D34F"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31</w:t>
            </w:r>
          </w:p>
        </w:tc>
        <w:tc>
          <w:tcPr>
            <w:tcW w:w="1427" w:type="dxa"/>
            <w:tcBorders>
              <w:top w:val="single" w:sz="4" w:space="0" w:color="auto"/>
              <w:left w:val="single" w:sz="4" w:space="0" w:color="auto"/>
              <w:bottom w:val="single" w:sz="4" w:space="0" w:color="auto"/>
              <w:right w:val="single" w:sz="4" w:space="0" w:color="auto"/>
            </w:tcBorders>
            <w:shd w:val="clear" w:color="auto" w:fill="D9D9D9"/>
            <w:hideMark/>
          </w:tcPr>
          <w:p w14:paraId="55B226E9"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15</w:t>
            </w:r>
          </w:p>
        </w:tc>
        <w:tc>
          <w:tcPr>
            <w:tcW w:w="1185" w:type="dxa"/>
            <w:tcBorders>
              <w:top w:val="single" w:sz="4" w:space="0" w:color="auto"/>
              <w:left w:val="single" w:sz="4" w:space="0" w:color="auto"/>
              <w:bottom w:val="single" w:sz="4" w:space="0" w:color="auto"/>
              <w:right w:val="single" w:sz="4" w:space="0" w:color="auto"/>
            </w:tcBorders>
            <w:shd w:val="clear" w:color="auto" w:fill="D9D9D9"/>
            <w:hideMark/>
          </w:tcPr>
          <w:p w14:paraId="2E8B8EBD"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24</w:t>
            </w:r>
          </w:p>
        </w:tc>
        <w:tc>
          <w:tcPr>
            <w:tcW w:w="118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AEFC2A6"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17</w:t>
            </w:r>
          </w:p>
        </w:tc>
        <w:tc>
          <w:tcPr>
            <w:tcW w:w="116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B0B39EA"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r>
      <w:tr w:rsidR="00E903FC" w:rsidRPr="00E903FC" w14:paraId="4D970AC8" w14:textId="77777777" w:rsidTr="00E903FC">
        <w:trPr>
          <w:trHeight w:val="77"/>
        </w:trPr>
        <w:tc>
          <w:tcPr>
            <w:tcW w:w="996" w:type="dxa"/>
            <w:tcBorders>
              <w:top w:val="single" w:sz="4" w:space="0" w:color="auto"/>
              <w:left w:val="single" w:sz="4" w:space="0" w:color="auto"/>
              <w:bottom w:val="single" w:sz="4" w:space="0" w:color="auto"/>
              <w:right w:val="single" w:sz="4" w:space="0" w:color="auto"/>
            </w:tcBorders>
            <w:hideMark/>
          </w:tcPr>
          <w:p w14:paraId="22E8A882" w14:textId="77777777" w:rsidR="00E903FC" w:rsidRPr="00E903FC" w:rsidRDefault="00E903FC" w:rsidP="00E903FC">
            <w:pPr>
              <w:spacing w:after="0" w:line="240" w:lineRule="auto"/>
              <w:jc w:val="center"/>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2021 г.</w:t>
            </w:r>
          </w:p>
        </w:tc>
        <w:tc>
          <w:tcPr>
            <w:tcW w:w="1417" w:type="dxa"/>
            <w:tcBorders>
              <w:top w:val="single" w:sz="4" w:space="0" w:color="auto"/>
              <w:left w:val="single" w:sz="4" w:space="0" w:color="auto"/>
              <w:bottom w:val="single" w:sz="4" w:space="0" w:color="auto"/>
              <w:right w:val="single" w:sz="4" w:space="0" w:color="auto"/>
            </w:tcBorders>
            <w:hideMark/>
          </w:tcPr>
          <w:p w14:paraId="529547EF"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43</w:t>
            </w:r>
          </w:p>
        </w:tc>
        <w:tc>
          <w:tcPr>
            <w:tcW w:w="1276" w:type="dxa"/>
            <w:tcBorders>
              <w:top w:val="single" w:sz="4" w:space="0" w:color="auto"/>
              <w:left w:val="single" w:sz="4" w:space="0" w:color="auto"/>
              <w:bottom w:val="single" w:sz="4" w:space="0" w:color="auto"/>
              <w:right w:val="single" w:sz="4" w:space="0" w:color="auto"/>
            </w:tcBorders>
            <w:hideMark/>
          </w:tcPr>
          <w:p w14:paraId="43F58B51"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23</w:t>
            </w:r>
          </w:p>
        </w:tc>
        <w:tc>
          <w:tcPr>
            <w:tcW w:w="851" w:type="dxa"/>
            <w:tcBorders>
              <w:top w:val="single" w:sz="4" w:space="0" w:color="auto"/>
              <w:left w:val="single" w:sz="4" w:space="0" w:color="auto"/>
              <w:bottom w:val="single" w:sz="4" w:space="0" w:color="auto"/>
              <w:right w:val="single" w:sz="4" w:space="0" w:color="auto"/>
            </w:tcBorders>
            <w:hideMark/>
          </w:tcPr>
          <w:p w14:paraId="3DEE870E"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37</w:t>
            </w:r>
          </w:p>
        </w:tc>
        <w:tc>
          <w:tcPr>
            <w:tcW w:w="1427" w:type="dxa"/>
            <w:tcBorders>
              <w:top w:val="single" w:sz="4" w:space="0" w:color="auto"/>
              <w:left w:val="single" w:sz="4" w:space="0" w:color="auto"/>
              <w:bottom w:val="single" w:sz="4" w:space="0" w:color="auto"/>
              <w:right w:val="single" w:sz="4" w:space="0" w:color="auto"/>
            </w:tcBorders>
            <w:hideMark/>
          </w:tcPr>
          <w:p w14:paraId="02BFFBC2"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12</w:t>
            </w:r>
          </w:p>
        </w:tc>
        <w:tc>
          <w:tcPr>
            <w:tcW w:w="1185" w:type="dxa"/>
            <w:tcBorders>
              <w:top w:val="single" w:sz="4" w:space="0" w:color="auto"/>
              <w:left w:val="single" w:sz="4" w:space="0" w:color="auto"/>
              <w:bottom w:val="single" w:sz="4" w:space="0" w:color="auto"/>
              <w:right w:val="single" w:sz="4" w:space="0" w:color="auto"/>
            </w:tcBorders>
            <w:hideMark/>
          </w:tcPr>
          <w:p w14:paraId="1A29E286"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12</w:t>
            </w:r>
          </w:p>
        </w:tc>
        <w:tc>
          <w:tcPr>
            <w:tcW w:w="1185" w:type="dxa"/>
            <w:gridSpan w:val="2"/>
            <w:tcBorders>
              <w:top w:val="single" w:sz="4" w:space="0" w:color="auto"/>
              <w:left w:val="single" w:sz="4" w:space="0" w:color="auto"/>
              <w:bottom w:val="single" w:sz="4" w:space="0" w:color="auto"/>
              <w:right w:val="single" w:sz="4" w:space="0" w:color="auto"/>
            </w:tcBorders>
            <w:hideMark/>
          </w:tcPr>
          <w:p w14:paraId="53E3E621"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16</w:t>
            </w:r>
          </w:p>
        </w:tc>
        <w:tc>
          <w:tcPr>
            <w:tcW w:w="1161" w:type="dxa"/>
            <w:gridSpan w:val="2"/>
            <w:tcBorders>
              <w:top w:val="single" w:sz="4" w:space="0" w:color="auto"/>
              <w:left w:val="single" w:sz="4" w:space="0" w:color="auto"/>
              <w:bottom w:val="single" w:sz="4" w:space="0" w:color="auto"/>
              <w:right w:val="single" w:sz="4" w:space="0" w:color="auto"/>
            </w:tcBorders>
            <w:hideMark/>
          </w:tcPr>
          <w:p w14:paraId="69005A5A"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w:t>
            </w:r>
          </w:p>
        </w:tc>
      </w:tr>
      <w:tr w:rsidR="00E903FC" w:rsidRPr="00E903FC" w14:paraId="37598D93" w14:textId="77777777" w:rsidTr="00E903FC">
        <w:trPr>
          <w:trHeight w:val="77"/>
        </w:trPr>
        <w:tc>
          <w:tcPr>
            <w:tcW w:w="996" w:type="dxa"/>
            <w:tcBorders>
              <w:top w:val="single" w:sz="4" w:space="0" w:color="auto"/>
              <w:left w:val="single" w:sz="4" w:space="0" w:color="auto"/>
              <w:bottom w:val="single" w:sz="4" w:space="0" w:color="auto"/>
              <w:right w:val="single" w:sz="4" w:space="0" w:color="auto"/>
            </w:tcBorders>
            <w:hideMark/>
          </w:tcPr>
          <w:p w14:paraId="36857D90" w14:textId="77777777" w:rsidR="00E903FC" w:rsidRPr="00E903FC" w:rsidRDefault="00E903FC" w:rsidP="00E903FC">
            <w:pPr>
              <w:spacing w:after="0" w:line="240" w:lineRule="auto"/>
              <w:jc w:val="center"/>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2020 г.</w:t>
            </w:r>
          </w:p>
        </w:tc>
        <w:tc>
          <w:tcPr>
            <w:tcW w:w="1417" w:type="dxa"/>
            <w:tcBorders>
              <w:top w:val="single" w:sz="4" w:space="0" w:color="auto"/>
              <w:left w:val="single" w:sz="4" w:space="0" w:color="auto"/>
              <w:bottom w:val="single" w:sz="4" w:space="0" w:color="auto"/>
              <w:right w:val="single" w:sz="4" w:space="0" w:color="auto"/>
            </w:tcBorders>
            <w:hideMark/>
          </w:tcPr>
          <w:p w14:paraId="3A2ECE29"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37</w:t>
            </w:r>
          </w:p>
        </w:tc>
        <w:tc>
          <w:tcPr>
            <w:tcW w:w="1276" w:type="dxa"/>
            <w:tcBorders>
              <w:top w:val="single" w:sz="4" w:space="0" w:color="auto"/>
              <w:left w:val="single" w:sz="4" w:space="0" w:color="auto"/>
              <w:bottom w:val="single" w:sz="4" w:space="0" w:color="auto"/>
              <w:right w:val="single" w:sz="4" w:space="0" w:color="auto"/>
            </w:tcBorders>
            <w:hideMark/>
          </w:tcPr>
          <w:p w14:paraId="30A7D45C"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17</w:t>
            </w:r>
          </w:p>
        </w:tc>
        <w:tc>
          <w:tcPr>
            <w:tcW w:w="851" w:type="dxa"/>
            <w:tcBorders>
              <w:top w:val="single" w:sz="4" w:space="0" w:color="auto"/>
              <w:left w:val="single" w:sz="4" w:space="0" w:color="auto"/>
              <w:bottom w:val="single" w:sz="4" w:space="0" w:color="auto"/>
              <w:right w:val="single" w:sz="4" w:space="0" w:color="auto"/>
            </w:tcBorders>
            <w:hideMark/>
          </w:tcPr>
          <w:p w14:paraId="318AA29E"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36</w:t>
            </w:r>
          </w:p>
        </w:tc>
        <w:tc>
          <w:tcPr>
            <w:tcW w:w="1427" w:type="dxa"/>
            <w:tcBorders>
              <w:top w:val="single" w:sz="4" w:space="0" w:color="auto"/>
              <w:left w:val="single" w:sz="4" w:space="0" w:color="auto"/>
              <w:bottom w:val="single" w:sz="4" w:space="0" w:color="auto"/>
              <w:right w:val="single" w:sz="4" w:space="0" w:color="auto"/>
            </w:tcBorders>
            <w:hideMark/>
          </w:tcPr>
          <w:p w14:paraId="2E8D4F08"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16</w:t>
            </w:r>
          </w:p>
        </w:tc>
        <w:tc>
          <w:tcPr>
            <w:tcW w:w="1185" w:type="dxa"/>
            <w:tcBorders>
              <w:top w:val="single" w:sz="4" w:space="0" w:color="auto"/>
              <w:left w:val="single" w:sz="4" w:space="0" w:color="auto"/>
              <w:bottom w:val="single" w:sz="4" w:space="0" w:color="auto"/>
              <w:right w:val="single" w:sz="4" w:space="0" w:color="auto"/>
            </w:tcBorders>
            <w:hideMark/>
          </w:tcPr>
          <w:p w14:paraId="7E1DB241"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23</w:t>
            </w:r>
          </w:p>
        </w:tc>
        <w:tc>
          <w:tcPr>
            <w:tcW w:w="1185" w:type="dxa"/>
            <w:gridSpan w:val="2"/>
            <w:tcBorders>
              <w:top w:val="single" w:sz="4" w:space="0" w:color="auto"/>
              <w:left w:val="single" w:sz="4" w:space="0" w:color="auto"/>
              <w:bottom w:val="single" w:sz="4" w:space="0" w:color="auto"/>
              <w:right w:val="single" w:sz="4" w:space="0" w:color="auto"/>
            </w:tcBorders>
            <w:hideMark/>
          </w:tcPr>
          <w:p w14:paraId="544C6B56"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13</w:t>
            </w:r>
          </w:p>
        </w:tc>
        <w:tc>
          <w:tcPr>
            <w:tcW w:w="1161" w:type="dxa"/>
            <w:gridSpan w:val="2"/>
            <w:tcBorders>
              <w:top w:val="single" w:sz="4" w:space="0" w:color="auto"/>
              <w:left w:val="single" w:sz="4" w:space="0" w:color="auto"/>
              <w:bottom w:val="single" w:sz="4" w:space="0" w:color="auto"/>
              <w:right w:val="single" w:sz="4" w:space="0" w:color="auto"/>
            </w:tcBorders>
            <w:hideMark/>
          </w:tcPr>
          <w:p w14:paraId="12BEA8AC"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r>
      <w:tr w:rsidR="00E903FC" w:rsidRPr="00E903FC" w14:paraId="693A5213" w14:textId="77777777" w:rsidTr="00E903FC">
        <w:trPr>
          <w:trHeight w:val="77"/>
        </w:trPr>
        <w:tc>
          <w:tcPr>
            <w:tcW w:w="9498" w:type="dxa"/>
            <w:gridSpan w:val="10"/>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19917FF"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
                <w:bCs/>
                <w:sz w:val="24"/>
                <w:szCs w:val="24"/>
                <w:lang w:eastAsia="bg-BG"/>
              </w:rPr>
              <w:t xml:space="preserve">ДОСЪДЕБНИ ПРОИЗВОДСТВА СРЕЩУ СЛУЖИТЕЛИ НА МВР </w:t>
            </w:r>
          </w:p>
        </w:tc>
      </w:tr>
      <w:tr w:rsidR="00E903FC" w:rsidRPr="00E903FC" w14:paraId="0BDB2215" w14:textId="77777777" w:rsidTr="00E903FC">
        <w:trPr>
          <w:trHeight w:val="77"/>
        </w:trPr>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6B84D5" w14:textId="77777777" w:rsidR="00E903FC" w:rsidRPr="00E903FC" w:rsidRDefault="00E903FC" w:rsidP="00E903FC">
            <w:pPr>
              <w:spacing w:after="0" w:line="240" w:lineRule="auto"/>
              <w:jc w:val="center"/>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2022 г</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D3D432"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03C88"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9F1A5A"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c>
          <w:tcPr>
            <w:tcW w:w="1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C2CCBB"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34FA32"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c>
          <w:tcPr>
            <w:tcW w:w="11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6F4F52"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42B9B5"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r>
      <w:tr w:rsidR="00E903FC" w:rsidRPr="00E903FC" w14:paraId="782051AD" w14:textId="77777777" w:rsidTr="00E903FC">
        <w:trPr>
          <w:trHeight w:val="77"/>
        </w:trPr>
        <w:tc>
          <w:tcPr>
            <w:tcW w:w="996" w:type="dxa"/>
            <w:tcBorders>
              <w:top w:val="single" w:sz="4" w:space="0" w:color="auto"/>
              <w:left w:val="single" w:sz="4" w:space="0" w:color="auto"/>
              <w:bottom w:val="single" w:sz="4" w:space="0" w:color="auto"/>
              <w:right w:val="single" w:sz="4" w:space="0" w:color="auto"/>
            </w:tcBorders>
            <w:hideMark/>
          </w:tcPr>
          <w:p w14:paraId="70B7447C" w14:textId="77777777" w:rsidR="00E903FC" w:rsidRPr="00E903FC" w:rsidRDefault="00E903FC" w:rsidP="00E903FC">
            <w:pPr>
              <w:spacing w:after="0" w:line="240" w:lineRule="auto"/>
              <w:jc w:val="center"/>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2021 г.</w:t>
            </w:r>
          </w:p>
        </w:tc>
        <w:tc>
          <w:tcPr>
            <w:tcW w:w="1417" w:type="dxa"/>
            <w:tcBorders>
              <w:top w:val="single" w:sz="4" w:space="0" w:color="auto"/>
              <w:left w:val="single" w:sz="4" w:space="0" w:color="auto"/>
              <w:bottom w:val="single" w:sz="4" w:space="0" w:color="auto"/>
              <w:right w:val="single" w:sz="4" w:space="0" w:color="auto"/>
            </w:tcBorders>
            <w:hideMark/>
          </w:tcPr>
          <w:p w14:paraId="41CB467A"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276" w:type="dxa"/>
            <w:tcBorders>
              <w:top w:val="single" w:sz="4" w:space="0" w:color="auto"/>
              <w:left w:val="single" w:sz="4" w:space="0" w:color="auto"/>
              <w:bottom w:val="single" w:sz="4" w:space="0" w:color="auto"/>
              <w:right w:val="single" w:sz="4" w:space="0" w:color="auto"/>
            </w:tcBorders>
            <w:hideMark/>
          </w:tcPr>
          <w:p w14:paraId="2E5B92DC"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851" w:type="dxa"/>
            <w:tcBorders>
              <w:top w:val="single" w:sz="4" w:space="0" w:color="auto"/>
              <w:left w:val="single" w:sz="4" w:space="0" w:color="auto"/>
              <w:bottom w:val="single" w:sz="4" w:space="0" w:color="auto"/>
              <w:right w:val="single" w:sz="4" w:space="0" w:color="auto"/>
            </w:tcBorders>
            <w:hideMark/>
          </w:tcPr>
          <w:p w14:paraId="0A1DC1EA"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427" w:type="dxa"/>
            <w:tcBorders>
              <w:top w:val="single" w:sz="4" w:space="0" w:color="auto"/>
              <w:left w:val="single" w:sz="4" w:space="0" w:color="auto"/>
              <w:bottom w:val="single" w:sz="4" w:space="0" w:color="auto"/>
              <w:right w:val="single" w:sz="4" w:space="0" w:color="auto"/>
            </w:tcBorders>
            <w:hideMark/>
          </w:tcPr>
          <w:p w14:paraId="32A4E621"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85" w:type="dxa"/>
            <w:tcBorders>
              <w:top w:val="single" w:sz="4" w:space="0" w:color="auto"/>
              <w:left w:val="single" w:sz="4" w:space="0" w:color="auto"/>
              <w:bottom w:val="single" w:sz="4" w:space="0" w:color="auto"/>
              <w:right w:val="single" w:sz="4" w:space="0" w:color="auto"/>
            </w:tcBorders>
            <w:hideMark/>
          </w:tcPr>
          <w:p w14:paraId="7B1D5BB2"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85" w:type="dxa"/>
            <w:gridSpan w:val="2"/>
            <w:tcBorders>
              <w:top w:val="single" w:sz="4" w:space="0" w:color="auto"/>
              <w:left w:val="single" w:sz="4" w:space="0" w:color="auto"/>
              <w:bottom w:val="single" w:sz="4" w:space="0" w:color="auto"/>
              <w:right w:val="single" w:sz="4" w:space="0" w:color="auto"/>
            </w:tcBorders>
            <w:hideMark/>
          </w:tcPr>
          <w:p w14:paraId="3053C875"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61" w:type="dxa"/>
            <w:gridSpan w:val="2"/>
            <w:tcBorders>
              <w:top w:val="single" w:sz="4" w:space="0" w:color="auto"/>
              <w:left w:val="single" w:sz="4" w:space="0" w:color="auto"/>
              <w:bottom w:val="single" w:sz="4" w:space="0" w:color="auto"/>
              <w:right w:val="single" w:sz="4" w:space="0" w:color="auto"/>
            </w:tcBorders>
            <w:hideMark/>
          </w:tcPr>
          <w:p w14:paraId="193DEFAC"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r>
      <w:tr w:rsidR="00E903FC" w:rsidRPr="00E903FC" w14:paraId="756D57D0" w14:textId="77777777" w:rsidTr="00E903FC">
        <w:trPr>
          <w:trHeight w:val="77"/>
        </w:trPr>
        <w:tc>
          <w:tcPr>
            <w:tcW w:w="996" w:type="dxa"/>
            <w:tcBorders>
              <w:top w:val="single" w:sz="4" w:space="0" w:color="auto"/>
              <w:left w:val="single" w:sz="4" w:space="0" w:color="auto"/>
              <w:bottom w:val="single" w:sz="4" w:space="0" w:color="auto"/>
              <w:right w:val="single" w:sz="4" w:space="0" w:color="auto"/>
            </w:tcBorders>
            <w:hideMark/>
          </w:tcPr>
          <w:p w14:paraId="0AEA62E5" w14:textId="77777777" w:rsidR="00E903FC" w:rsidRPr="00E903FC" w:rsidRDefault="00E903FC" w:rsidP="00E903FC">
            <w:pPr>
              <w:spacing w:after="0" w:line="240" w:lineRule="auto"/>
              <w:jc w:val="center"/>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2020 г.</w:t>
            </w:r>
          </w:p>
        </w:tc>
        <w:tc>
          <w:tcPr>
            <w:tcW w:w="1417" w:type="dxa"/>
            <w:tcBorders>
              <w:top w:val="single" w:sz="4" w:space="0" w:color="auto"/>
              <w:left w:val="single" w:sz="4" w:space="0" w:color="auto"/>
              <w:bottom w:val="single" w:sz="4" w:space="0" w:color="auto"/>
              <w:right w:val="single" w:sz="4" w:space="0" w:color="auto"/>
            </w:tcBorders>
            <w:hideMark/>
          </w:tcPr>
          <w:p w14:paraId="5CE0A735"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1</w:t>
            </w:r>
          </w:p>
        </w:tc>
        <w:tc>
          <w:tcPr>
            <w:tcW w:w="1276" w:type="dxa"/>
            <w:tcBorders>
              <w:top w:val="single" w:sz="4" w:space="0" w:color="auto"/>
              <w:left w:val="single" w:sz="4" w:space="0" w:color="auto"/>
              <w:bottom w:val="single" w:sz="4" w:space="0" w:color="auto"/>
              <w:right w:val="single" w:sz="4" w:space="0" w:color="auto"/>
            </w:tcBorders>
            <w:hideMark/>
          </w:tcPr>
          <w:p w14:paraId="317B890D"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851" w:type="dxa"/>
            <w:tcBorders>
              <w:top w:val="single" w:sz="4" w:space="0" w:color="auto"/>
              <w:left w:val="single" w:sz="4" w:space="0" w:color="auto"/>
              <w:bottom w:val="single" w:sz="4" w:space="0" w:color="auto"/>
              <w:right w:val="single" w:sz="4" w:space="0" w:color="auto"/>
            </w:tcBorders>
            <w:hideMark/>
          </w:tcPr>
          <w:p w14:paraId="6B4587AB"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427" w:type="dxa"/>
            <w:tcBorders>
              <w:top w:val="single" w:sz="4" w:space="0" w:color="auto"/>
              <w:left w:val="single" w:sz="4" w:space="0" w:color="auto"/>
              <w:bottom w:val="single" w:sz="4" w:space="0" w:color="auto"/>
              <w:right w:val="single" w:sz="4" w:space="0" w:color="auto"/>
            </w:tcBorders>
            <w:hideMark/>
          </w:tcPr>
          <w:p w14:paraId="6572A40E"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85" w:type="dxa"/>
            <w:tcBorders>
              <w:top w:val="single" w:sz="4" w:space="0" w:color="auto"/>
              <w:left w:val="single" w:sz="4" w:space="0" w:color="auto"/>
              <w:bottom w:val="single" w:sz="4" w:space="0" w:color="auto"/>
              <w:right w:val="single" w:sz="4" w:space="0" w:color="auto"/>
            </w:tcBorders>
            <w:hideMark/>
          </w:tcPr>
          <w:p w14:paraId="7A0C8D84"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85" w:type="dxa"/>
            <w:gridSpan w:val="2"/>
            <w:tcBorders>
              <w:top w:val="single" w:sz="4" w:space="0" w:color="auto"/>
              <w:left w:val="single" w:sz="4" w:space="0" w:color="auto"/>
              <w:bottom w:val="single" w:sz="4" w:space="0" w:color="auto"/>
              <w:right w:val="single" w:sz="4" w:space="0" w:color="auto"/>
            </w:tcBorders>
            <w:hideMark/>
          </w:tcPr>
          <w:p w14:paraId="4E9DF863"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61" w:type="dxa"/>
            <w:gridSpan w:val="2"/>
            <w:tcBorders>
              <w:top w:val="single" w:sz="4" w:space="0" w:color="auto"/>
              <w:left w:val="single" w:sz="4" w:space="0" w:color="auto"/>
              <w:bottom w:val="single" w:sz="4" w:space="0" w:color="auto"/>
              <w:right w:val="single" w:sz="4" w:space="0" w:color="auto"/>
            </w:tcBorders>
            <w:hideMark/>
          </w:tcPr>
          <w:p w14:paraId="1D4EDC7D"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r>
      <w:tr w:rsidR="00E903FC" w:rsidRPr="00E903FC" w14:paraId="59E08AA9" w14:textId="77777777" w:rsidTr="00E903FC">
        <w:trPr>
          <w:trHeight w:val="77"/>
        </w:trPr>
        <w:tc>
          <w:tcPr>
            <w:tcW w:w="9498" w:type="dxa"/>
            <w:gridSpan w:val="10"/>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ECEAD6F"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
                <w:bCs/>
                <w:sz w:val="24"/>
                <w:szCs w:val="24"/>
                <w:lang w:eastAsia="bg-BG"/>
              </w:rPr>
              <w:t>ДОСЪДЕБНИ ПРОИЗВОДСТВА ЗА НАСИЛИЕ СРЕЩУ СЛУЖИТЕЛИ В МЛС</w:t>
            </w:r>
          </w:p>
        </w:tc>
      </w:tr>
      <w:tr w:rsidR="00E903FC" w:rsidRPr="00E903FC" w14:paraId="0FF0AE7B" w14:textId="77777777" w:rsidTr="00E903FC">
        <w:trPr>
          <w:trHeight w:val="77"/>
        </w:trPr>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3461AB" w14:textId="77777777" w:rsidR="00E903FC" w:rsidRPr="00E903FC" w:rsidRDefault="00E903FC" w:rsidP="00E903FC">
            <w:pPr>
              <w:spacing w:after="0" w:line="240" w:lineRule="auto"/>
              <w:jc w:val="center"/>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2022 г</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93A2A7"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D3D017"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E2B9BA"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c>
          <w:tcPr>
            <w:tcW w:w="1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FBF753"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4C1493"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c>
          <w:tcPr>
            <w:tcW w:w="11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BE3B0C"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EC07B7"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r>
      <w:tr w:rsidR="00E903FC" w:rsidRPr="00E903FC" w14:paraId="2E019EC0" w14:textId="77777777" w:rsidTr="00E903FC">
        <w:trPr>
          <w:trHeight w:val="77"/>
        </w:trPr>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62649A"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2021 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BA191A"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61B3EB"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3FFE10"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26E6D"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53116E"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8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CD09963"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9996D45"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r>
      <w:tr w:rsidR="00E903FC" w:rsidRPr="00E903FC" w14:paraId="48A93084" w14:textId="77777777" w:rsidTr="00E903FC">
        <w:trPr>
          <w:trHeight w:val="77"/>
        </w:trPr>
        <w:tc>
          <w:tcPr>
            <w:tcW w:w="996" w:type="dxa"/>
            <w:tcBorders>
              <w:top w:val="single" w:sz="4" w:space="0" w:color="auto"/>
              <w:left w:val="single" w:sz="4" w:space="0" w:color="auto"/>
              <w:bottom w:val="single" w:sz="4" w:space="0" w:color="auto"/>
              <w:right w:val="single" w:sz="4" w:space="0" w:color="auto"/>
            </w:tcBorders>
            <w:hideMark/>
          </w:tcPr>
          <w:p w14:paraId="0F33E573"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2020 г.</w:t>
            </w:r>
          </w:p>
        </w:tc>
        <w:tc>
          <w:tcPr>
            <w:tcW w:w="1417" w:type="dxa"/>
            <w:tcBorders>
              <w:top w:val="single" w:sz="4" w:space="0" w:color="auto"/>
              <w:left w:val="single" w:sz="4" w:space="0" w:color="auto"/>
              <w:bottom w:val="single" w:sz="4" w:space="0" w:color="auto"/>
              <w:right w:val="single" w:sz="4" w:space="0" w:color="auto"/>
            </w:tcBorders>
            <w:hideMark/>
          </w:tcPr>
          <w:p w14:paraId="54F61B02"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276" w:type="dxa"/>
            <w:tcBorders>
              <w:top w:val="single" w:sz="4" w:space="0" w:color="auto"/>
              <w:left w:val="single" w:sz="4" w:space="0" w:color="auto"/>
              <w:bottom w:val="single" w:sz="4" w:space="0" w:color="auto"/>
              <w:right w:val="single" w:sz="4" w:space="0" w:color="auto"/>
            </w:tcBorders>
            <w:hideMark/>
          </w:tcPr>
          <w:p w14:paraId="0076F858"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851" w:type="dxa"/>
            <w:tcBorders>
              <w:top w:val="single" w:sz="4" w:space="0" w:color="auto"/>
              <w:left w:val="single" w:sz="4" w:space="0" w:color="auto"/>
              <w:bottom w:val="single" w:sz="4" w:space="0" w:color="auto"/>
              <w:right w:val="single" w:sz="4" w:space="0" w:color="auto"/>
            </w:tcBorders>
            <w:hideMark/>
          </w:tcPr>
          <w:p w14:paraId="6F21E88F"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427" w:type="dxa"/>
            <w:tcBorders>
              <w:top w:val="single" w:sz="4" w:space="0" w:color="auto"/>
              <w:left w:val="single" w:sz="4" w:space="0" w:color="auto"/>
              <w:bottom w:val="single" w:sz="4" w:space="0" w:color="auto"/>
              <w:right w:val="single" w:sz="4" w:space="0" w:color="auto"/>
            </w:tcBorders>
            <w:hideMark/>
          </w:tcPr>
          <w:p w14:paraId="02E3B6AE"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85" w:type="dxa"/>
            <w:tcBorders>
              <w:top w:val="single" w:sz="4" w:space="0" w:color="auto"/>
              <w:left w:val="single" w:sz="4" w:space="0" w:color="auto"/>
              <w:bottom w:val="single" w:sz="4" w:space="0" w:color="auto"/>
              <w:right w:val="single" w:sz="4" w:space="0" w:color="auto"/>
            </w:tcBorders>
            <w:hideMark/>
          </w:tcPr>
          <w:p w14:paraId="74E3F278"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85" w:type="dxa"/>
            <w:gridSpan w:val="2"/>
            <w:tcBorders>
              <w:top w:val="single" w:sz="4" w:space="0" w:color="auto"/>
              <w:left w:val="single" w:sz="4" w:space="0" w:color="auto"/>
              <w:bottom w:val="single" w:sz="4" w:space="0" w:color="auto"/>
              <w:right w:val="single" w:sz="4" w:space="0" w:color="auto"/>
            </w:tcBorders>
            <w:hideMark/>
          </w:tcPr>
          <w:p w14:paraId="67D9EDD0"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c>
          <w:tcPr>
            <w:tcW w:w="1161" w:type="dxa"/>
            <w:gridSpan w:val="2"/>
            <w:tcBorders>
              <w:top w:val="single" w:sz="4" w:space="0" w:color="auto"/>
              <w:left w:val="single" w:sz="4" w:space="0" w:color="auto"/>
              <w:bottom w:val="single" w:sz="4" w:space="0" w:color="auto"/>
              <w:right w:val="single" w:sz="4" w:space="0" w:color="auto"/>
            </w:tcBorders>
            <w:hideMark/>
          </w:tcPr>
          <w:p w14:paraId="2E853E06"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Cs/>
                <w:sz w:val="24"/>
                <w:szCs w:val="24"/>
                <w:lang w:eastAsia="bg-BG"/>
              </w:rPr>
              <w:t>0</w:t>
            </w:r>
          </w:p>
        </w:tc>
      </w:tr>
    </w:tbl>
    <w:p w14:paraId="1DB7049B" w14:textId="77777777" w:rsidR="00E903FC" w:rsidRPr="00E903FC" w:rsidRDefault="00E903FC" w:rsidP="00E903FC">
      <w:pPr>
        <w:spacing w:after="0" w:line="240" w:lineRule="auto"/>
        <w:ind w:firstLine="709"/>
        <w:jc w:val="both"/>
        <w:rPr>
          <w:rFonts w:ascii="Times New Roman" w:eastAsia="Times New Roman" w:hAnsi="Times New Roman" w:cs="Times New Roman"/>
          <w:color w:val="000000"/>
          <w:sz w:val="24"/>
          <w:szCs w:val="24"/>
          <w:lang w:eastAsia="bg-BG"/>
        </w:rPr>
      </w:pP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1417"/>
        <w:gridCol w:w="1277"/>
        <w:gridCol w:w="852"/>
        <w:gridCol w:w="1428"/>
        <w:gridCol w:w="1186"/>
        <w:gridCol w:w="1186"/>
        <w:gridCol w:w="1162"/>
      </w:tblGrid>
      <w:tr w:rsidR="00E903FC" w:rsidRPr="00E903FC" w14:paraId="3FC09781" w14:textId="77777777" w:rsidTr="00E903FC">
        <w:trPr>
          <w:trHeight w:val="77"/>
        </w:trPr>
        <w:tc>
          <w:tcPr>
            <w:tcW w:w="949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138812F"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r w:rsidRPr="00E903FC">
              <w:rPr>
                <w:rFonts w:ascii="Times New Roman" w:eastAsia="Times New Roman" w:hAnsi="Times New Roman" w:cs="Times New Roman"/>
                <w:b/>
                <w:bCs/>
                <w:sz w:val="24"/>
                <w:szCs w:val="24"/>
                <w:lang w:eastAsia="bg-BG"/>
              </w:rPr>
              <w:t xml:space="preserve">ДОСЪДЕБНИ ПРОИЗВОДСТВА ЗА ДОМАШНО НАСИЛИЕ </w:t>
            </w:r>
          </w:p>
        </w:tc>
      </w:tr>
      <w:tr w:rsidR="00E903FC" w:rsidRPr="00E903FC" w14:paraId="58F7DEDA" w14:textId="77777777" w:rsidTr="00E903FC">
        <w:trPr>
          <w:trHeight w:val="77"/>
        </w:trPr>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8108E0" w14:textId="77777777" w:rsidR="00E903FC" w:rsidRPr="00E903FC" w:rsidRDefault="00E903FC" w:rsidP="00E903FC">
            <w:pPr>
              <w:spacing w:after="0" w:line="240" w:lineRule="auto"/>
              <w:jc w:val="center"/>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2022 г</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3E717D"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40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948268"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26</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5B99E3" w14:textId="77777777" w:rsidR="00E903FC" w:rsidRPr="00E903FC" w:rsidRDefault="00E903FC" w:rsidP="00E903FC">
            <w:pPr>
              <w:spacing w:after="0" w:line="240" w:lineRule="auto"/>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28</w:t>
            </w:r>
          </w:p>
        </w:tc>
        <w:tc>
          <w:tcPr>
            <w:tcW w:w="1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2B6598"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9</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E540AD"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9</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EF921" w14:textId="77777777" w:rsidR="00E903FC" w:rsidRPr="00E903FC" w:rsidRDefault="00E903FC" w:rsidP="00E903FC">
            <w:pPr>
              <w:spacing w:after="0" w:line="240" w:lineRule="auto"/>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 xml:space="preserve">         11</w:t>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81705" w14:textId="77777777" w:rsidR="00E903FC" w:rsidRPr="00E903FC" w:rsidRDefault="00E903FC" w:rsidP="00E903FC">
            <w:pPr>
              <w:spacing w:after="0" w:line="240" w:lineRule="auto"/>
              <w:ind w:firstLine="709"/>
              <w:jc w:val="right"/>
              <w:rPr>
                <w:rFonts w:ascii="Times New Roman" w:eastAsia="Times New Roman" w:hAnsi="Times New Roman" w:cs="Times New Roman"/>
                <w:b/>
                <w:bCs/>
                <w:sz w:val="28"/>
                <w:szCs w:val="28"/>
                <w:lang w:eastAsia="bg-BG"/>
              </w:rPr>
            </w:pPr>
            <w:r w:rsidRPr="00E903FC">
              <w:rPr>
                <w:rFonts w:ascii="Times New Roman" w:eastAsia="Times New Roman" w:hAnsi="Times New Roman" w:cs="Times New Roman"/>
                <w:b/>
                <w:bCs/>
                <w:sz w:val="28"/>
                <w:szCs w:val="28"/>
                <w:lang w:eastAsia="bg-BG"/>
              </w:rPr>
              <w:t>0</w:t>
            </w:r>
          </w:p>
        </w:tc>
      </w:tr>
      <w:tr w:rsidR="00E903FC" w:rsidRPr="00E903FC" w14:paraId="5B5FF025" w14:textId="77777777" w:rsidTr="00E903FC">
        <w:trPr>
          <w:trHeight w:val="77"/>
        </w:trPr>
        <w:tc>
          <w:tcPr>
            <w:tcW w:w="996" w:type="dxa"/>
            <w:tcBorders>
              <w:top w:val="single" w:sz="4" w:space="0" w:color="auto"/>
              <w:left w:val="single" w:sz="4" w:space="0" w:color="auto"/>
              <w:bottom w:val="single" w:sz="4" w:space="0" w:color="auto"/>
              <w:right w:val="single" w:sz="4" w:space="0" w:color="auto"/>
            </w:tcBorders>
          </w:tcPr>
          <w:p w14:paraId="382D2856" w14:textId="77777777" w:rsidR="00E903FC" w:rsidRPr="00E903FC" w:rsidRDefault="00E903FC" w:rsidP="00E903FC">
            <w:pPr>
              <w:spacing w:after="0" w:line="240" w:lineRule="auto"/>
              <w:rPr>
                <w:rFonts w:ascii="Times New Roman" w:eastAsia="Times New Roman" w:hAnsi="Times New Roman" w:cs="Times New Roman"/>
                <w:bCs/>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14:paraId="37714E99"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p>
        </w:tc>
        <w:tc>
          <w:tcPr>
            <w:tcW w:w="1276" w:type="dxa"/>
            <w:tcBorders>
              <w:top w:val="single" w:sz="4" w:space="0" w:color="auto"/>
              <w:left w:val="single" w:sz="4" w:space="0" w:color="auto"/>
              <w:bottom w:val="single" w:sz="4" w:space="0" w:color="auto"/>
              <w:right w:val="single" w:sz="4" w:space="0" w:color="auto"/>
            </w:tcBorders>
          </w:tcPr>
          <w:p w14:paraId="10E117E1"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p>
        </w:tc>
        <w:tc>
          <w:tcPr>
            <w:tcW w:w="851" w:type="dxa"/>
            <w:tcBorders>
              <w:top w:val="single" w:sz="4" w:space="0" w:color="auto"/>
              <w:left w:val="single" w:sz="4" w:space="0" w:color="auto"/>
              <w:bottom w:val="single" w:sz="4" w:space="0" w:color="auto"/>
              <w:right w:val="single" w:sz="4" w:space="0" w:color="auto"/>
            </w:tcBorders>
          </w:tcPr>
          <w:p w14:paraId="265DD37A" w14:textId="77777777" w:rsidR="00E903FC" w:rsidRPr="00E903FC" w:rsidRDefault="00E903FC" w:rsidP="00E903FC">
            <w:pPr>
              <w:spacing w:after="0" w:line="240" w:lineRule="auto"/>
              <w:jc w:val="right"/>
              <w:rPr>
                <w:rFonts w:ascii="Times New Roman" w:eastAsia="Times New Roman" w:hAnsi="Times New Roman" w:cs="Times New Roman"/>
                <w:bCs/>
                <w:sz w:val="24"/>
                <w:szCs w:val="24"/>
                <w:lang w:eastAsia="bg-BG"/>
              </w:rPr>
            </w:pPr>
          </w:p>
        </w:tc>
        <w:tc>
          <w:tcPr>
            <w:tcW w:w="1427" w:type="dxa"/>
            <w:tcBorders>
              <w:top w:val="single" w:sz="4" w:space="0" w:color="auto"/>
              <w:left w:val="single" w:sz="4" w:space="0" w:color="auto"/>
              <w:bottom w:val="single" w:sz="4" w:space="0" w:color="auto"/>
              <w:right w:val="single" w:sz="4" w:space="0" w:color="auto"/>
            </w:tcBorders>
          </w:tcPr>
          <w:p w14:paraId="7886C6C2"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p>
        </w:tc>
        <w:tc>
          <w:tcPr>
            <w:tcW w:w="1185" w:type="dxa"/>
            <w:tcBorders>
              <w:top w:val="single" w:sz="4" w:space="0" w:color="auto"/>
              <w:left w:val="single" w:sz="4" w:space="0" w:color="auto"/>
              <w:bottom w:val="single" w:sz="4" w:space="0" w:color="auto"/>
              <w:right w:val="single" w:sz="4" w:space="0" w:color="auto"/>
            </w:tcBorders>
          </w:tcPr>
          <w:p w14:paraId="6583FFB4"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p>
        </w:tc>
        <w:tc>
          <w:tcPr>
            <w:tcW w:w="1185" w:type="dxa"/>
            <w:tcBorders>
              <w:top w:val="single" w:sz="4" w:space="0" w:color="auto"/>
              <w:left w:val="single" w:sz="4" w:space="0" w:color="auto"/>
              <w:bottom w:val="single" w:sz="4" w:space="0" w:color="auto"/>
              <w:right w:val="single" w:sz="4" w:space="0" w:color="auto"/>
            </w:tcBorders>
          </w:tcPr>
          <w:p w14:paraId="13F586B8"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p>
        </w:tc>
        <w:tc>
          <w:tcPr>
            <w:tcW w:w="1161" w:type="dxa"/>
            <w:tcBorders>
              <w:top w:val="single" w:sz="4" w:space="0" w:color="auto"/>
              <w:left w:val="single" w:sz="4" w:space="0" w:color="auto"/>
              <w:bottom w:val="single" w:sz="4" w:space="0" w:color="auto"/>
              <w:right w:val="single" w:sz="4" w:space="0" w:color="auto"/>
            </w:tcBorders>
          </w:tcPr>
          <w:p w14:paraId="4D3DEAA7" w14:textId="77777777" w:rsidR="00E903FC" w:rsidRPr="00E903FC" w:rsidRDefault="00E903FC" w:rsidP="00E903FC">
            <w:pPr>
              <w:spacing w:after="0" w:line="240" w:lineRule="auto"/>
              <w:ind w:firstLine="709"/>
              <w:jc w:val="right"/>
              <w:rPr>
                <w:rFonts w:ascii="Times New Roman" w:eastAsia="Times New Roman" w:hAnsi="Times New Roman" w:cs="Times New Roman"/>
                <w:bCs/>
                <w:sz w:val="24"/>
                <w:szCs w:val="24"/>
                <w:lang w:eastAsia="bg-BG"/>
              </w:rPr>
            </w:pPr>
          </w:p>
        </w:tc>
      </w:tr>
    </w:tbl>
    <w:p w14:paraId="0A8C8F5D" w14:textId="77777777" w:rsidR="00E903FC" w:rsidRPr="00E903FC" w:rsidRDefault="00E903FC" w:rsidP="00E903FC">
      <w:pPr>
        <w:spacing w:after="0" w:line="240" w:lineRule="auto"/>
        <w:ind w:firstLine="709"/>
        <w:jc w:val="both"/>
        <w:rPr>
          <w:rFonts w:ascii="Times New Roman" w:eastAsia="Times New Roman" w:hAnsi="Times New Roman" w:cs="Times New Roman"/>
          <w:bCs/>
          <w:color w:val="000000"/>
          <w:sz w:val="28"/>
          <w:szCs w:val="28"/>
          <w:lang w:eastAsia="bg-BG"/>
        </w:rPr>
      </w:pPr>
    </w:p>
    <w:p w14:paraId="4D64A70B" w14:textId="77777777" w:rsidR="00E903FC" w:rsidRPr="00E903FC" w:rsidRDefault="00E903FC" w:rsidP="00E903FC">
      <w:pPr>
        <w:spacing w:after="0" w:line="240" w:lineRule="auto"/>
        <w:ind w:firstLine="709"/>
        <w:jc w:val="both"/>
        <w:rPr>
          <w:rFonts w:ascii="Times New Roman" w:eastAsia="Times New Roman" w:hAnsi="Times New Roman" w:cs="Times New Roman"/>
          <w:bCs/>
          <w:color w:val="000000"/>
          <w:sz w:val="28"/>
          <w:szCs w:val="28"/>
          <w:lang w:eastAsia="bg-BG"/>
        </w:rPr>
      </w:pPr>
      <w:r w:rsidRPr="00E903FC">
        <w:rPr>
          <w:rFonts w:ascii="Times New Roman" w:eastAsia="Times New Roman" w:hAnsi="Times New Roman" w:cs="Times New Roman"/>
          <w:bCs/>
          <w:color w:val="000000"/>
          <w:sz w:val="28"/>
          <w:szCs w:val="28"/>
          <w:lang w:eastAsia="bg-BG"/>
        </w:rPr>
        <w:t xml:space="preserve">Таблица, представяща </w:t>
      </w:r>
      <w:r w:rsidRPr="00E903FC">
        <w:rPr>
          <w:rFonts w:ascii="Times New Roman" w:eastAsia="Times New Roman" w:hAnsi="Times New Roman" w:cs="Times New Roman"/>
          <w:bCs/>
          <w:color w:val="000000"/>
          <w:sz w:val="28"/>
          <w:szCs w:val="28"/>
          <w:u w:val="single"/>
          <w:lang w:eastAsia="bg-BG"/>
        </w:rPr>
        <w:t>резултатността на разследването</w:t>
      </w:r>
      <w:r w:rsidRPr="00E903FC">
        <w:rPr>
          <w:rFonts w:ascii="Times New Roman" w:eastAsia="Times New Roman" w:hAnsi="Times New Roman" w:cs="Times New Roman"/>
          <w:bCs/>
          <w:color w:val="000000"/>
          <w:sz w:val="28"/>
          <w:szCs w:val="28"/>
          <w:lang w:eastAsia="bg-BG"/>
        </w:rPr>
        <w:t xml:space="preserve"> на всички престъпления и на някои категории тежки престъпления в процентни съотношения: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7"/>
        <w:gridCol w:w="4889"/>
      </w:tblGrid>
      <w:tr w:rsidR="00E903FC" w:rsidRPr="00E903FC" w14:paraId="4E87B054" w14:textId="77777777" w:rsidTr="00E903FC">
        <w:trPr>
          <w:trHeight w:val="1078"/>
        </w:trPr>
        <w:tc>
          <w:tcPr>
            <w:tcW w:w="4717" w:type="dxa"/>
            <w:tcBorders>
              <w:top w:val="single" w:sz="4" w:space="0" w:color="auto"/>
              <w:left w:val="single" w:sz="4" w:space="0" w:color="auto"/>
              <w:bottom w:val="single" w:sz="4" w:space="0" w:color="auto"/>
              <w:right w:val="single" w:sz="4" w:space="0" w:color="auto"/>
            </w:tcBorders>
            <w:hideMark/>
          </w:tcPr>
          <w:p w14:paraId="29693D0B" w14:textId="77777777" w:rsidR="00E903FC" w:rsidRPr="00E903FC" w:rsidRDefault="00E903FC" w:rsidP="00E903FC">
            <w:pPr>
              <w:spacing w:after="0" w:line="240" w:lineRule="auto"/>
              <w:rPr>
                <w:rFonts w:ascii="Times New Roman" w:eastAsia="Times New Roman" w:hAnsi="Times New Roman" w:cs="Times New Roman"/>
                <w:b/>
                <w:sz w:val="24"/>
                <w:szCs w:val="24"/>
                <w:lang w:eastAsia="bg-BG"/>
              </w:rPr>
            </w:pPr>
            <w:r w:rsidRPr="00E903FC">
              <w:rPr>
                <w:rFonts w:ascii="Times New Roman" w:eastAsia="Times New Roman" w:hAnsi="Times New Roman" w:cs="Times New Roman"/>
                <w:b/>
                <w:bCs/>
                <w:sz w:val="24"/>
                <w:szCs w:val="24"/>
                <w:lang w:eastAsia="bg-BG"/>
              </w:rPr>
              <w:t xml:space="preserve">Обща резултатност по преписки и дела, образувани за всички видове престъпления </w:t>
            </w:r>
            <w:r w:rsidRPr="00E903FC">
              <w:rPr>
                <w:rFonts w:ascii="Times New Roman" w:eastAsia="Times New Roman" w:hAnsi="Times New Roman" w:cs="Times New Roman"/>
                <w:b/>
                <w:sz w:val="24"/>
                <w:szCs w:val="24"/>
                <w:lang w:eastAsia="bg-BG"/>
              </w:rPr>
              <w:t xml:space="preserve">в </w:t>
            </w:r>
            <w:r w:rsidRPr="00E903FC">
              <w:rPr>
                <w:rFonts w:ascii="Times New Roman" w:eastAsia="Times New Roman" w:hAnsi="Times New Roman" w:cs="Times New Roman"/>
                <w:b/>
                <w:bCs/>
                <w:sz w:val="24"/>
                <w:szCs w:val="24"/>
                <w:lang w:eastAsia="bg-BG"/>
              </w:rPr>
              <w:t>%</w:t>
            </w:r>
          </w:p>
        </w:tc>
        <w:tc>
          <w:tcPr>
            <w:tcW w:w="488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557A5FD" w14:textId="77777777" w:rsidR="00E903FC" w:rsidRPr="00E903FC" w:rsidRDefault="00E903FC" w:rsidP="00E903FC">
            <w:pPr>
              <w:spacing w:after="0" w:line="240" w:lineRule="auto"/>
              <w:rPr>
                <w:rFonts w:ascii="Times New Roman" w:eastAsia="Times New Roman" w:hAnsi="Times New Roman" w:cs="Times New Roman"/>
                <w:b/>
                <w:color w:val="FF0000"/>
                <w:sz w:val="24"/>
                <w:szCs w:val="24"/>
                <w:lang w:eastAsia="bg-BG"/>
              </w:rPr>
            </w:pPr>
            <w:r w:rsidRPr="00E903FC">
              <w:rPr>
                <w:rFonts w:ascii="Times New Roman" w:eastAsia="Times New Roman" w:hAnsi="Times New Roman" w:cs="Times New Roman"/>
                <w:b/>
                <w:bCs/>
                <w:sz w:val="24"/>
                <w:szCs w:val="24"/>
                <w:lang w:eastAsia="bg-BG"/>
              </w:rPr>
              <w:t>Резултатност по ДП, образувани за престъпления, свързани с</w:t>
            </w:r>
            <w:r w:rsidRPr="00E903FC">
              <w:rPr>
                <w:rFonts w:ascii="Times New Roman" w:eastAsia="Times New Roman" w:hAnsi="Times New Roman" w:cs="Times New Roman"/>
                <w:b/>
                <w:bCs/>
                <w:iCs/>
                <w:sz w:val="24"/>
                <w:szCs w:val="24"/>
                <w:lang w:eastAsia="bg-BG"/>
              </w:rPr>
              <w:t xml:space="preserve"> корупция, престъпления, засягащи финансовите интереси на ЕС, изпиране на пари, данъчни и други финансови престъпления, незаконен трафик на хора и наркотици и др. в </w:t>
            </w:r>
            <w:r w:rsidRPr="00E903FC">
              <w:rPr>
                <w:rFonts w:ascii="Times New Roman" w:eastAsia="Times New Roman" w:hAnsi="Times New Roman" w:cs="Times New Roman"/>
                <w:b/>
                <w:bCs/>
                <w:sz w:val="24"/>
                <w:szCs w:val="24"/>
                <w:lang w:eastAsia="bg-BG"/>
              </w:rPr>
              <w:t>%</w:t>
            </w:r>
          </w:p>
        </w:tc>
      </w:tr>
      <w:tr w:rsidR="00E903FC" w:rsidRPr="00E903FC" w14:paraId="47C67CAD" w14:textId="77777777" w:rsidTr="00E903FC">
        <w:trPr>
          <w:trHeight w:val="387"/>
        </w:trPr>
        <w:tc>
          <w:tcPr>
            <w:tcW w:w="4717" w:type="dxa"/>
            <w:tcBorders>
              <w:top w:val="single" w:sz="4" w:space="0" w:color="auto"/>
              <w:left w:val="single" w:sz="4" w:space="0" w:color="auto"/>
              <w:bottom w:val="single" w:sz="4" w:space="0" w:color="auto"/>
              <w:right w:val="single" w:sz="4" w:space="0" w:color="auto"/>
            </w:tcBorders>
            <w:hideMark/>
          </w:tcPr>
          <w:p w14:paraId="4684630D" w14:textId="77777777" w:rsidR="00E903FC" w:rsidRPr="00E903FC" w:rsidRDefault="00E903FC" w:rsidP="00E903FC">
            <w:pPr>
              <w:spacing w:after="0" w:line="240" w:lineRule="auto"/>
              <w:rPr>
                <w:rFonts w:ascii="Times New Roman" w:eastAsia="Times New Roman" w:hAnsi="Times New Roman" w:cs="Times New Roman"/>
                <w:sz w:val="24"/>
                <w:szCs w:val="24"/>
                <w:lang w:eastAsia="bg-BG"/>
              </w:rPr>
            </w:pPr>
            <w:r w:rsidRPr="00E903FC">
              <w:rPr>
                <w:rFonts w:ascii="Times New Roman" w:eastAsia="Times New Roman" w:hAnsi="Times New Roman" w:cs="Times New Roman"/>
                <w:b/>
                <w:sz w:val="24"/>
                <w:szCs w:val="24"/>
                <w:lang w:eastAsia="bg-BG"/>
              </w:rPr>
              <w:t>Решени преписки</w:t>
            </w:r>
            <w:r w:rsidRPr="00E903FC">
              <w:rPr>
                <w:rFonts w:ascii="Times New Roman" w:eastAsia="Times New Roman" w:hAnsi="Times New Roman" w:cs="Times New Roman"/>
                <w:sz w:val="24"/>
                <w:szCs w:val="24"/>
                <w:lang w:eastAsia="bg-BG"/>
              </w:rPr>
              <w:t xml:space="preserve"> от наблюдаваните – </w:t>
            </w:r>
            <w:r w:rsidRPr="00E903FC">
              <w:rPr>
                <w:rFonts w:ascii="Times New Roman" w:eastAsia="Times New Roman" w:hAnsi="Times New Roman" w:cs="Times New Roman"/>
                <w:b/>
                <w:sz w:val="28"/>
                <w:szCs w:val="28"/>
                <w:lang w:eastAsia="bg-BG"/>
              </w:rPr>
              <w:t>93%</w:t>
            </w:r>
            <w:r w:rsidRPr="00E903FC">
              <w:rPr>
                <w:rFonts w:ascii="Times New Roman" w:eastAsia="Times New Roman" w:hAnsi="Times New Roman" w:cs="Times New Roman"/>
                <w:sz w:val="24"/>
                <w:szCs w:val="24"/>
                <w:lang w:eastAsia="bg-BG"/>
              </w:rPr>
              <w:t xml:space="preserve"> (96,1% за 2021 г. и 95,3% за 2020 г.) </w:t>
            </w:r>
          </w:p>
        </w:tc>
        <w:tc>
          <w:tcPr>
            <w:tcW w:w="488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FD8D013" w14:textId="77777777" w:rsidR="00E903FC" w:rsidRPr="00E903FC" w:rsidRDefault="00E903FC" w:rsidP="00E903FC">
            <w:pPr>
              <w:spacing w:after="0" w:line="240" w:lineRule="auto"/>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 xml:space="preserve">Новообразуваните ДП за тези престъпления са </w:t>
            </w:r>
            <w:r w:rsidRPr="00E903FC">
              <w:rPr>
                <w:rFonts w:ascii="Times New Roman" w:eastAsia="Times New Roman" w:hAnsi="Times New Roman" w:cs="Times New Roman"/>
                <w:b/>
                <w:sz w:val="28"/>
                <w:szCs w:val="28"/>
                <w:lang w:eastAsia="bg-BG"/>
              </w:rPr>
              <w:t xml:space="preserve">10,8% </w:t>
            </w:r>
            <w:r w:rsidRPr="00E903FC">
              <w:rPr>
                <w:rFonts w:ascii="Times New Roman" w:eastAsia="Times New Roman" w:hAnsi="Times New Roman" w:cs="Times New Roman"/>
                <w:sz w:val="24"/>
                <w:szCs w:val="24"/>
                <w:lang w:eastAsia="bg-BG"/>
              </w:rPr>
              <w:t xml:space="preserve">от общо новообразуваните </w:t>
            </w:r>
          </w:p>
          <w:p w14:paraId="1BB34764" w14:textId="77777777" w:rsidR="00E903FC" w:rsidRPr="00E903FC" w:rsidRDefault="00E903FC" w:rsidP="00E903FC">
            <w:pPr>
              <w:spacing w:after="0" w:line="240" w:lineRule="auto"/>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(11,7% за 2020 г. и</w:t>
            </w:r>
            <w:r w:rsidRPr="00E903FC">
              <w:rPr>
                <w:rFonts w:ascii="Times New Roman" w:eastAsia="Times New Roman" w:hAnsi="Times New Roman" w:cs="Times New Roman"/>
                <w:b/>
                <w:sz w:val="28"/>
                <w:szCs w:val="28"/>
                <w:lang w:eastAsia="bg-BG"/>
              </w:rPr>
              <w:t xml:space="preserve"> </w:t>
            </w:r>
            <w:r w:rsidRPr="00E903FC">
              <w:rPr>
                <w:rFonts w:ascii="Times New Roman" w:eastAsia="Times New Roman" w:hAnsi="Times New Roman" w:cs="Times New Roman"/>
                <w:sz w:val="24"/>
                <w:szCs w:val="24"/>
                <w:lang w:eastAsia="bg-BG"/>
              </w:rPr>
              <w:t xml:space="preserve">10,63% за 2020 г.) </w:t>
            </w:r>
          </w:p>
        </w:tc>
      </w:tr>
      <w:tr w:rsidR="00E903FC" w:rsidRPr="00E903FC" w14:paraId="7F3C66B0" w14:textId="77777777" w:rsidTr="00E903FC">
        <w:trPr>
          <w:trHeight w:val="248"/>
        </w:trPr>
        <w:tc>
          <w:tcPr>
            <w:tcW w:w="4717" w:type="dxa"/>
            <w:tcBorders>
              <w:top w:val="single" w:sz="4" w:space="0" w:color="auto"/>
              <w:left w:val="single" w:sz="4" w:space="0" w:color="auto"/>
              <w:bottom w:val="single" w:sz="4" w:space="0" w:color="auto"/>
              <w:right w:val="single" w:sz="4" w:space="0" w:color="auto"/>
            </w:tcBorders>
            <w:hideMark/>
          </w:tcPr>
          <w:p w14:paraId="24A9DF47" w14:textId="77777777" w:rsidR="00E903FC" w:rsidRPr="00E903FC" w:rsidRDefault="00E903FC" w:rsidP="00E903FC">
            <w:pPr>
              <w:spacing w:after="0" w:line="240" w:lineRule="auto"/>
              <w:rPr>
                <w:rFonts w:ascii="Times New Roman" w:eastAsia="Times New Roman" w:hAnsi="Times New Roman" w:cs="Times New Roman"/>
                <w:sz w:val="24"/>
                <w:szCs w:val="24"/>
                <w:lang w:eastAsia="bg-BG"/>
              </w:rPr>
            </w:pPr>
            <w:r w:rsidRPr="00E903FC">
              <w:rPr>
                <w:rFonts w:ascii="Times New Roman" w:eastAsia="Times New Roman" w:hAnsi="Times New Roman" w:cs="Times New Roman"/>
                <w:b/>
                <w:sz w:val="24"/>
                <w:szCs w:val="24"/>
                <w:lang w:eastAsia="bg-BG"/>
              </w:rPr>
              <w:t>Приключени</w:t>
            </w:r>
            <w:r w:rsidRPr="00E903FC">
              <w:rPr>
                <w:rFonts w:ascii="Times New Roman" w:eastAsia="Times New Roman" w:hAnsi="Times New Roman" w:cs="Times New Roman"/>
                <w:sz w:val="24"/>
                <w:szCs w:val="24"/>
                <w:lang w:eastAsia="bg-BG"/>
              </w:rPr>
              <w:t xml:space="preserve"> от наблюдаваните ДП – </w:t>
            </w:r>
            <w:r w:rsidRPr="00E903FC">
              <w:rPr>
                <w:rFonts w:ascii="Times New Roman" w:eastAsia="Times New Roman" w:hAnsi="Times New Roman" w:cs="Times New Roman"/>
                <w:b/>
                <w:sz w:val="28"/>
                <w:szCs w:val="28"/>
                <w:lang w:eastAsia="bg-BG"/>
              </w:rPr>
              <w:t>45%</w:t>
            </w:r>
            <w:r w:rsidRPr="00E903FC">
              <w:rPr>
                <w:rFonts w:ascii="Times New Roman" w:eastAsia="Times New Roman" w:hAnsi="Times New Roman" w:cs="Times New Roman"/>
                <w:sz w:val="24"/>
                <w:szCs w:val="24"/>
                <w:lang w:eastAsia="bg-BG"/>
              </w:rPr>
              <w:t xml:space="preserve"> (47% за 2021 г. и 50,6%  за 2020 г.)</w:t>
            </w:r>
          </w:p>
        </w:tc>
        <w:tc>
          <w:tcPr>
            <w:tcW w:w="488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3E765E2" w14:textId="77777777" w:rsidR="00E903FC" w:rsidRPr="00E903FC" w:rsidRDefault="00E903FC" w:rsidP="00E903FC">
            <w:pPr>
              <w:spacing w:after="0" w:line="240" w:lineRule="auto"/>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 xml:space="preserve">Приключени от общо наблюдаваните ДП – </w:t>
            </w:r>
            <w:r w:rsidRPr="00E903FC">
              <w:rPr>
                <w:rFonts w:ascii="Times New Roman" w:eastAsia="Times New Roman" w:hAnsi="Times New Roman" w:cs="Times New Roman"/>
                <w:b/>
                <w:sz w:val="28"/>
                <w:szCs w:val="28"/>
                <w:lang w:eastAsia="bg-BG"/>
              </w:rPr>
              <w:t>4%</w:t>
            </w:r>
            <w:r w:rsidRPr="00E903FC">
              <w:rPr>
                <w:rFonts w:ascii="Times New Roman" w:eastAsia="Times New Roman" w:hAnsi="Times New Roman" w:cs="Times New Roman"/>
                <w:sz w:val="24"/>
                <w:szCs w:val="24"/>
                <w:lang w:eastAsia="bg-BG"/>
              </w:rPr>
              <w:t xml:space="preserve"> (5,9% за 2021 г. и 5,9%</w:t>
            </w:r>
            <w:r w:rsidRPr="00E903FC">
              <w:rPr>
                <w:rFonts w:ascii="Times New Roman" w:eastAsia="Times New Roman" w:hAnsi="Times New Roman" w:cs="Times New Roman"/>
                <w:b/>
                <w:sz w:val="24"/>
                <w:szCs w:val="24"/>
                <w:lang w:eastAsia="bg-BG"/>
              </w:rPr>
              <w:t xml:space="preserve"> з</w:t>
            </w:r>
            <w:r w:rsidRPr="00E903FC">
              <w:rPr>
                <w:rFonts w:ascii="Times New Roman" w:eastAsia="Times New Roman" w:hAnsi="Times New Roman" w:cs="Times New Roman"/>
                <w:sz w:val="24"/>
                <w:szCs w:val="24"/>
                <w:lang w:eastAsia="bg-BG"/>
              </w:rPr>
              <w:t>а 2020 г.)</w:t>
            </w:r>
          </w:p>
        </w:tc>
      </w:tr>
      <w:tr w:rsidR="00E903FC" w:rsidRPr="00E903FC" w14:paraId="6C092A39" w14:textId="77777777" w:rsidTr="00E903FC">
        <w:trPr>
          <w:trHeight w:val="248"/>
        </w:trPr>
        <w:tc>
          <w:tcPr>
            <w:tcW w:w="4717" w:type="dxa"/>
            <w:tcBorders>
              <w:top w:val="single" w:sz="4" w:space="0" w:color="auto"/>
              <w:left w:val="single" w:sz="4" w:space="0" w:color="auto"/>
              <w:bottom w:val="single" w:sz="4" w:space="0" w:color="auto"/>
              <w:right w:val="single" w:sz="4" w:space="0" w:color="auto"/>
            </w:tcBorders>
            <w:hideMark/>
          </w:tcPr>
          <w:p w14:paraId="4B3C7B1A" w14:textId="77777777" w:rsidR="00E903FC" w:rsidRPr="00E903FC" w:rsidRDefault="00E903FC" w:rsidP="00E903FC">
            <w:pPr>
              <w:spacing w:after="0" w:line="240" w:lineRule="auto"/>
              <w:rPr>
                <w:rFonts w:ascii="Times New Roman" w:eastAsia="Times New Roman" w:hAnsi="Times New Roman" w:cs="Times New Roman"/>
                <w:sz w:val="24"/>
                <w:szCs w:val="24"/>
                <w:lang w:eastAsia="bg-BG"/>
              </w:rPr>
            </w:pPr>
            <w:r w:rsidRPr="00E903FC">
              <w:rPr>
                <w:rFonts w:ascii="Times New Roman" w:eastAsia="Times New Roman" w:hAnsi="Times New Roman" w:cs="Times New Roman"/>
                <w:b/>
                <w:sz w:val="24"/>
                <w:szCs w:val="24"/>
                <w:lang w:eastAsia="bg-BG"/>
              </w:rPr>
              <w:t>Решени ДП</w:t>
            </w:r>
            <w:r w:rsidRPr="00E903FC">
              <w:rPr>
                <w:rFonts w:ascii="Times New Roman" w:eastAsia="Times New Roman" w:hAnsi="Times New Roman" w:cs="Times New Roman"/>
                <w:sz w:val="24"/>
                <w:szCs w:val="24"/>
                <w:lang w:eastAsia="bg-BG"/>
              </w:rPr>
              <w:t xml:space="preserve"> от общо наблюдаваните – </w:t>
            </w:r>
            <w:r w:rsidRPr="00E903FC">
              <w:rPr>
                <w:rFonts w:ascii="Times New Roman" w:eastAsia="Times New Roman" w:hAnsi="Times New Roman" w:cs="Times New Roman"/>
                <w:b/>
                <w:sz w:val="28"/>
                <w:szCs w:val="28"/>
                <w:lang w:eastAsia="bg-BG"/>
              </w:rPr>
              <w:t>73%</w:t>
            </w:r>
            <w:r w:rsidRPr="00E903FC">
              <w:rPr>
                <w:rFonts w:ascii="Times New Roman" w:eastAsia="Times New Roman" w:hAnsi="Times New Roman" w:cs="Times New Roman"/>
                <w:sz w:val="24"/>
                <w:szCs w:val="24"/>
                <w:lang w:eastAsia="bg-BG"/>
              </w:rPr>
              <w:t xml:space="preserve"> (47,5% за 2021 г. и 61,5% за 2020 г.)</w:t>
            </w:r>
          </w:p>
        </w:tc>
        <w:tc>
          <w:tcPr>
            <w:tcW w:w="488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A4B7660" w14:textId="77777777" w:rsidR="00E903FC" w:rsidRPr="00E903FC" w:rsidRDefault="00E903FC" w:rsidP="00E903FC">
            <w:pPr>
              <w:spacing w:after="0" w:line="240" w:lineRule="auto"/>
              <w:rPr>
                <w:rFonts w:ascii="Times New Roman" w:eastAsia="Times New Roman" w:hAnsi="Times New Roman" w:cs="Times New Roman"/>
                <w:b/>
                <w:sz w:val="24"/>
                <w:szCs w:val="24"/>
                <w:lang w:eastAsia="bg-BG"/>
              </w:rPr>
            </w:pPr>
            <w:r w:rsidRPr="00E903FC">
              <w:rPr>
                <w:rFonts w:ascii="Times New Roman" w:eastAsia="Times New Roman" w:hAnsi="Times New Roman" w:cs="Times New Roman"/>
                <w:sz w:val="24"/>
                <w:szCs w:val="24"/>
                <w:lang w:eastAsia="bg-BG"/>
              </w:rPr>
              <w:t xml:space="preserve">Решени дела от всички наблюдавани – </w:t>
            </w:r>
            <w:r w:rsidRPr="00E903FC">
              <w:rPr>
                <w:rFonts w:ascii="Times New Roman" w:eastAsia="Times New Roman" w:hAnsi="Times New Roman" w:cs="Times New Roman"/>
                <w:b/>
                <w:sz w:val="28"/>
                <w:szCs w:val="28"/>
                <w:lang w:eastAsia="bg-BG"/>
              </w:rPr>
              <w:t>4%</w:t>
            </w:r>
            <w:r w:rsidRPr="00E903FC">
              <w:rPr>
                <w:rFonts w:ascii="Times New Roman" w:eastAsia="Times New Roman" w:hAnsi="Times New Roman" w:cs="Times New Roman"/>
                <w:sz w:val="24"/>
                <w:szCs w:val="24"/>
                <w:lang w:eastAsia="bg-BG"/>
              </w:rPr>
              <w:t xml:space="preserve"> (6% за 2021 г. и 6,26% за 2020 г.)</w:t>
            </w:r>
          </w:p>
        </w:tc>
      </w:tr>
      <w:tr w:rsidR="00E903FC" w:rsidRPr="00E903FC" w14:paraId="52C67304" w14:textId="77777777" w:rsidTr="00E903FC">
        <w:trPr>
          <w:trHeight w:val="387"/>
        </w:trPr>
        <w:tc>
          <w:tcPr>
            <w:tcW w:w="4717" w:type="dxa"/>
            <w:tcBorders>
              <w:top w:val="single" w:sz="4" w:space="0" w:color="auto"/>
              <w:left w:val="single" w:sz="4" w:space="0" w:color="auto"/>
              <w:bottom w:val="single" w:sz="4" w:space="0" w:color="auto"/>
              <w:right w:val="single" w:sz="4" w:space="0" w:color="auto"/>
            </w:tcBorders>
            <w:hideMark/>
          </w:tcPr>
          <w:p w14:paraId="36A5B562" w14:textId="77777777" w:rsidR="00E903FC" w:rsidRPr="00E903FC" w:rsidRDefault="00E903FC" w:rsidP="00E903FC">
            <w:pPr>
              <w:spacing w:after="0" w:line="240" w:lineRule="auto"/>
              <w:rPr>
                <w:rFonts w:ascii="Times New Roman" w:eastAsia="Times New Roman" w:hAnsi="Times New Roman" w:cs="Times New Roman"/>
                <w:sz w:val="24"/>
                <w:szCs w:val="24"/>
                <w:lang w:eastAsia="bg-BG"/>
              </w:rPr>
            </w:pPr>
            <w:r w:rsidRPr="00E903FC">
              <w:rPr>
                <w:rFonts w:ascii="Times New Roman" w:eastAsia="Times New Roman" w:hAnsi="Times New Roman" w:cs="Times New Roman"/>
                <w:b/>
                <w:sz w:val="24"/>
                <w:szCs w:val="24"/>
                <w:lang w:eastAsia="bg-BG"/>
              </w:rPr>
              <w:t>Прокурорски актове, внесени в съда</w:t>
            </w:r>
            <w:r w:rsidRPr="00E903FC">
              <w:rPr>
                <w:rFonts w:ascii="Times New Roman" w:eastAsia="Times New Roman" w:hAnsi="Times New Roman" w:cs="Times New Roman"/>
                <w:sz w:val="24"/>
                <w:szCs w:val="24"/>
                <w:lang w:eastAsia="bg-BG"/>
              </w:rPr>
              <w:t xml:space="preserve">, спрямо решените ДП – </w:t>
            </w:r>
            <w:r w:rsidRPr="00E903FC">
              <w:rPr>
                <w:rFonts w:ascii="Times New Roman" w:eastAsia="Times New Roman" w:hAnsi="Times New Roman" w:cs="Times New Roman"/>
                <w:b/>
                <w:sz w:val="28"/>
                <w:szCs w:val="28"/>
                <w:lang w:eastAsia="bg-BG"/>
              </w:rPr>
              <w:t>20,3%</w:t>
            </w:r>
            <w:r w:rsidRPr="00E903FC">
              <w:rPr>
                <w:rFonts w:ascii="Times New Roman" w:eastAsia="Times New Roman" w:hAnsi="Times New Roman" w:cs="Times New Roman"/>
                <w:sz w:val="24"/>
                <w:szCs w:val="24"/>
                <w:lang w:eastAsia="bg-BG"/>
              </w:rPr>
              <w:t xml:space="preserve"> (30,5% за 2021 г. и 28,07% за 2020 г.)</w:t>
            </w:r>
          </w:p>
        </w:tc>
        <w:tc>
          <w:tcPr>
            <w:tcW w:w="488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E2C4101" w14:textId="77777777" w:rsidR="00E903FC" w:rsidRPr="00E903FC" w:rsidRDefault="00E903FC" w:rsidP="00E903FC">
            <w:pPr>
              <w:spacing w:after="0" w:line="240" w:lineRule="auto"/>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 xml:space="preserve">Прокурорски актове, внесени в съда, спрямо всички решени ДП </w:t>
            </w:r>
            <w:r w:rsidRPr="00E903FC">
              <w:rPr>
                <w:rFonts w:ascii="Times New Roman" w:eastAsia="Times New Roman" w:hAnsi="Times New Roman" w:cs="Times New Roman"/>
                <w:b/>
                <w:sz w:val="24"/>
                <w:szCs w:val="24"/>
                <w:lang w:eastAsia="bg-BG"/>
              </w:rPr>
              <w:t xml:space="preserve">– </w:t>
            </w:r>
            <w:r w:rsidRPr="00E903FC">
              <w:rPr>
                <w:rFonts w:ascii="Times New Roman" w:eastAsia="Times New Roman" w:hAnsi="Times New Roman" w:cs="Times New Roman"/>
                <w:b/>
                <w:sz w:val="28"/>
                <w:szCs w:val="28"/>
                <w:lang w:eastAsia="bg-BG"/>
              </w:rPr>
              <w:t>2,66%</w:t>
            </w:r>
            <w:r w:rsidRPr="00E903FC">
              <w:rPr>
                <w:rFonts w:ascii="Times New Roman" w:eastAsia="Times New Roman" w:hAnsi="Times New Roman" w:cs="Times New Roman"/>
                <w:b/>
                <w:sz w:val="24"/>
                <w:szCs w:val="24"/>
                <w:lang w:eastAsia="bg-BG"/>
              </w:rPr>
              <w:t xml:space="preserve"> </w:t>
            </w:r>
            <w:r w:rsidRPr="00E903FC">
              <w:rPr>
                <w:rFonts w:ascii="Times New Roman" w:eastAsia="Times New Roman" w:hAnsi="Times New Roman" w:cs="Times New Roman"/>
                <w:sz w:val="24"/>
                <w:szCs w:val="24"/>
                <w:lang w:eastAsia="bg-BG"/>
              </w:rPr>
              <w:t>(4,54%</w:t>
            </w:r>
            <w:r w:rsidRPr="00E903FC">
              <w:rPr>
                <w:rFonts w:ascii="Times New Roman" w:eastAsia="Times New Roman" w:hAnsi="Times New Roman" w:cs="Times New Roman"/>
                <w:b/>
                <w:sz w:val="24"/>
                <w:szCs w:val="24"/>
                <w:lang w:eastAsia="bg-BG"/>
              </w:rPr>
              <w:t xml:space="preserve"> </w:t>
            </w:r>
            <w:r w:rsidRPr="00E903FC">
              <w:rPr>
                <w:rFonts w:ascii="Times New Roman" w:eastAsia="Times New Roman" w:hAnsi="Times New Roman" w:cs="Times New Roman"/>
                <w:sz w:val="24"/>
                <w:szCs w:val="24"/>
                <w:lang w:eastAsia="bg-BG"/>
              </w:rPr>
              <w:t xml:space="preserve"> за 2021 г. и 4,67% за 2020 г.)</w:t>
            </w:r>
          </w:p>
        </w:tc>
      </w:tr>
      <w:tr w:rsidR="00E903FC" w:rsidRPr="00E903FC" w14:paraId="2A80ED68" w14:textId="77777777" w:rsidTr="00E903FC">
        <w:trPr>
          <w:trHeight w:val="387"/>
        </w:trPr>
        <w:tc>
          <w:tcPr>
            <w:tcW w:w="4717" w:type="dxa"/>
            <w:tcBorders>
              <w:top w:val="single" w:sz="4" w:space="0" w:color="auto"/>
              <w:left w:val="single" w:sz="4" w:space="0" w:color="auto"/>
              <w:bottom w:val="single" w:sz="4" w:space="0" w:color="auto"/>
              <w:right w:val="single" w:sz="4" w:space="0" w:color="auto"/>
            </w:tcBorders>
            <w:hideMark/>
          </w:tcPr>
          <w:p w14:paraId="22374E60" w14:textId="77777777" w:rsidR="00E903FC" w:rsidRPr="00E903FC" w:rsidRDefault="00E903FC" w:rsidP="00E903FC">
            <w:pPr>
              <w:spacing w:after="0" w:line="240" w:lineRule="auto"/>
              <w:rPr>
                <w:rFonts w:ascii="Times New Roman" w:eastAsia="Times New Roman" w:hAnsi="Times New Roman" w:cs="Times New Roman"/>
                <w:sz w:val="24"/>
                <w:szCs w:val="24"/>
                <w:lang w:eastAsia="bg-BG"/>
              </w:rPr>
            </w:pPr>
            <w:r w:rsidRPr="00E903FC">
              <w:rPr>
                <w:rFonts w:ascii="Times New Roman" w:eastAsia="Times New Roman" w:hAnsi="Times New Roman" w:cs="Times New Roman"/>
                <w:b/>
                <w:sz w:val="24"/>
                <w:szCs w:val="24"/>
                <w:lang w:eastAsia="bg-BG"/>
              </w:rPr>
              <w:t>Върнати</w:t>
            </w:r>
            <w:r w:rsidRPr="00E903FC">
              <w:rPr>
                <w:rFonts w:ascii="Times New Roman" w:eastAsia="Times New Roman" w:hAnsi="Times New Roman" w:cs="Times New Roman"/>
                <w:sz w:val="24"/>
                <w:szCs w:val="24"/>
                <w:lang w:eastAsia="bg-BG"/>
              </w:rPr>
              <w:t xml:space="preserve"> дела от съда на прокуратурата спрямо внесените прокурорски актове </w:t>
            </w:r>
          </w:p>
          <w:p w14:paraId="3EC67E42" w14:textId="77777777" w:rsidR="00E903FC" w:rsidRPr="00E903FC" w:rsidRDefault="00E903FC" w:rsidP="00E903FC">
            <w:pPr>
              <w:spacing w:after="0" w:line="240" w:lineRule="auto"/>
              <w:rPr>
                <w:rFonts w:ascii="Times New Roman" w:eastAsia="Times New Roman" w:hAnsi="Times New Roman" w:cs="Times New Roman"/>
                <w:color w:val="FF0000"/>
                <w:sz w:val="24"/>
                <w:szCs w:val="24"/>
                <w:lang w:eastAsia="bg-BG"/>
              </w:rPr>
            </w:pPr>
            <w:r w:rsidRPr="00E903FC">
              <w:rPr>
                <w:rFonts w:ascii="Times New Roman" w:eastAsia="Times New Roman" w:hAnsi="Times New Roman" w:cs="Times New Roman"/>
                <w:b/>
                <w:sz w:val="28"/>
                <w:szCs w:val="28"/>
                <w:lang w:eastAsia="bg-BG"/>
              </w:rPr>
              <w:t xml:space="preserve">– 1,77% </w:t>
            </w:r>
            <w:r w:rsidRPr="00E903FC">
              <w:rPr>
                <w:rFonts w:ascii="Times New Roman" w:eastAsia="Times New Roman" w:hAnsi="Times New Roman" w:cs="Times New Roman"/>
                <w:sz w:val="24"/>
                <w:szCs w:val="24"/>
                <w:lang w:eastAsia="bg-BG"/>
              </w:rPr>
              <w:t>(1,42% за 2021 г. и 1,29% за 2020 г.)</w:t>
            </w:r>
          </w:p>
        </w:tc>
        <w:tc>
          <w:tcPr>
            <w:tcW w:w="488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FE68B75" w14:textId="77777777" w:rsidR="00E903FC" w:rsidRPr="00E903FC" w:rsidRDefault="00E903FC" w:rsidP="00E903FC">
            <w:pPr>
              <w:spacing w:after="0" w:line="240" w:lineRule="auto"/>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 xml:space="preserve">Върнати дела от съда на прокуратурата спрямо внесените прокурорски актове – </w:t>
            </w:r>
            <w:r w:rsidRPr="00E903FC">
              <w:rPr>
                <w:rFonts w:ascii="Times New Roman" w:eastAsia="Times New Roman" w:hAnsi="Times New Roman" w:cs="Times New Roman"/>
                <w:b/>
                <w:sz w:val="28"/>
                <w:szCs w:val="28"/>
                <w:lang w:eastAsia="bg-BG"/>
              </w:rPr>
              <w:t>0,2%</w:t>
            </w:r>
            <w:r w:rsidRPr="00E903FC">
              <w:rPr>
                <w:rFonts w:ascii="Times New Roman" w:eastAsia="Times New Roman" w:hAnsi="Times New Roman" w:cs="Times New Roman"/>
                <w:sz w:val="24"/>
                <w:szCs w:val="24"/>
                <w:lang w:eastAsia="bg-BG"/>
              </w:rPr>
              <w:t xml:space="preserve"> (0% за 2020 г. и 0%за 2019 г.)</w:t>
            </w:r>
          </w:p>
        </w:tc>
      </w:tr>
      <w:tr w:rsidR="00E903FC" w:rsidRPr="00E903FC" w14:paraId="4944D2F7" w14:textId="77777777" w:rsidTr="00E903FC">
        <w:trPr>
          <w:trHeight w:val="526"/>
        </w:trPr>
        <w:tc>
          <w:tcPr>
            <w:tcW w:w="4717" w:type="dxa"/>
            <w:tcBorders>
              <w:top w:val="single" w:sz="4" w:space="0" w:color="auto"/>
              <w:left w:val="single" w:sz="4" w:space="0" w:color="auto"/>
              <w:bottom w:val="single" w:sz="4" w:space="0" w:color="auto"/>
              <w:right w:val="single" w:sz="4" w:space="0" w:color="auto"/>
            </w:tcBorders>
            <w:hideMark/>
          </w:tcPr>
          <w:p w14:paraId="2F2089D2" w14:textId="77777777" w:rsidR="00E903FC" w:rsidRPr="00E903FC" w:rsidRDefault="00E903FC" w:rsidP="00E903FC">
            <w:pPr>
              <w:spacing w:after="0" w:line="240" w:lineRule="auto"/>
              <w:rPr>
                <w:rFonts w:ascii="Times New Roman" w:eastAsia="Times New Roman" w:hAnsi="Times New Roman" w:cs="Times New Roman"/>
                <w:sz w:val="24"/>
                <w:szCs w:val="24"/>
                <w:lang w:eastAsia="bg-BG"/>
              </w:rPr>
            </w:pPr>
            <w:r w:rsidRPr="00E903FC">
              <w:rPr>
                <w:rFonts w:ascii="Times New Roman" w:eastAsia="Times New Roman" w:hAnsi="Times New Roman" w:cs="Times New Roman"/>
                <w:b/>
                <w:sz w:val="24"/>
                <w:szCs w:val="24"/>
                <w:lang w:eastAsia="bg-BG"/>
              </w:rPr>
              <w:lastRenderedPageBreak/>
              <w:t>Осъдени и санкционирани лица</w:t>
            </w:r>
            <w:r w:rsidRPr="00E903FC">
              <w:rPr>
                <w:rFonts w:ascii="Times New Roman" w:eastAsia="Times New Roman" w:hAnsi="Times New Roman" w:cs="Times New Roman"/>
                <w:sz w:val="24"/>
                <w:szCs w:val="24"/>
                <w:lang w:eastAsia="bg-BG"/>
              </w:rPr>
              <w:t xml:space="preserve"> с влезли в сила съд. актове спрямо всички лица с постановен окончателен съд. акт – </w:t>
            </w:r>
            <w:r w:rsidRPr="00E903FC">
              <w:rPr>
                <w:rFonts w:ascii="Times New Roman" w:eastAsia="Times New Roman" w:hAnsi="Times New Roman" w:cs="Times New Roman"/>
                <w:b/>
                <w:sz w:val="28"/>
                <w:szCs w:val="28"/>
                <w:lang w:eastAsia="bg-BG"/>
              </w:rPr>
              <w:t>94,5%</w:t>
            </w:r>
            <w:r w:rsidRPr="00E903FC">
              <w:rPr>
                <w:rFonts w:ascii="Times New Roman" w:eastAsia="Times New Roman" w:hAnsi="Times New Roman" w:cs="Times New Roman"/>
                <w:sz w:val="24"/>
                <w:szCs w:val="24"/>
                <w:lang w:eastAsia="bg-BG"/>
              </w:rPr>
              <w:t xml:space="preserve"> (98,6% за 2021 г. и 98,68% за 2020 г. )</w:t>
            </w:r>
          </w:p>
        </w:tc>
        <w:tc>
          <w:tcPr>
            <w:tcW w:w="488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E540B5E" w14:textId="77777777" w:rsidR="00E903FC" w:rsidRPr="00E903FC" w:rsidRDefault="00E903FC" w:rsidP="00E903FC">
            <w:pPr>
              <w:spacing w:after="0" w:line="240" w:lineRule="auto"/>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Осъдени и санкционирани лица с влезли в сила съдебни актове към всички лица с постановен окончателен съдебен акт –</w:t>
            </w:r>
            <w:r w:rsidRPr="00E903FC">
              <w:rPr>
                <w:rFonts w:ascii="Times New Roman" w:eastAsia="Times New Roman" w:hAnsi="Times New Roman" w:cs="Times New Roman"/>
                <w:b/>
                <w:sz w:val="24"/>
                <w:szCs w:val="24"/>
                <w:lang w:eastAsia="bg-BG"/>
              </w:rPr>
              <w:t xml:space="preserve"> </w:t>
            </w:r>
            <w:r w:rsidRPr="00E903FC">
              <w:rPr>
                <w:rFonts w:ascii="Times New Roman" w:eastAsia="Times New Roman" w:hAnsi="Times New Roman" w:cs="Times New Roman"/>
                <w:b/>
                <w:sz w:val="28"/>
                <w:szCs w:val="28"/>
                <w:lang w:eastAsia="bg-BG"/>
              </w:rPr>
              <w:t>11,8%</w:t>
            </w:r>
            <w:r w:rsidRPr="00E903FC">
              <w:rPr>
                <w:rFonts w:ascii="Times New Roman" w:eastAsia="Times New Roman" w:hAnsi="Times New Roman" w:cs="Times New Roman"/>
                <w:b/>
                <w:sz w:val="24"/>
                <w:szCs w:val="24"/>
                <w:lang w:eastAsia="bg-BG"/>
              </w:rPr>
              <w:t xml:space="preserve"> </w:t>
            </w:r>
            <w:r w:rsidRPr="00E903FC">
              <w:rPr>
                <w:rFonts w:ascii="Times New Roman" w:eastAsia="Times New Roman" w:hAnsi="Times New Roman" w:cs="Times New Roman"/>
                <w:sz w:val="24"/>
                <w:szCs w:val="24"/>
                <w:lang w:eastAsia="bg-BG"/>
              </w:rPr>
              <w:t>(16% за 2021 г. и</w:t>
            </w:r>
            <w:r w:rsidRPr="00E903FC">
              <w:rPr>
                <w:rFonts w:ascii="Times New Roman" w:eastAsia="Times New Roman" w:hAnsi="Times New Roman" w:cs="Times New Roman"/>
                <w:b/>
                <w:sz w:val="24"/>
                <w:szCs w:val="24"/>
                <w:lang w:eastAsia="bg-BG"/>
              </w:rPr>
              <w:t xml:space="preserve"> </w:t>
            </w:r>
            <w:r w:rsidRPr="00E903FC">
              <w:rPr>
                <w:rFonts w:ascii="Times New Roman" w:eastAsia="Times New Roman" w:hAnsi="Times New Roman" w:cs="Times New Roman"/>
                <w:sz w:val="24"/>
                <w:szCs w:val="24"/>
                <w:lang w:eastAsia="bg-BG"/>
              </w:rPr>
              <w:t>14,6 % за 2020 г.)</w:t>
            </w:r>
          </w:p>
        </w:tc>
      </w:tr>
      <w:tr w:rsidR="00E903FC" w:rsidRPr="00E903FC" w14:paraId="244562C9" w14:textId="77777777" w:rsidTr="00E903FC">
        <w:trPr>
          <w:trHeight w:val="526"/>
        </w:trPr>
        <w:tc>
          <w:tcPr>
            <w:tcW w:w="4717" w:type="dxa"/>
            <w:tcBorders>
              <w:top w:val="single" w:sz="4" w:space="0" w:color="auto"/>
              <w:left w:val="single" w:sz="4" w:space="0" w:color="auto"/>
              <w:bottom w:val="single" w:sz="4" w:space="0" w:color="auto"/>
              <w:right w:val="single" w:sz="4" w:space="0" w:color="auto"/>
            </w:tcBorders>
            <w:hideMark/>
          </w:tcPr>
          <w:p w14:paraId="705E21F2" w14:textId="77777777" w:rsidR="00E903FC" w:rsidRPr="00E903FC" w:rsidRDefault="00E903FC" w:rsidP="00E903FC">
            <w:pPr>
              <w:spacing w:after="0" w:line="240" w:lineRule="auto"/>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 xml:space="preserve">Оправдани лица с влезли в сила съд. актове спрямо всички лица с постановен окончателен съд. акт – </w:t>
            </w:r>
            <w:r w:rsidRPr="00E903FC">
              <w:rPr>
                <w:rFonts w:ascii="Times New Roman" w:eastAsia="Times New Roman" w:hAnsi="Times New Roman" w:cs="Times New Roman"/>
                <w:b/>
                <w:sz w:val="28"/>
                <w:szCs w:val="28"/>
                <w:lang w:eastAsia="bg-BG"/>
              </w:rPr>
              <w:t xml:space="preserve">1,65% </w:t>
            </w:r>
            <w:r w:rsidRPr="00E903FC">
              <w:rPr>
                <w:rFonts w:ascii="Times New Roman" w:eastAsia="Times New Roman" w:hAnsi="Times New Roman" w:cs="Times New Roman"/>
                <w:sz w:val="24"/>
                <w:szCs w:val="24"/>
                <w:lang w:eastAsia="bg-BG"/>
              </w:rPr>
              <w:t>(1,27% за 2021 г. и 1,3% за 2020 г.)</w:t>
            </w:r>
          </w:p>
        </w:tc>
        <w:tc>
          <w:tcPr>
            <w:tcW w:w="488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6494769" w14:textId="77777777" w:rsidR="00E903FC" w:rsidRPr="00E903FC" w:rsidRDefault="00E903FC" w:rsidP="00E903FC">
            <w:pPr>
              <w:spacing w:after="0" w:line="240" w:lineRule="auto"/>
              <w:rPr>
                <w:rFonts w:ascii="Times New Roman" w:eastAsia="Times New Roman" w:hAnsi="Times New Roman" w:cs="Times New Roman"/>
                <w:sz w:val="24"/>
                <w:szCs w:val="24"/>
                <w:lang w:eastAsia="bg-BG"/>
              </w:rPr>
            </w:pPr>
            <w:r w:rsidRPr="00E903FC">
              <w:rPr>
                <w:rFonts w:ascii="Times New Roman" w:eastAsia="Times New Roman" w:hAnsi="Times New Roman" w:cs="Times New Roman"/>
                <w:sz w:val="24"/>
                <w:szCs w:val="24"/>
                <w:lang w:eastAsia="bg-BG"/>
              </w:rPr>
              <w:t xml:space="preserve">Оправдани лица с влезли в сила съд. актове към всички лица с постановен окончателен съдебен акт – </w:t>
            </w:r>
            <w:r w:rsidRPr="00E903FC">
              <w:rPr>
                <w:rFonts w:ascii="Times New Roman" w:eastAsia="Times New Roman" w:hAnsi="Times New Roman" w:cs="Times New Roman"/>
                <w:b/>
                <w:sz w:val="28"/>
                <w:szCs w:val="28"/>
                <w:lang w:eastAsia="bg-BG"/>
              </w:rPr>
              <w:t>0,04%</w:t>
            </w:r>
            <w:r w:rsidRPr="00E903FC">
              <w:rPr>
                <w:rFonts w:ascii="Times New Roman" w:eastAsia="Times New Roman" w:hAnsi="Times New Roman" w:cs="Times New Roman"/>
                <w:sz w:val="24"/>
                <w:szCs w:val="24"/>
                <w:lang w:eastAsia="bg-BG"/>
              </w:rPr>
              <w:t xml:space="preserve"> (0,2% за 2021 г. и 0,26% за 2020 г.)</w:t>
            </w:r>
          </w:p>
        </w:tc>
      </w:tr>
    </w:tbl>
    <w:p w14:paraId="14EB721E" w14:textId="77777777" w:rsidR="00E903FC" w:rsidRPr="00E903FC" w:rsidRDefault="00E903FC" w:rsidP="00E903FC">
      <w:pPr>
        <w:spacing w:after="0" w:line="240" w:lineRule="auto"/>
        <w:ind w:firstLine="709"/>
        <w:jc w:val="both"/>
        <w:rPr>
          <w:rFonts w:ascii="Times New Roman" w:eastAsia="Times New Roman" w:hAnsi="Times New Roman" w:cs="Times New Roman"/>
          <w:b/>
          <w:bCs/>
          <w:i/>
          <w:color w:val="000000"/>
          <w:sz w:val="24"/>
          <w:szCs w:val="24"/>
          <w:lang w:eastAsia="bg-BG"/>
        </w:rPr>
      </w:pPr>
    </w:p>
    <w:p w14:paraId="2785AC1C" w14:textId="77777777" w:rsidR="00E903FC" w:rsidRPr="00E903FC" w:rsidRDefault="00E903FC" w:rsidP="00E903FC">
      <w:pPr>
        <w:ind w:firstLine="708"/>
        <w:rPr>
          <w:rFonts w:ascii="Times New Roman" w:eastAsia="Calibri" w:hAnsi="Times New Roman" w:cs="Times New Roman"/>
          <w:b/>
          <w:i/>
          <w:sz w:val="28"/>
          <w:szCs w:val="28"/>
          <w:u w:val="single"/>
        </w:rPr>
      </w:pPr>
      <w:r w:rsidRPr="00E903FC">
        <w:rPr>
          <w:rFonts w:ascii="Times New Roman" w:eastAsia="Calibri" w:hAnsi="Times New Roman" w:cs="Times New Roman"/>
          <w:b/>
          <w:i/>
          <w:sz w:val="28"/>
          <w:szCs w:val="28"/>
          <w:u w:val="single"/>
        </w:rPr>
        <w:t>1.4. Резултатност по основни показатели:</w:t>
      </w:r>
    </w:p>
    <w:p w14:paraId="4E288563"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Обобщението на резултатността в работата на разследващите органи и прокурорите е представено по следните общи показатели: наблюдавани и решени преписки от прокурор; наблюдавани от прокурор досъдебни производства и приключените от тях дела; решени дела от прокурорите спрямо наблюдаваните дела; внесени в съда прокурорски актове спрямо решените дела; върнати дела от съда на прокуратурата спрямо внесените прокурорски актове; осъдени и оправдани лица с влезли в сила съдебни актове, поотделно всяка от двете категории, съпоставена спрямо всички лица с постановен окончателен акт на съда; относителен дял на оправдателните присъди и решения спрямо всички решени от съда дела</w:t>
      </w:r>
      <w:r w:rsidRPr="00E903FC">
        <w:rPr>
          <w:rFonts w:ascii="Times New Roman" w:eastAsia="Times New Roman" w:hAnsi="Times New Roman" w:cs="Times New Roman"/>
          <w:sz w:val="32"/>
          <w:szCs w:val="32"/>
          <w:vertAlign w:val="superscript"/>
        </w:rPr>
        <w:footnoteReference w:id="1"/>
      </w:r>
      <w:r w:rsidRPr="00E903FC">
        <w:rPr>
          <w:rFonts w:ascii="Times New Roman" w:eastAsia="Times New Roman" w:hAnsi="Times New Roman" w:cs="Times New Roman"/>
          <w:sz w:val="28"/>
          <w:szCs w:val="28"/>
          <w:lang w:eastAsia="bg-BG"/>
        </w:rPr>
        <w:t>.</w:t>
      </w:r>
    </w:p>
    <w:p w14:paraId="0392114B"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p>
    <w:p w14:paraId="15AE140F" w14:textId="77777777" w:rsidR="00E903FC" w:rsidRPr="00E903FC" w:rsidRDefault="00E903FC" w:rsidP="00E903FC">
      <w:pPr>
        <w:ind w:firstLine="708"/>
        <w:rPr>
          <w:rFonts w:ascii="Times New Roman" w:eastAsia="Calibri" w:hAnsi="Times New Roman" w:cs="Times New Roman"/>
          <w:b/>
          <w:i/>
          <w:sz w:val="28"/>
          <w:szCs w:val="28"/>
          <w:u w:val="single"/>
        </w:rPr>
      </w:pPr>
      <w:r w:rsidRPr="00E903FC">
        <w:rPr>
          <w:rFonts w:ascii="Times New Roman" w:eastAsia="Calibri" w:hAnsi="Times New Roman" w:cs="Times New Roman"/>
          <w:b/>
          <w:i/>
          <w:sz w:val="28"/>
          <w:szCs w:val="28"/>
          <w:u w:val="single"/>
        </w:rPr>
        <w:t xml:space="preserve">1.5. Тенденции в противодействието на престъпността през периода от 2019 до 2021 г.: </w:t>
      </w:r>
    </w:p>
    <w:p w14:paraId="52444490"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 xml:space="preserve">В резултат на представените в статистическите таблици стойности за всички досъдебни производства и за тези, образувани за престъпления, съставляващи особен обществен интерес, са установени следните тенденции в противодействието на престъпността: </w:t>
      </w:r>
    </w:p>
    <w:p w14:paraId="20071C3C"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u w:val="single"/>
          <w:lang w:eastAsia="bg-BG"/>
        </w:rPr>
      </w:pPr>
      <w:r w:rsidRPr="00E903FC">
        <w:rPr>
          <w:rFonts w:ascii="Times New Roman" w:eastAsia="Times New Roman" w:hAnsi="Times New Roman" w:cs="Times New Roman"/>
          <w:bCs/>
          <w:sz w:val="28"/>
          <w:szCs w:val="28"/>
          <w:u w:val="single"/>
          <w:lang w:eastAsia="bg-BG"/>
        </w:rPr>
        <w:t xml:space="preserve">За всички досъдебни производства: </w:t>
      </w:r>
    </w:p>
    <w:p w14:paraId="4BD2EE0E"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 xml:space="preserve">Наблюдава се намаление на броя на </w:t>
      </w:r>
      <w:r w:rsidRPr="00E903FC">
        <w:rPr>
          <w:rFonts w:ascii="Times New Roman" w:eastAsia="Times New Roman" w:hAnsi="Times New Roman" w:cs="Times New Roman"/>
          <w:bCs/>
          <w:sz w:val="28"/>
          <w:szCs w:val="28"/>
          <w:lang w:eastAsia="bg-BG"/>
        </w:rPr>
        <w:t xml:space="preserve">новообразуваните производства </w:t>
      </w:r>
      <w:r w:rsidRPr="00E903FC">
        <w:rPr>
          <w:rFonts w:ascii="Times New Roman" w:eastAsia="Times New Roman" w:hAnsi="Times New Roman" w:cs="Times New Roman"/>
          <w:sz w:val="28"/>
          <w:szCs w:val="28"/>
          <w:lang w:eastAsia="bg-BG"/>
        </w:rPr>
        <w:t>спрямо 2021 г. с 6% и с 11% спрямо 2020 г., но с оглед процентите е налице относителна стабилност в показателите в сравнение с предходните години.</w:t>
      </w:r>
    </w:p>
    <w:p w14:paraId="76037B21" w14:textId="77777777" w:rsidR="00E903FC" w:rsidRPr="00E903FC" w:rsidRDefault="00E903FC" w:rsidP="00E903FC">
      <w:pPr>
        <w:spacing w:after="0" w:line="240" w:lineRule="auto"/>
        <w:ind w:firstLine="709"/>
        <w:jc w:val="both"/>
        <w:rPr>
          <w:rFonts w:ascii="Times New Roman" w:eastAsia="Times New Roman" w:hAnsi="Times New Roman" w:cs="Times New Roman"/>
          <w:color w:val="000000"/>
          <w:sz w:val="28"/>
          <w:szCs w:val="28"/>
          <w:lang w:eastAsia="bg-BG"/>
        </w:rPr>
      </w:pPr>
      <w:r w:rsidRPr="00E903FC">
        <w:rPr>
          <w:rFonts w:ascii="Times New Roman" w:eastAsia="Times New Roman" w:hAnsi="Times New Roman" w:cs="Times New Roman"/>
          <w:color w:val="000000"/>
          <w:sz w:val="28"/>
          <w:szCs w:val="28"/>
          <w:lang w:eastAsia="bg-BG"/>
        </w:rPr>
        <w:t xml:space="preserve">Намалението на </w:t>
      </w:r>
      <w:r w:rsidRPr="00E903FC">
        <w:rPr>
          <w:rFonts w:ascii="Times New Roman" w:eastAsia="Times New Roman" w:hAnsi="Times New Roman" w:cs="Times New Roman"/>
          <w:bCs/>
          <w:color w:val="000000"/>
          <w:sz w:val="28"/>
          <w:szCs w:val="28"/>
          <w:lang w:eastAsia="bg-BG"/>
        </w:rPr>
        <w:t xml:space="preserve">новообразуваните производства спрямо двата предходни отчетни периода </w:t>
      </w:r>
      <w:r w:rsidRPr="00E903FC">
        <w:rPr>
          <w:rFonts w:ascii="Times New Roman" w:eastAsia="Times New Roman" w:hAnsi="Times New Roman" w:cs="Times New Roman"/>
          <w:color w:val="000000"/>
          <w:sz w:val="28"/>
          <w:szCs w:val="28"/>
          <w:lang w:eastAsia="bg-BG"/>
        </w:rPr>
        <w:t>може да се разглежда като последица от дейността на компетентните органи по регистриране и разкриване на престъпленията. Пропорционално с изложените данни за намаление на регистрираните престъпления логично е намалял и броят на новообразуваните ДП, а също и на наблюдаваните и решените ДП във всички прокуратури. Може да се изведе тригодишна тенденция в това направление с постепенно намаляване на новообразуваните и наблюдаваните ДП.</w:t>
      </w:r>
    </w:p>
    <w:p w14:paraId="7E979E57"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u w:val="single"/>
          <w:lang w:eastAsia="bg-BG"/>
        </w:rPr>
      </w:pPr>
      <w:r w:rsidRPr="00E903FC">
        <w:rPr>
          <w:rFonts w:ascii="Times New Roman" w:eastAsia="Times New Roman" w:hAnsi="Times New Roman" w:cs="Times New Roman"/>
          <w:sz w:val="28"/>
          <w:szCs w:val="28"/>
          <w:u w:val="single"/>
          <w:lang w:eastAsia="bg-BG"/>
        </w:rPr>
        <w:t>За бързите производства:</w:t>
      </w:r>
    </w:p>
    <w:p w14:paraId="19A26B77"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 xml:space="preserve">През отчетната година е увеличен броят на бързите производства – 225 бр., спрямо двата предходни периода – 200 бр. за 2021 г. и 208 бр. за 2020 г. </w:t>
      </w:r>
      <w:r w:rsidRPr="00E903FC">
        <w:rPr>
          <w:rFonts w:ascii="Times New Roman" w:eastAsia="Times New Roman" w:hAnsi="Times New Roman" w:cs="Times New Roman"/>
          <w:sz w:val="28"/>
          <w:szCs w:val="28"/>
          <w:lang w:eastAsia="bg-BG"/>
        </w:rPr>
        <w:lastRenderedPageBreak/>
        <w:t xml:space="preserve">Относителният дял на новообразуваните бързи производства спрямо общо новообразуваните ДП е 12,5% при 10% за 2021 г. и 10% за 2020 г. </w:t>
      </w:r>
    </w:p>
    <w:p w14:paraId="07017173" w14:textId="77777777" w:rsidR="00E903FC" w:rsidRPr="00E903FC" w:rsidRDefault="00E903FC" w:rsidP="00E903FC">
      <w:pPr>
        <w:spacing w:after="0" w:line="240" w:lineRule="auto"/>
        <w:ind w:firstLine="709"/>
        <w:jc w:val="both"/>
        <w:rPr>
          <w:rFonts w:ascii="Times New Roman" w:eastAsia="Times New Roman" w:hAnsi="Times New Roman" w:cs="Times New Roman"/>
          <w:color w:val="000000"/>
          <w:sz w:val="28"/>
          <w:szCs w:val="28"/>
          <w:lang w:eastAsia="bg-BG"/>
        </w:rPr>
      </w:pPr>
      <w:r w:rsidRPr="00E903FC">
        <w:rPr>
          <w:rFonts w:ascii="Times New Roman" w:eastAsia="Times New Roman" w:hAnsi="Times New Roman" w:cs="Times New Roman"/>
          <w:color w:val="000000"/>
          <w:sz w:val="28"/>
          <w:szCs w:val="28"/>
          <w:lang w:eastAsia="bg-BG"/>
        </w:rPr>
        <w:t>В процентно съотношение спрямо новообразуваните ДП е налице увеличение по този показател.</w:t>
      </w:r>
    </w:p>
    <w:p w14:paraId="5D6A0B9D" w14:textId="77777777" w:rsidR="00E903FC" w:rsidRPr="00E903FC" w:rsidRDefault="00E903FC" w:rsidP="00E903FC">
      <w:pPr>
        <w:spacing w:after="0" w:line="240" w:lineRule="auto"/>
        <w:ind w:firstLine="709"/>
        <w:jc w:val="both"/>
        <w:rPr>
          <w:rFonts w:ascii="Times New Roman" w:eastAsia="Times New Roman" w:hAnsi="Times New Roman" w:cs="Times New Roman"/>
          <w:color w:val="000000"/>
          <w:sz w:val="28"/>
          <w:szCs w:val="28"/>
          <w:u w:val="single"/>
          <w:lang w:eastAsia="bg-BG"/>
        </w:rPr>
      </w:pPr>
      <w:r w:rsidRPr="00E903FC">
        <w:rPr>
          <w:rFonts w:ascii="Times New Roman" w:eastAsia="Times New Roman" w:hAnsi="Times New Roman" w:cs="Times New Roman"/>
          <w:color w:val="000000"/>
          <w:sz w:val="28"/>
          <w:szCs w:val="28"/>
          <w:u w:val="single"/>
          <w:lang w:eastAsia="bg-BG"/>
        </w:rPr>
        <w:t>За досъдебни производства, образувани за престъпления, извършени от непълнолетни:</w:t>
      </w:r>
    </w:p>
    <w:p w14:paraId="484C60C6"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color w:val="000000"/>
          <w:sz w:val="28"/>
          <w:szCs w:val="28"/>
          <w:lang w:eastAsia="bg-BG"/>
        </w:rPr>
        <w:t xml:space="preserve">През отчетната 2022 г. в съдебен район Монтана са били наблюдавани общо 37 досъдебни производства </w:t>
      </w:r>
      <w:r w:rsidRPr="00E903FC">
        <w:rPr>
          <w:rFonts w:ascii="Times New Roman" w:eastAsia="Times New Roman" w:hAnsi="Times New Roman" w:cs="Times New Roman"/>
          <w:sz w:val="28"/>
          <w:szCs w:val="28"/>
          <w:lang w:eastAsia="bg-BG"/>
        </w:rPr>
        <w:t xml:space="preserve">за престъпления, извършени от непълнолетни, от които новообразуваните са 21. </w:t>
      </w:r>
      <w:r w:rsidRPr="00E903FC">
        <w:rPr>
          <w:rFonts w:ascii="Times New Roman" w:eastAsia="Times New Roman" w:hAnsi="Times New Roman" w:cs="Times New Roman"/>
          <w:color w:val="000000"/>
          <w:sz w:val="28"/>
          <w:szCs w:val="28"/>
          <w:lang w:eastAsia="bg-BG"/>
        </w:rPr>
        <w:t>За сравнение – през 2021 г. са били наблюдавани 43 ДП (24</w:t>
      </w:r>
      <w:r w:rsidRPr="00E903FC">
        <w:rPr>
          <w:rFonts w:ascii="Times New Roman" w:eastAsia="Times New Roman" w:hAnsi="Times New Roman" w:cs="Times New Roman"/>
          <w:sz w:val="28"/>
          <w:szCs w:val="28"/>
          <w:lang w:eastAsia="bg-BG"/>
        </w:rPr>
        <w:t xml:space="preserve"> новообразувани), а </w:t>
      </w:r>
      <w:r w:rsidRPr="00E903FC">
        <w:rPr>
          <w:rFonts w:ascii="Times New Roman" w:eastAsia="Times New Roman" w:hAnsi="Times New Roman" w:cs="Times New Roman"/>
          <w:color w:val="000000"/>
          <w:sz w:val="28"/>
          <w:szCs w:val="28"/>
          <w:lang w:eastAsia="bg-BG"/>
        </w:rPr>
        <w:t>през 2020 г.  този брой е бил 37 ДП (1</w:t>
      </w:r>
      <w:r w:rsidRPr="00E903FC">
        <w:rPr>
          <w:rFonts w:ascii="Times New Roman" w:eastAsia="Times New Roman" w:hAnsi="Times New Roman" w:cs="Times New Roman"/>
          <w:sz w:val="28"/>
          <w:szCs w:val="28"/>
          <w:lang w:eastAsia="bg-BG"/>
        </w:rPr>
        <w:t>7 новообразувани).</w:t>
      </w:r>
      <w:r w:rsidRPr="00E903FC">
        <w:rPr>
          <w:rFonts w:ascii="Times New Roman" w:eastAsia="Times New Roman" w:hAnsi="Times New Roman" w:cs="Times New Roman"/>
          <w:color w:val="000000"/>
          <w:sz w:val="28"/>
          <w:szCs w:val="28"/>
          <w:lang w:eastAsia="bg-BG"/>
        </w:rPr>
        <w:t xml:space="preserve"> </w:t>
      </w:r>
      <w:r w:rsidRPr="00E903FC">
        <w:rPr>
          <w:rFonts w:ascii="Times New Roman" w:eastAsia="Times New Roman" w:hAnsi="Times New Roman" w:cs="Times New Roman"/>
          <w:sz w:val="28"/>
          <w:szCs w:val="28"/>
          <w:lang w:eastAsia="bg-BG"/>
        </w:rPr>
        <w:t>Налице е намаление на наблюдаваните ДП само спрямо предходната 2021 и увеличение при новообразуваните спрямо 2020 г., но тези ДП се увеличават спрямо предходния период. Налице е увеличение в младежката престъпност и увеличаване на делата срещу непълнолетни лица спрямо предходния отчетен период.</w:t>
      </w:r>
    </w:p>
    <w:p w14:paraId="3529647F" w14:textId="77777777" w:rsidR="00E903FC" w:rsidRPr="00E903FC" w:rsidRDefault="00E903FC" w:rsidP="00E903FC">
      <w:pPr>
        <w:spacing w:after="0" w:line="240" w:lineRule="auto"/>
        <w:ind w:firstLine="709"/>
        <w:jc w:val="both"/>
        <w:rPr>
          <w:rFonts w:ascii="Times New Roman" w:eastAsia="Times New Roman" w:hAnsi="Times New Roman" w:cs="Times New Roman"/>
          <w:bCs/>
          <w:sz w:val="28"/>
          <w:szCs w:val="28"/>
          <w:u w:val="single"/>
          <w:lang w:eastAsia="bg-BG"/>
        </w:rPr>
      </w:pPr>
      <w:r w:rsidRPr="00E903FC">
        <w:rPr>
          <w:rFonts w:ascii="Times New Roman" w:eastAsia="Times New Roman" w:hAnsi="Times New Roman" w:cs="Times New Roman"/>
          <w:bCs/>
          <w:sz w:val="28"/>
          <w:szCs w:val="28"/>
          <w:u w:val="single"/>
          <w:lang w:eastAsia="bg-BG"/>
        </w:rPr>
        <w:t xml:space="preserve">За ДП, водени за корупционни престъпления: </w:t>
      </w:r>
    </w:p>
    <w:p w14:paraId="10012A71" w14:textId="77777777" w:rsidR="00E903FC" w:rsidRPr="00E903FC" w:rsidRDefault="00E903FC" w:rsidP="00E903FC">
      <w:pPr>
        <w:spacing w:after="0" w:line="240" w:lineRule="auto"/>
        <w:ind w:firstLine="709"/>
        <w:jc w:val="both"/>
        <w:rPr>
          <w:rFonts w:ascii="Times New Roman" w:eastAsia="Times New Roman" w:hAnsi="Times New Roman" w:cs="Times New Roman"/>
          <w:bCs/>
          <w:sz w:val="28"/>
          <w:szCs w:val="28"/>
          <w:lang w:eastAsia="bg-BG"/>
        </w:rPr>
      </w:pPr>
      <w:r w:rsidRPr="00E903FC">
        <w:rPr>
          <w:rFonts w:ascii="Times New Roman" w:eastAsia="Times New Roman" w:hAnsi="Times New Roman" w:cs="Times New Roman"/>
          <w:bCs/>
          <w:sz w:val="28"/>
          <w:szCs w:val="28"/>
          <w:lang w:eastAsia="bg-BG"/>
        </w:rPr>
        <w:t xml:space="preserve">Наблюдава се намаление на наблюдаваните ДП спрямо 2021 г. и увеличение спрямо 2020 г., така и на решените ДП в сравнение с предходните 2021 г. и 2020 г., както и на внесените в съда прокурорски актове спрямо 2021 г. докато спрямо 2020 г. е налице увеличение. Като тази тенденция за запазва по отношение на осъдените лица. През отчетната година са оправдани 2 лица, колкото и през 2020 г., а през 2021 г- няма оправдани лица.  </w:t>
      </w:r>
    </w:p>
    <w:p w14:paraId="17C5DD69" w14:textId="77777777" w:rsidR="00E903FC" w:rsidRPr="00E903FC" w:rsidRDefault="00E903FC" w:rsidP="00E903FC">
      <w:pPr>
        <w:spacing w:after="0" w:line="240" w:lineRule="auto"/>
        <w:ind w:firstLine="709"/>
        <w:jc w:val="both"/>
        <w:rPr>
          <w:rFonts w:ascii="Times New Roman" w:eastAsia="Times New Roman" w:hAnsi="Times New Roman" w:cs="Times New Roman"/>
          <w:bCs/>
          <w:sz w:val="28"/>
          <w:szCs w:val="28"/>
          <w:lang w:eastAsia="bg-BG"/>
        </w:rPr>
      </w:pPr>
      <w:r w:rsidRPr="00E903FC">
        <w:rPr>
          <w:rFonts w:ascii="Times New Roman" w:eastAsia="Times New Roman" w:hAnsi="Times New Roman" w:cs="Times New Roman"/>
          <w:bCs/>
          <w:sz w:val="28"/>
          <w:szCs w:val="28"/>
          <w:lang w:eastAsia="bg-BG"/>
        </w:rPr>
        <w:t>Няма оправдани лица за престъпления, свързани със злоупотреби с еврофондовете и подправка на парични знаци. За престъпления за трафик на наркотици са оправдани 2 лица, а за данъчни престъпления 1 лица. Няма оправдани лица по дела срещу непълнолетни лица през отчетния период (2 за 2021 г. и 0 за 2020 г.).</w:t>
      </w:r>
    </w:p>
    <w:p w14:paraId="1CCBCD01" w14:textId="77777777" w:rsidR="00E903FC" w:rsidRPr="00E903FC" w:rsidRDefault="00E903FC" w:rsidP="00E903FC">
      <w:pPr>
        <w:spacing w:after="0" w:line="240" w:lineRule="auto"/>
        <w:ind w:firstLine="709"/>
        <w:jc w:val="both"/>
        <w:rPr>
          <w:rFonts w:ascii="Times New Roman" w:eastAsia="Times New Roman" w:hAnsi="Times New Roman" w:cs="Times New Roman"/>
          <w:bCs/>
          <w:sz w:val="28"/>
          <w:szCs w:val="28"/>
          <w:lang w:eastAsia="bg-BG"/>
        </w:rPr>
      </w:pPr>
      <w:r w:rsidRPr="00E903FC">
        <w:rPr>
          <w:rFonts w:ascii="Times New Roman" w:eastAsia="Times New Roman" w:hAnsi="Times New Roman" w:cs="Times New Roman"/>
          <w:bCs/>
          <w:sz w:val="28"/>
          <w:szCs w:val="28"/>
          <w:lang w:eastAsia="bg-BG"/>
        </w:rPr>
        <w:t xml:space="preserve">За доброто качество на работа в прокуратурите в региона говори и ниският брой на върнати дела – само 12 бр. за целия район, като няма върнати дела, внесени за корупционни престъпления, престъпления срещу еврофондовете, престъпления, извършени от непълнолетни и подправка на парични знаци. </w:t>
      </w:r>
    </w:p>
    <w:p w14:paraId="51845A42" w14:textId="77777777" w:rsidR="00E903FC" w:rsidRPr="00E903FC" w:rsidRDefault="00E903FC" w:rsidP="00E903FC">
      <w:pPr>
        <w:spacing w:after="0" w:line="240" w:lineRule="auto"/>
        <w:ind w:firstLine="709"/>
        <w:jc w:val="both"/>
        <w:rPr>
          <w:rFonts w:ascii="Times New Roman" w:eastAsia="Times New Roman" w:hAnsi="Times New Roman" w:cs="Times New Roman"/>
          <w:color w:val="FF0000"/>
          <w:sz w:val="28"/>
          <w:szCs w:val="28"/>
          <w:u w:val="single"/>
          <w:lang w:eastAsia="bg-BG"/>
        </w:rPr>
      </w:pPr>
      <w:r w:rsidRPr="00E903FC">
        <w:rPr>
          <w:rFonts w:ascii="Times New Roman" w:eastAsia="Times New Roman" w:hAnsi="Times New Roman" w:cs="Times New Roman"/>
          <w:bCs/>
          <w:sz w:val="28"/>
          <w:szCs w:val="28"/>
          <w:u w:val="single"/>
          <w:lang w:eastAsia="bg-BG"/>
        </w:rPr>
        <w:t>За внесените в съда прокурорски актове</w:t>
      </w:r>
      <w:r w:rsidRPr="00E903FC">
        <w:rPr>
          <w:rFonts w:ascii="Times New Roman" w:eastAsia="Times New Roman" w:hAnsi="Times New Roman" w:cs="Times New Roman"/>
          <w:sz w:val="28"/>
          <w:szCs w:val="28"/>
          <w:u w:val="single"/>
          <w:lang w:eastAsia="bg-BG"/>
        </w:rPr>
        <w:t>:</w:t>
      </w:r>
    </w:p>
    <w:p w14:paraId="5D8766F9" w14:textId="77777777" w:rsidR="00E903FC" w:rsidRPr="00E903FC" w:rsidRDefault="00E903FC" w:rsidP="00E903FC">
      <w:pPr>
        <w:spacing w:after="0" w:line="240" w:lineRule="auto"/>
        <w:ind w:firstLine="709"/>
        <w:jc w:val="both"/>
        <w:rPr>
          <w:rFonts w:ascii="Times New Roman" w:eastAsia="Times New Roman" w:hAnsi="Times New Roman" w:cs="Times New Roman"/>
          <w:bCs/>
          <w:sz w:val="28"/>
          <w:szCs w:val="28"/>
          <w:lang w:eastAsia="bg-BG"/>
        </w:rPr>
      </w:pPr>
      <w:r w:rsidRPr="00E903FC">
        <w:rPr>
          <w:rFonts w:ascii="Times New Roman" w:eastAsia="Times New Roman" w:hAnsi="Times New Roman" w:cs="Times New Roman"/>
          <w:bCs/>
          <w:sz w:val="28"/>
          <w:szCs w:val="28"/>
          <w:lang w:eastAsia="bg-BG"/>
        </w:rPr>
        <w:t>Както и при предходния отчетен период, през  2022 г. има намаление спрямо внесените в съда прокурорски актове през 2021 и 2020 г. (</w:t>
      </w:r>
      <w:r w:rsidRPr="00E903FC">
        <w:rPr>
          <w:rFonts w:ascii="Times New Roman" w:eastAsia="Times New Roman" w:hAnsi="Times New Roman" w:cs="Times New Roman"/>
          <w:b/>
          <w:bCs/>
          <w:sz w:val="28"/>
          <w:szCs w:val="28"/>
          <w:lang w:eastAsia="bg-BG"/>
        </w:rPr>
        <w:t xml:space="preserve">669 акта </w:t>
      </w:r>
      <w:r w:rsidRPr="00E903FC">
        <w:rPr>
          <w:rFonts w:ascii="Times New Roman" w:eastAsia="Times New Roman" w:hAnsi="Times New Roman" w:cs="Times New Roman"/>
          <w:bCs/>
          <w:sz w:val="28"/>
          <w:szCs w:val="28"/>
          <w:lang w:eastAsia="bg-BG"/>
        </w:rPr>
        <w:t xml:space="preserve">срещу 704 акта за 2021 г. и 775 акта за 2020 г.). Същото е и съотношението на внесените прокурорски актове спрямо всички решени ДП в сравнение с предходните периоди – </w:t>
      </w:r>
      <w:r w:rsidRPr="00E903FC">
        <w:rPr>
          <w:rFonts w:ascii="Times New Roman" w:eastAsia="Times New Roman" w:hAnsi="Times New Roman" w:cs="Times New Roman"/>
          <w:b/>
          <w:bCs/>
          <w:sz w:val="28"/>
          <w:szCs w:val="28"/>
          <w:lang w:eastAsia="bg-BG"/>
        </w:rPr>
        <w:t>20%</w:t>
      </w:r>
      <w:r w:rsidRPr="00E903FC">
        <w:rPr>
          <w:rFonts w:ascii="Times New Roman" w:eastAsia="Times New Roman" w:hAnsi="Times New Roman" w:cs="Times New Roman"/>
          <w:bCs/>
          <w:sz w:val="28"/>
          <w:szCs w:val="28"/>
          <w:lang w:eastAsia="bg-BG"/>
        </w:rPr>
        <w:t xml:space="preserve"> (30,5% за 2020 г. и 30,5%  за 2020 г.).</w:t>
      </w:r>
    </w:p>
    <w:p w14:paraId="2E8645DC" w14:textId="77777777" w:rsidR="00E903FC" w:rsidRPr="00E903FC" w:rsidRDefault="00E903FC" w:rsidP="00E903FC">
      <w:pPr>
        <w:spacing w:after="0" w:line="240" w:lineRule="auto"/>
        <w:ind w:firstLine="709"/>
        <w:jc w:val="both"/>
        <w:rPr>
          <w:rFonts w:ascii="Times New Roman" w:eastAsia="Times New Roman" w:hAnsi="Times New Roman" w:cs="Times New Roman"/>
          <w:bCs/>
          <w:sz w:val="28"/>
          <w:szCs w:val="28"/>
          <w:u w:val="single"/>
          <w:lang w:eastAsia="bg-BG"/>
        </w:rPr>
      </w:pPr>
      <w:r w:rsidRPr="00E903FC">
        <w:rPr>
          <w:rFonts w:ascii="Times New Roman" w:eastAsia="Times New Roman" w:hAnsi="Times New Roman" w:cs="Times New Roman"/>
          <w:bCs/>
          <w:sz w:val="28"/>
          <w:szCs w:val="28"/>
          <w:u w:val="single"/>
          <w:lang w:eastAsia="bg-BG"/>
        </w:rPr>
        <w:t>За предадените на съд лица:</w:t>
      </w:r>
    </w:p>
    <w:p w14:paraId="7032D5DF"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 xml:space="preserve">Въпреки намалелия спрямо предходните години брой внесени в съда прокурорски актове, е налице увеличение на лицата по внесените от прокурорите актове в съда спрямо предходния отчетен период – </w:t>
      </w:r>
      <w:r w:rsidRPr="00E903FC">
        <w:rPr>
          <w:rFonts w:ascii="Times New Roman" w:eastAsia="Times New Roman" w:hAnsi="Times New Roman" w:cs="Times New Roman"/>
          <w:b/>
          <w:sz w:val="28"/>
          <w:szCs w:val="28"/>
          <w:lang w:eastAsia="bg-BG"/>
        </w:rPr>
        <w:t>727 лица</w:t>
      </w:r>
      <w:r w:rsidRPr="00E903FC">
        <w:rPr>
          <w:rFonts w:ascii="Times New Roman" w:eastAsia="Times New Roman" w:hAnsi="Times New Roman" w:cs="Times New Roman"/>
          <w:sz w:val="28"/>
          <w:szCs w:val="28"/>
          <w:lang w:eastAsia="bg-BG"/>
        </w:rPr>
        <w:t xml:space="preserve"> (707 за 2021 г. и 843 за 2020 г.). </w:t>
      </w:r>
    </w:p>
    <w:p w14:paraId="6943BAC1" w14:textId="77777777" w:rsidR="00E903FC" w:rsidRPr="00E903FC" w:rsidRDefault="00E903FC" w:rsidP="00E903FC">
      <w:pPr>
        <w:spacing w:after="0" w:line="240" w:lineRule="auto"/>
        <w:ind w:firstLine="709"/>
        <w:jc w:val="both"/>
        <w:rPr>
          <w:rFonts w:ascii="Times New Roman" w:eastAsia="Times New Roman" w:hAnsi="Times New Roman" w:cs="Times New Roman"/>
          <w:bCs/>
          <w:sz w:val="28"/>
          <w:szCs w:val="28"/>
          <w:u w:val="single"/>
          <w:lang w:eastAsia="bg-BG"/>
        </w:rPr>
      </w:pPr>
      <w:r w:rsidRPr="00E903FC">
        <w:rPr>
          <w:rFonts w:ascii="Times New Roman" w:eastAsia="Times New Roman" w:hAnsi="Times New Roman" w:cs="Times New Roman"/>
          <w:sz w:val="28"/>
          <w:szCs w:val="28"/>
          <w:u w:val="single"/>
          <w:lang w:eastAsia="bg-BG"/>
        </w:rPr>
        <w:t xml:space="preserve">За </w:t>
      </w:r>
      <w:r w:rsidRPr="00E903FC">
        <w:rPr>
          <w:rFonts w:ascii="Times New Roman" w:eastAsia="Times New Roman" w:hAnsi="Times New Roman" w:cs="Times New Roman"/>
          <w:bCs/>
          <w:sz w:val="28"/>
          <w:szCs w:val="28"/>
          <w:u w:val="single"/>
          <w:lang w:eastAsia="bg-BG"/>
        </w:rPr>
        <w:t>върнатите дела от съда:</w:t>
      </w:r>
    </w:p>
    <w:p w14:paraId="666069EF"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 xml:space="preserve">Спрямо внесените в съд прокурорски актове съотношението е 1,79%, като същото бележи леко увеличение спрямо предходните два периода (1,27% </w:t>
      </w:r>
      <w:r w:rsidRPr="00E903FC">
        <w:rPr>
          <w:rFonts w:ascii="Times New Roman" w:eastAsia="Times New Roman" w:hAnsi="Times New Roman" w:cs="Times New Roman"/>
          <w:sz w:val="28"/>
          <w:szCs w:val="28"/>
          <w:lang w:eastAsia="bg-BG"/>
        </w:rPr>
        <w:lastRenderedPageBreak/>
        <w:t>за 2021 г. и 1,29% за 2020 г.). Следва да се отбележи тенденция за намаляване на върнатите дела предходните в дългосрочен аспект, което е положителна характеристика за качеството на прокурорската дейност.</w:t>
      </w:r>
    </w:p>
    <w:p w14:paraId="1BCCDE47" w14:textId="77777777" w:rsidR="00E903FC" w:rsidRPr="00E903FC" w:rsidRDefault="00E903FC" w:rsidP="00E903FC">
      <w:pPr>
        <w:spacing w:after="0" w:line="240" w:lineRule="auto"/>
        <w:ind w:firstLine="709"/>
        <w:jc w:val="both"/>
        <w:rPr>
          <w:rFonts w:ascii="Times New Roman" w:eastAsia="Times New Roman" w:hAnsi="Times New Roman" w:cs="Times New Roman"/>
          <w:bCs/>
          <w:sz w:val="28"/>
          <w:szCs w:val="28"/>
          <w:u w:val="single"/>
          <w:lang w:eastAsia="bg-BG"/>
        </w:rPr>
      </w:pPr>
      <w:r w:rsidRPr="00E903FC">
        <w:rPr>
          <w:rFonts w:ascii="Times New Roman" w:eastAsia="Times New Roman" w:hAnsi="Times New Roman" w:cs="Times New Roman"/>
          <w:bCs/>
          <w:sz w:val="28"/>
          <w:szCs w:val="28"/>
          <w:u w:val="single"/>
          <w:lang w:eastAsia="bg-BG"/>
        </w:rPr>
        <w:t>За осъдените и санкционирани лица:</w:t>
      </w:r>
    </w:p>
    <w:p w14:paraId="1D780537"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 xml:space="preserve">Наблюдава се намаление на осъдените с влязъл в сила съдебен акт лица от всички лица, което е логично с оглед намалелите прокурорски актове, внесени в съда. За сравнение през отчетна година осъдените с влязъл в сила съдебен акт са 687 лица, при 707 лица за 2021 г. и 747 лица за 2020 г. </w:t>
      </w:r>
    </w:p>
    <w:p w14:paraId="206CC408"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u w:val="single"/>
          <w:lang w:eastAsia="bg-BG"/>
        </w:rPr>
      </w:pPr>
      <w:r w:rsidRPr="00E903FC">
        <w:rPr>
          <w:rFonts w:ascii="Times New Roman" w:eastAsia="Times New Roman" w:hAnsi="Times New Roman" w:cs="Times New Roman"/>
          <w:sz w:val="28"/>
          <w:szCs w:val="28"/>
          <w:u w:val="single"/>
          <w:lang w:eastAsia="bg-BG"/>
        </w:rPr>
        <w:t>За оправданите лица:</w:t>
      </w:r>
    </w:p>
    <w:p w14:paraId="07A93177" w14:textId="48DCEEAB"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Макар и леко увеличен /с</w:t>
      </w:r>
      <w:r w:rsidR="001D5727">
        <w:rPr>
          <w:rFonts w:ascii="Times New Roman" w:eastAsia="Times New Roman" w:hAnsi="Times New Roman" w:cs="Times New Roman"/>
          <w:sz w:val="28"/>
          <w:szCs w:val="28"/>
          <w:lang w:eastAsia="bg-BG"/>
        </w:rPr>
        <w:t xml:space="preserve"> </w:t>
      </w:r>
      <w:r w:rsidRPr="00E903FC">
        <w:rPr>
          <w:rFonts w:ascii="Times New Roman" w:eastAsia="Times New Roman" w:hAnsi="Times New Roman" w:cs="Times New Roman"/>
          <w:sz w:val="28"/>
          <w:szCs w:val="28"/>
          <w:lang w:eastAsia="bg-BG"/>
        </w:rPr>
        <w:t xml:space="preserve">0,5%/ запазва се ниското ниво на </w:t>
      </w:r>
      <w:r w:rsidRPr="00E903FC">
        <w:rPr>
          <w:rFonts w:ascii="Times New Roman" w:eastAsia="Times New Roman" w:hAnsi="Times New Roman" w:cs="Times New Roman"/>
          <w:bCs/>
          <w:sz w:val="28"/>
          <w:szCs w:val="28"/>
          <w:u w:val="single"/>
          <w:lang w:eastAsia="bg-BG"/>
        </w:rPr>
        <w:t>оправданите лица</w:t>
      </w:r>
      <w:r w:rsidRPr="00E903FC">
        <w:rPr>
          <w:rFonts w:ascii="Times New Roman" w:eastAsia="Times New Roman" w:hAnsi="Times New Roman" w:cs="Times New Roman"/>
          <w:bCs/>
          <w:sz w:val="28"/>
          <w:szCs w:val="28"/>
          <w:lang w:eastAsia="bg-BG"/>
        </w:rPr>
        <w:t xml:space="preserve"> </w:t>
      </w:r>
      <w:r w:rsidRPr="00E903FC">
        <w:rPr>
          <w:rFonts w:ascii="Times New Roman" w:eastAsia="Times New Roman" w:hAnsi="Times New Roman" w:cs="Times New Roman"/>
          <w:sz w:val="28"/>
          <w:szCs w:val="28"/>
          <w:lang w:eastAsia="bg-BG"/>
        </w:rPr>
        <w:t>с влязъл в сила съдебен акт, отнесен към всички лица с постановен окончателен съдебен акт, като се формира тригодишна тенденция за намаляване по този показател – 1,7% (1,2  за 2021 г. и 1,3% за 2020 г.). Това е добра характеристика за работата на прокурорите в региона и следва да бъде запазена.</w:t>
      </w:r>
    </w:p>
    <w:p w14:paraId="00DB4B72" w14:textId="77777777" w:rsidR="00E903FC" w:rsidRPr="00E903FC" w:rsidRDefault="00E903FC" w:rsidP="00E903FC">
      <w:pPr>
        <w:spacing w:after="0" w:line="240" w:lineRule="auto"/>
        <w:ind w:firstLine="709"/>
        <w:jc w:val="both"/>
        <w:rPr>
          <w:rFonts w:ascii="Times New Roman" w:eastAsia="Times New Roman" w:hAnsi="Times New Roman" w:cs="Times New Roman"/>
          <w:bCs/>
          <w:sz w:val="28"/>
          <w:szCs w:val="28"/>
          <w:u w:val="single"/>
          <w:lang w:eastAsia="bg-BG"/>
        </w:rPr>
      </w:pPr>
      <w:r w:rsidRPr="00E903FC">
        <w:rPr>
          <w:rFonts w:ascii="Times New Roman" w:eastAsia="Times New Roman" w:hAnsi="Times New Roman" w:cs="Times New Roman"/>
          <w:bCs/>
          <w:sz w:val="28"/>
          <w:szCs w:val="28"/>
          <w:u w:val="single"/>
          <w:lang w:eastAsia="bg-BG"/>
        </w:rPr>
        <w:t>За срочността на разследване:</w:t>
      </w:r>
    </w:p>
    <w:p w14:paraId="77EA0424"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bCs/>
          <w:sz w:val="28"/>
          <w:szCs w:val="28"/>
          <w:lang w:eastAsia="bg-BG"/>
        </w:rPr>
        <w:t>Приключените разследвания по досъдебни производства извън</w:t>
      </w:r>
      <w:r w:rsidRPr="00E903FC">
        <w:rPr>
          <w:rFonts w:ascii="Times New Roman" w:eastAsia="Times New Roman" w:hAnsi="Times New Roman" w:cs="Times New Roman"/>
          <w:sz w:val="28"/>
          <w:szCs w:val="28"/>
          <w:lang w:eastAsia="bg-BG"/>
        </w:rPr>
        <w:t xml:space="preserve"> законоустановените срокове са 0 бр. за целия район на ОП Монтана при 0 бр. за 2021 г. и 8 бр. за 2020 г. Тази статистика е показател за подобряване работата на прокурорите, както и на разследващите органи. При неприключените разследвания всички са в законов срок, което само потвърждава вече направения извод. Налага се като краен извод, че прокурорите спазват разпоредбата на чл. 234, ал. 3 от НПК и в срок изготвят мотивирани искания до административния ръководител.</w:t>
      </w:r>
    </w:p>
    <w:p w14:paraId="67ADCDF7" w14:textId="77777777" w:rsidR="00E903FC" w:rsidRPr="00E903FC" w:rsidRDefault="00E903FC" w:rsidP="00E903FC">
      <w:pPr>
        <w:spacing w:after="0" w:line="240" w:lineRule="auto"/>
        <w:ind w:firstLine="709"/>
        <w:jc w:val="both"/>
        <w:rPr>
          <w:rFonts w:ascii="Times New Roman" w:eastAsia="Times New Roman" w:hAnsi="Times New Roman" w:cs="Times New Roman"/>
          <w:bCs/>
          <w:sz w:val="28"/>
          <w:szCs w:val="28"/>
          <w:u w:val="single"/>
          <w:lang w:eastAsia="bg-BG"/>
        </w:rPr>
      </w:pPr>
      <w:r w:rsidRPr="00E903FC">
        <w:rPr>
          <w:rFonts w:ascii="Times New Roman" w:eastAsia="Times New Roman" w:hAnsi="Times New Roman" w:cs="Times New Roman"/>
          <w:sz w:val="28"/>
          <w:szCs w:val="28"/>
          <w:u w:val="single"/>
          <w:lang w:eastAsia="bg-BG"/>
        </w:rPr>
        <w:t xml:space="preserve">За </w:t>
      </w:r>
      <w:r w:rsidRPr="00E903FC">
        <w:rPr>
          <w:rFonts w:ascii="Times New Roman" w:eastAsia="Times New Roman" w:hAnsi="Times New Roman" w:cs="Times New Roman"/>
          <w:bCs/>
          <w:sz w:val="28"/>
          <w:szCs w:val="28"/>
          <w:u w:val="single"/>
          <w:lang w:eastAsia="bg-BG"/>
        </w:rPr>
        <w:t>качеството на разследване по всички производства:</w:t>
      </w:r>
    </w:p>
    <w:p w14:paraId="11C36FE6"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bCs/>
          <w:sz w:val="28"/>
          <w:szCs w:val="28"/>
          <w:lang w:eastAsia="bg-BG"/>
        </w:rPr>
        <w:t xml:space="preserve">През отчетния период в абсолютен брой се наблюдава тенденция за запазване броя на върнатите от съда на прокурора дела поради допуснати съществени процесуални нарушения – 12 бр. (при 7 бр. за 2021 г. и 10 бр. за 2020 г.). Налице е стабилност в процентно съотношение на върнатите дела спрямо внесените в съда прокурорски актове. Изпълнявани са </w:t>
      </w:r>
      <w:r w:rsidRPr="00E903FC">
        <w:rPr>
          <w:rFonts w:ascii="Times New Roman" w:eastAsia="Calibri" w:hAnsi="Times New Roman" w:cs="Times New Roman"/>
          <w:sz w:val="28"/>
          <w:szCs w:val="28"/>
        </w:rPr>
        <w:t>Указанията за подобряване</w:t>
      </w:r>
      <w:r w:rsidRPr="00E903FC">
        <w:rPr>
          <w:rFonts w:ascii="Calibri" w:eastAsia="Calibri" w:hAnsi="Calibri" w:cs="Times New Roman"/>
          <w:sz w:val="28"/>
          <w:szCs w:val="28"/>
        </w:rPr>
        <w:t xml:space="preserve"> </w:t>
      </w:r>
      <w:r w:rsidRPr="00E903FC">
        <w:rPr>
          <w:rFonts w:ascii="Times New Roman" w:eastAsia="Calibri" w:hAnsi="Times New Roman" w:cs="Times New Roman"/>
          <w:sz w:val="28"/>
          <w:szCs w:val="28"/>
        </w:rPr>
        <w:t>работата на ПРБ по наказателно-съдебния надзор, утв. със</w:t>
      </w:r>
      <w:r w:rsidRPr="00E903FC">
        <w:rPr>
          <w:rFonts w:ascii="Times New Roman" w:eastAsia="Times New Roman" w:hAnsi="Times New Roman" w:cs="Times New Roman"/>
          <w:bCs/>
          <w:sz w:val="28"/>
          <w:szCs w:val="28"/>
          <w:lang w:eastAsia="bg-BG"/>
        </w:rPr>
        <w:t xml:space="preserve"> </w:t>
      </w:r>
      <w:r w:rsidRPr="00E903FC">
        <w:rPr>
          <w:rFonts w:ascii="Times New Roman" w:eastAsia="Calibri" w:hAnsi="Times New Roman" w:cs="Times New Roman"/>
          <w:sz w:val="28"/>
          <w:szCs w:val="28"/>
        </w:rPr>
        <w:t xml:space="preserve">Заповед № РД-02-29/15.12.2017 г. на главния прокурор на РБ. </w:t>
      </w:r>
      <w:r w:rsidRPr="00E903FC">
        <w:rPr>
          <w:rFonts w:ascii="Times New Roman" w:eastAsia="Times New Roman" w:hAnsi="Times New Roman" w:cs="Times New Roman"/>
          <w:bCs/>
          <w:sz w:val="28"/>
          <w:szCs w:val="28"/>
          <w:lang w:eastAsia="bg-BG"/>
        </w:rPr>
        <w:t>Всеки акт за връщане на дело на прокуратурата се подлага на анализ от определения за тази дейност прокурор в чрез попълване на Приложение № 5 от УНСН. Целта е да се установят най-често допусканите слабости и повтарящи се грешки.</w:t>
      </w:r>
      <w:r w:rsidRPr="00E903FC">
        <w:rPr>
          <w:rFonts w:ascii="Times New Roman" w:eastAsia="Times New Roman" w:hAnsi="Times New Roman" w:cs="Times New Roman"/>
          <w:sz w:val="28"/>
          <w:szCs w:val="28"/>
          <w:lang w:eastAsia="bg-BG"/>
        </w:rPr>
        <w:t xml:space="preserve"> Необходимо е да продължат анализите на конкретните причини за връщане на делата и  постановяване на оправдателни присъди. От особена важност е поддържането на квалификацията на прокурорите и разследващите органи, което през отчетната година бе затруднено от създадената епидемична обстановка. Полезно би било, ако се достигне и до уеднаквяване на съдебната практика. </w:t>
      </w:r>
    </w:p>
    <w:p w14:paraId="11A88500"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bCs/>
          <w:sz w:val="28"/>
          <w:szCs w:val="28"/>
          <w:lang w:eastAsia="bg-BG"/>
        </w:rPr>
        <w:t xml:space="preserve">Качеството на прокурорската работа се оценява и по </w:t>
      </w:r>
      <w:r w:rsidRPr="00E903FC">
        <w:rPr>
          <w:rFonts w:ascii="Times New Roman" w:eastAsia="Times New Roman" w:hAnsi="Times New Roman" w:cs="Times New Roman"/>
          <w:sz w:val="28"/>
          <w:szCs w:val="28"/>
          <w:lang w:eastAsia="bg-BG"/>
        </w:rPr>
        <w:t xml:space="preserve">обосноваването на актовете и обвиненията пред съда. През отчетния период се запазва високият дял на </w:t>
      </w:r>
      <w:r w:rsidRPr="00E903FC">
        <w:rPr>
          <w:rFonts w:ascii="Times New Roman" w:eastAsia="Times New Roman" w:hAnsi="Times New Roman" w:cs="Times New Roman"/>
          <w:bCs/>
          <w:sz w:val="28"/>
          <w:szCs w:val="28"/>
          <w:lang w:eastAsia="bg-BG"/>
        </w:rPr>
        <w:t xml:space="preserve">осъдените лица </w:t>
      </w:r>
      <w:r w:rsidRPr="00E903FC">
        <w:rPr>
          <w:rFonts w:ascii="Times New Roman" w:eastAsia="Times New Roman" w:hAnsi="Times New Roman" w:cs="Times New Roman"/>
          <w:sz w:val="28"/>
          <w:szCs w:val="28"/>
          <w:lang w:eastAsia="bg-BG"/>
        </w:rPr>
        <w:t>с влезли в сила съдебни актове – 95% (95% през 2021 г. и 98% през 2020 г.), запазва се и нисък процент на влезлите в сила оправдателни присъди спрямо всички постановени съдебни актове -1,7%.</w:t>
      </w:r>
    </w:p>
    <w:p w14:paraId="09031E8E"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u w:val="single"/>
          <w:lang w:eastAsia="bg-BG"/>
        </w:rPr>
      </w:pPr>
      <w:r w:rsidRPr="00E903FC">
        <w:rPr>
          <w:rFonts w:ascii="Times New Roman" w:eastAsia="Times New Roman" w:hAnsi="Times New Roman" w:cs="Times New Roman"/>
          <w:sz w:val="28"/>
          <w:szCs w:val="28"/>
          <w:u w:val="single"/>
          <w:lang w:eastAsia="bg-BG"/>
        </w:rPr>
        <w:lastRenderedPageBreak/>
        <w:t>По изпълнението на наказанията:</w:t>
      </w:r>
    </w:p>
    <w:p w14:paraId="57B7E0FC"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 xml:space="preserve">Изключително високият дял на </w:t>
      </w:r>
      <w:r w:rsidRPr="00E903FC">
        <w:rPr>
          <w:rFonts w:ascii="Times New Roman" w:eastAsia="Times New Roman" w:hAnsi="Times New Roman" w:cs="Times New Roman"/>
          <w:bCs/>
          <w:sz w:val="28"/>
          <w:szCs w:val="28"/>
          <w:lang w:eastAsia="bg-BG"/>
        </w:rPr>
        <w:t xml:space="preserve">приведените в изпълнение присъди </w:t>
      </w:r>
      <w:r w:rsidRPr="00E903FC">
        <w:rPr>
          <w:rFonts w:ascii="Times New Roman" w:eastAsia="Times New Roman" w:hAnsi="Times New Roman" w:cs="Times New Roman"/>
          <w:sz w:val="28"/>
          <w:szCs w:val="28"/>
          <w:lang w:eastAsia="bg-BG"/>
        </w:rPr>
        <w:t xml:space="preserve">спрямо получените за изпълнение в прокуратурата (94%) определя и високата ефективност на упражнявания от прокурорите надзор за законност по отношение на изпълнение на наказанията, за които е компетентна прокуратурата. Това съотношение леко намалява </w:t>
      </w:r>
      <w:r w:rsidRPr="00E903FC">
        <w:rPr>
          <w:rFonts w:ascii="Times New Roman" w:eastAsia="Times New Roman" w:hAnsi="Times New Roman" w:cs="Times New Roman"/>
          <w:sz w:val="28"/>
          <w:szCs w:val="28"/>
          <w:lang w:val="en-US" w:eastAsia="bg-BG"/>
        </w:rPr>
        <w:t>(</w:t>
      </w:r>
      <w:r w:rsidRPr="00E903FC">
        <w:rPr>
          <w:rFonts w:ascii="Times New Roman" w:eastAsia="Times New Roman" w:hAnsi="Times New Roman" w:cs="Times New Roman"/>
          <w:sz w:val="28"/>
          <w:szCs w:val="28"/>
          <w:lang w:eastAsia="bg-BG"/>
        </w:rPr>
        <w:t>90% за 2021 г. и 95% за 2020 г.</w:t>
      </w:r>
      <w:r w:rsidRPr="00E903FC">
        <w:rPr>
          <w:rFonts w:ascii="Times New Roman" w:eastAsia="Times New Roman" w:hAnsi="Times New Roman" w:cs="Times New Roman"/>
          <w:sz w:val="28"/>
          <w:szCs w:val="28"/>
          <w:lang w:val="en-US" w:eastAsia="bg-BG"/>
        </w:rPr>
        <w:t>)</w:t>
      </w:r>
      <w:r w:rsidRPr="00E903FC">
        <w:rPr>
          <w:rFonts w:ascii="Times New Roman" w:eastAsia="Times New Roman" w:hAnsi="Times New Roman" w:cs="Times New Roman"/>
          <w:sz w:val="28"/>
          <w:szCs w:val="28"/>
          <w:lang w:eastAsia="bg-BG"/>
        </w:rPr>
        <w:t xml:space="preserve"> в сравнение с предходните отчетни периоди. Непривеждането в изпълнение на всички изпратени присъди не се дължи на несвършена работа от прокурорите, а на необходимостта от групиране на наказания преди привеждането на присъдата в изпълнение.</w:t>
      </w:r>
    </w:p>
    <w:p w14:paraId="443F149D" w14:textId="77777777" w:rsidR="00E903FC" w:rsidRPr="00E903FC" w:rsidRDefault="00E903FC" w:rsidP="00E903FC">
      <w:pPr>
        <w:spacing w:after="0" w:line="240" w:lineRule="auto"/>
        <w:ind w:firstLine="709"/>
        <w:jc w:val="both"/>
        <w:rPr>
          <w:rFonts w:ascii="Times New Roman" w:eastAsia="Times New Roman" w:hAnsi="Times New Roman" w:cs="Times New Roman"/>
          <w:sz w:val="24"/>
          <w:szCs w:val="24"/>
        </w:rPr>
      </w:pPr>
    </w:p>
    <w:p w14:paraId="4306A88C" w14:textId="77777777" w:rsidR="00E903FC" w:rsidRPr="00E903FC" w:rsidRDefault="00E903FC" w:rsidP="00E903FC">
      <w:pPr>
        <w:ind w:firstLine="708"/>
        <w:rPr>
          <w:rFonts w:ascii="Times New Roman" w:eastAsia="Calibri" w:hAnsi="Times New Roman" w:cs="Times New Roman"/>
          <w:b/>
          <w:i/>
          <w:sz w:val="28"/>
          <w:szCs w:val="28"/>
          <w:u w:val="single"/>
        </w:rPr>
      </w:pPr>
      <w:r w:rsidRPr="00E903FC">
        <w:rPr>
          <w:rFonts w:ascii="Times New Roman" w:eastAsia="Calibri" w:hAnsi="Times New Roman" w:cs="Times New Roman"/>
          <w:b/>
          <w:i/>
          <w:sz w:val="28"/>
          <w:szCs w:val="28"/>
          <w:u w:val="single"/>
        </w:rPr>
        <w:t>1.6. Обобщени данни по преписки:</w:t>
      </w:r>
    </w:p>
    <w:p w14:paraId="717CD0B5"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u w:val="single"/>
          <w:lang w:eastAsia="bg-BG"/>
        </w:rPr>
      </w:pPr>
      <w:r w:rsidRPr="00E903FC">
        <w:rPr>
          <w:rFonts w:ascii="Times New Roman" w:eastAsia="Times New Roman" w:hAnsi="Times New Roman" w:cs="Times New Roman"/>
          <w:bCs/>
          <w:sz w:val="28"/>
          <w:szCs w:val="28"/>
          <w:u w:val="single"/>
          <w:lang w:eastAsia="bg-BG"/>
        </w:rPr>
        <w:t>Дейност по преписки:</w:t>
      </w:r>
    </w:p>
    <w:p w14:paraId="5C5FA564"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color w:val="000000"/>
          <w:sz w:val="28"/>
          <w:szCs w:val="28"/>
          <w:lang w:eastAsia="bg-BG"/>
        </w:rPr>
        <w:t xml:space="preserve">Прокурорите от </w:t>
      </w:r>
      <w:r w:rsidRPr="00E903FC">
        <w:rPr>
          <w:rFonts w:ascii="Times New Roman" w:eastAsia="Times New Roman" w:hAnsi="Times New Roman" w:cs="Times New Roman"/>
          <w:bCs/>
          <w:color w:val="000000"/>
          <w:sz w:val="28"/>
          <w:szCs w:val="28"/>
          <w:lang w:eastAsia="bg-BG"/>
        </w:rPr>
        <w:t xml:space="preserve">ОП гр. Монтана и районните прокуратури </w:t>
      </w:r>
      <w:r w:rsidRPr="00E903FC">
        <w:rPr>
          <w:rFonts w:ascii="Times New Roman" w:eastAsia="Times New Roman" w:hAnsi="Times New Roman" w:cs="Times New Roman"/>
          <w:color w:val="000000"/>
          <w:sz w:val="28"/>
          <w:szCs w:val="28"/>
          <w:lang w:eastAsia="bg-BG"/>
        </w:rPr>
        <w:t>са решили общо 5175 преписки, което съставлява  93% /96% за 2021 г. и 95,3% за 2020 г./ от наблюдаваните. Прокурорите от ОП Монтана са решили 464 преписки, което съставлява 96,9% от наблюдаваните (96,5% за 2021 г. и 92% за 2020 г.)</w:t>
      </w:r>
      <w:r w:rsidRPr="00E903FC">
        <w:rPr>
          <w:rFonts w:ascii="Times New Roman" w:eastAsia="Times New Roman" w:hAnsi="Times New Roman" w:cs="Times New Roman"/>
          <w:sz w:val="28"/>
          <w:szCs w:val="28"/>
          <w:lang w:eastAsia="bg-BG"/>
        </w:rPr>
        <w:t>. Налице е увеличение на това съотношение спрямо предходните 2021 г. и 2020 г.</w:t>
      </w:r>
    </w:p>
    <w:p w14:paraId="5C58CE0F"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 xml:space="preserve">В </w:t>
      </w:r>
      <w:r w:rsidRPr="00E903FC">
        <w:rPr>
          <w:rFonts w:ascii="Times New Roman" w:eastAsia="Times New Roman" w:hAnsi="Times New Roman" w:cs="Times New Roman"/>
          <w:bCs/>
          <w:sz w:val="28"/>
          <w:szCs w:val="28"/>
          <w:lang w:eastAsia="bg-BG"/>
        </w:rPr>
        <w:t xml:space="preserve">районната прокуратура </w:t>
      </w:r>
      <w:r w:rsidRPr="00E903FC">
        <w:rPr>
          <w:rFonts w:ascii="Times New Roman" w:eastAsia="Times New Roman" w:hAnsi="Times New Roman" w:cs="Times New Roman"/>
          <w:sz w:val="28"/>
          <w:szCs w:val="28"/>
          <w:lang w:eastAsia="bg-BG"/>
        </w:rPr>
        <w:t>решените преписки са 4711 или 92,5% от наблюдаваните (96% за 2021 г. и 95,6% за 2020 г.). При районните прокуратури се наблюдава намаление спрямо предходните 2021 г. и 2022 г.</w:t>
      </w:r>
    </w:p>
    <w:p w14:paraId="55E60265"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u w:val="single"/>
          <w:lang w:eastAsia="bg-BG"/>
        </w:rPr>
      </w:pPr>
      <w:r w:rsidRPr="00E903FC">
        <w:rPr>
          <w:rFonts w:ascii="Times New Roman" w:eastAsia="Times New Roman" w:hAnsi="Times New Roman" w:cs="Times New Roman"/>
          <w:sz w:val="28"/>
          <w:szCs w:val="28"/>
          <w:u w:val="single"/>
          <w:lang w:eastAsia="bg-BG"/>
        </w:rPr>
        <w:t>Инстанционен контрол:</w:t>
      </w:r>
    </w:p>
    <w:p w14:paraId="73F6BA93"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През 2022 г. прокурорите от Окръжна прокуратура гр. Монтана са решили общо 185 (283 през 2021 г. и 167 през 2020 г.) инстанционни преписки. По реда на инстанционния и служебен контрол са потвърдени  177  прокурорски акта на първоинстанционните прокуратури (при 261 за 2021 г. и 189 за 2020 г.), а са отменени 43 (43 през 2021 г. и 33 през 202 г.). Отменените актове на районните прокуратури са еднакви с тези през 2021 г. и увеличени спрямо 2020 г., което изисква по-задълбочена преценка при изясняване на фактическата обстановка и извеждане на съответните правни изводи. Общият брой на отменени и потвърдени актове надвишава броя на инстанционните преписки поради наличието на по-голям брой произнасяния (актове) по 1 инстанционна преписка съгласно Указанията за попълване на статистическите таблици.</w:t>
      </w:r>
    </w:p>
    <w:p w14:paraId="5B608A18"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u w:val="single"/>
          <w:lang w:eastAsia="bg-BG"/>
        </w:rPr>
      </w:pPr>
      <w:r w:rsidRPr="00E903FC">
        <w:rPr>
          <w:rFonts w:ascii="Times New Roman" w:eastAsia="Times New Roman" w:hAnsi="Times New Roman" w:cs="Times New Roman"/>
          <w:bCs/>
          <w:sz w:val="28"/>
          <w:szCs w:val="28"/>
          <w:u w:val="single"/>
          <w:lang w:eastAsia="bg-BG"/>
        </w:rPr>
        <w:t>Дейност по самосезиране на прокурорите:</w:t>
      </w:r>
    </w:p>
    <w:p w14:paraId="219E9BC1" w14:textId="6DAF3543"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През 2022 г. са  образувани след самосезиране  4 бр. преписки, от които  е образувано 1 бр. ДП. Този пункт не включва дейността на прокуратурите по надзора за законност, при осъществяването на която има образувани преписки след самосезиране. Преписките, образувани от прокурор след самосезиране, са били общо 2 през 2021 г. и 13 през 2020 г., следователно – налице е увеличение на инициативността на прокурорите в сравнение с предходния отчетен период и намаление спрямо 2020 г.</w:t>
      </w:r>
    </w:p>
    <w:p w14:paraId="759B31D7" w14:textId="77777777" w:rsidR="00A14BC4" w:rsidRDefault="00A14BC4" w:rsidP="00E903FC">
      <w:pPr>
        <w:spacing w:after="0" w:line="240" w:lineRule="auto"/>
        <w:ind w:firstLine="709"/>
        <w:jc w:val="both"/>
        <w:rPr>
          <w:rFonts w:ascii="Times New Roman" w:eastAsia="Times New Roman" w:hAnsi="Times New Roman" w:cs="Times New Roman"/>
          <w:bCs/>
          <w:sz w:val="28"/>
          <w:szCs w:val="28"/>
          <w:u w:val="single"/>
          <w:lang w:eastAsia="bg-BG"/>
        </w:rPr>
      </w:pPr>
    </w:p>
    <w:p w14:paraId="5DD3F186" w14:textId="77777777" w:rsidR="00A14BC4" w:rsidRDefault="00A14BC4" w:rsidP="00E903FC">
      <w:pPr>
        <w:spacing w:after="0" w:line="240" w:lineRule="auto"/>
        <w:ind w:firstLine="709"/>
        <w:jc w:val="both"/>
        <w:rPr>
          <w:rFonts w:ascii="Times New Roman" w:eastAsia="Times New Roman" w:hAnsi="Times New Roman" w:cs="Times New Roman"/>
          <w:bCs/>
          <w:sz w:val="28"/>
          <w:szCs w:val="28"/>
          <w:u w:val="single"/>
          <w:lang w:eastAsia="bg-BG"/>
        </w:rPr>
      </w:pPr>
    </w:p>
    <w:p w14:paraId="5CC9F734"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u w:val="single"/>
          <w:lang w:eastAsia="bg-BG"/>
        </w:rPr>
      </w:pPr>
      <w:r w:rsidRPr="00E903FC">
        <w:rPr>
          <w:rFonts w:ascii="Times New Roman" w:eastAsia="Times New Roman" w:hAnsi="Times New Roman" w:cs="Times New Roman"/>
          <w:bCs/>
          <w:sz w:val="28"/>
          <w:szCs w:val="28"/>
          <w:u w:val="single"/>
          <w:lang w:eastAsia="bg-BG"/>
        </w:rPr>
        <w:lastRenderedPageBreak/>
        <w:t>Образуване на преписки по сигнали на контролните органи:</w:t>
      </w:r>
    </w:p>
    <w:p w14:paraId="4B1D79A8" w14:textId="7A609FA9"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През 202</w:t>
      </w:r>
      <w:r w:rsidR="00672AE2">
        <w:rPr>
          <w:rFonts w:ascii="Times New Roman" w:eastAsia="Times New Roman" w:hAnsi="Times New Roman" w:cs="Times New Roman"/>
          <w:sz w:val="28"/>
          <w:szCs w:val="28"/>
          <w:lang w:eastAsia="bg-BG"/>
        </w:rPr>
        <w:t>2</w:t>
      </w:r>
      <w:r w:rsidRPr="00E903FC">
        <w:rPr>
          <w:rFonts w:ascii="Times New Roman" w:eastAsia="Times New Roman" w:hAnsi="Times New Roman" w:cs="Times New Roman"/>
          <w:sz w:val="28"/>
          <w:szCs w:val="28"/>
          <w:lang w:eastAsia="bg-BG"/>
        </w:rPr>
        <w:t xml:space="preserve"> г. в прокуратурите в региона са наблюдавани общо 11  преписки, образувани по сигнали на контролни органи и 59 ДП (при 95 за 2021 г. и 62 за 2020 г.). От всички 11 преписки 10 са образувани по сигнал на НАП, по сигнал на Агенция „Митници“ е наблюдавана 1 преписка. </w:t>
      </w:r>
    </w:p>
    <w:p w14:paraId="44D0EDDC"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По сигнали на ДАНС са наблюдавани  4 преписки, по материали от Дирекция „Вътрешна сигурност“ – МВР са образувани 2 преписки. От останалите контролни органи липсват сигнали (АДФИ, ДНСП, АСПК, ДФР, Сметна палата).</w:t>
      </w:r>
    </w:p>
    <w:p w14:paraId="1E41E3DF" w14:textId="77777777" w:rsidR="00E903FC" w:rsidRPr="00E903FC" w:rsidRDefault="00E903FC" w:rsidP="00E903FC">
      <w:pPr>
        <w:spacing w:after="0" w:line="240" w:lineRule="auto"/>
        <w:ind w:firstLine="709"/>
        <w:jc w:val="both"/>
        <w:rPr>
          <w:rFonts w:ascii="Times New Roman" w:eastAsia="Times New Roman" w:hAnsi="Times New Roman" w:cs="Times New Roman"/>
          <w:sz w:val="24"/>
          <w:szCs w:val="24"/>
        </w:rPr>
      </w:pPr>
      <w:r w:rsidRPr="00E903FC">
        <w:rPr>
          <w:rFonts w:ascii="Times New Roman" w:eastAsia="Times New Roman" w:hAnsi="Times New Roman" w:cs="Times New Roman"/>
          <w:sz w:val="24"/>
          <w:szCs w:val="24"/>
        </w:rPr>
        <w:t xml:space="preserve"> </w:t>
      </w:r>
    </w:p>
    <w:p w14:paraId="60CF9868" w14:textId="77777777" w:rsidR="00E903FC" w:rsidRPr="00E903FC" w:rsidRDefault="00E903FC" w:rsidP="00E903FC">
      <w:pPr>
        <w:ind w:firstLine="708"/>
        <w:rPr>
          <w:rFonts w:ascii="Times New Roman" w:eastAsia="Calibri" w:hAnsi="Times New Roman" w:cs="Arial"/>
          <w:b/>
          <w:i/>
          <w:color w:val="000000"/>
          <w:sz w:val="28"/>
          <w:u w:val="single"/>
          <w:lang w:eastAsia="bg-BG"/>
        </w:rPr>
      </w:pPr>
      <w:r w:rsidRPr="00E903FC">
        <w:rPr>
          <w:rFonts w:ascii="Times New Roman" w:eastAsia="Calibri" w:hAnsi="Times New Roman" w:cs="Times New Roman"/>
          <w:b/>
          <w:i/>
          <w:sz w:val="28"/>
          <w:szCs w:val="28"/>
          <w:u w:val="single"/>
        </w:rPr>
        <w:t>1.7. Използване на СРС и резултати по наказателните дела, по които са прилагани:</w:t>
      </w:r>
    </w:p>
    <w:p w14:paraId="1716C90B" w14:textId="77777777" w:rsidR="00E903FC" w:rsidRPr="00E903FC" w:rsidRDefault="00E903FC" w:rsidP="00E903FC">
      <w:pPr>
        <w:spacing w:after="0" w:line="240" w:lineRule="auto"/>
        <w:ind w:firstLine="709"/>
        <w:jc w:val="both"/>
        <w:rPr>
          <w:rFonts w:ascii="Times New Roman" w:eastAsia="Times New Roman" w:hAnsi="Times New Roman" w:cs="Times New Roman"/>
          <w:bCs/>
          <w:sz w:val="28"/>
          <w:szCs w:val="28"/>
          <w:lang w:eastAsia="bg-BG"/>
        </w:rPr>
      </w:pPr>
      <w:r w:rsidRPr="00E903FC">
        <w:rPr>
          <w:rFonts w:ascii="Times New Roman" w:eastAsia="Times New Roman" w:hAnsi="Times New Roman" w:cs="Times New Roman"/>
          <w:sz w:val="28"/>
          <w:szCs w:val="28"/>
          <w:lang w:eastAsia="bg-BG"/>
        </w:rPr>
        <w:t xml:space="preserve">През 2022 г. прокурорите са правили 1 бр. искане до съда за </w:t>
      </w:r>
      <w:r w:rsidRPr="00E903FC">
        <w:rPr>
          <w:rFonts w:ascii="Times New Roman" w:eastAsia="Times New Roman" w:hAnsi="Times New Roman" w:cs="Times New Roman"/>
          <w:bCs/>
          <w:sz w:val="28"/>
          <w:szCs w:val="28"/>
          <w:lang w:eastAsia="bg-BG"/>
        </w:rPr>
        <w:t xml:space="preserve">прилагане на СРС </w:t>
      </w:r>
      <w:r w:rsidRPr="00E903FC">
        <w:rPr>
          <w:rFonts w:ascii="Times New Roman" w:eastAsia="Times New Roman" w:hAnsi="Times New Roman" w:cs="Times New Roman"/>
          <w:sz w:val="28"/>
          <w:szCs w:val="28"/>
          <w:lang w:eastAsia="bg-BG"/>
        </w:rPr>
        <w:t>по образувано/започнато ДП. През 2021 г. и 2020 г. не са правени искания. Това обстоятелство не следва да се разглежда като отрицателна  характеристика, тъй като използването на СРС е извънреден и краен способ и се прилага само в случаите на невъзможност да бъдат събрани доказателства по друг ред и показва увеличена активност при събиране на годни доказателства.</w:t>
      </w:r>
    </w:p>
    <w:p w14:paraId="602B56C1" w14:textId="57DFBF2A" w:rsidR="00E903FC" w:rsidRPr="00E903FC" w:rsidRDefault="00E903FC" w:rsidP="00E903FC">
      <w:pPr>
        <w:spacing w:after="0" w:line="240" w:lineRule="auto"/>
        <w:ind w:firstLine="709"/>
        <w:jc w:val="both"/>
        <w:rPr>
          <w:rFonts w:ascii="Times New Roman" w:eastAsia="Times New Roman" w:hAnsi="Times New Roman" w:cs="Times New Roman"/>
          <w:bCs/>
          <w:color w:val="000000"/>
          <w:sz w:val="28"/>
          <w:szCs w:val="28"/>
          <w:lang w:eastAsia="bg-BG"/>
        </w:rPr>
      </w:pPr>
      <w:r w:rsidRPr="00E903FC">
        <w:rPr>
          <w:rFonts w:ascii="Times New Roman" w:eastAsia="Times New Roman" w:hAnsi="Times New Roman" w:cs="Times New Roman"/>
          <w:bCs/>
          <w:color w:val="000000"/>
          <w:sz w:val="28"/>
          <w:szCs w:val="28"/>
          <w:lang w:eastAsia="bg-BG"/>
        </w:rPr>
        <w:t>През 202</w:t>
      </w:r>
      <w:r w:rsidR="00672AE2">
        <w:rPr>
          <w:rFonts w:ascii="Times New Roman" w:eastAsia="Times New Roman" w:hAnsi="Times New Roman" w:cs="Times New Roman"/>
          <w:bCs/>
          <w:color w:val="000000"/>
          <w:sz w:val="28"/>
          <w:szCs w:val="28"/>
          <w:lang w:eastAsia="bg-BG"/>
        </w:rPr>
        <w:t>2</w:t>
      </w:r>
      <w:r w:rsidRPr="00E903FC">
        <w:rPr>
          <w:rFonts w:ascii="Times New Roman" w:eastAsia="Times New Roman" w:hAnsi="Times New Roman" w:cs="Times New Roman"/>
          <w:bCs/>
          <w:color w:val="000000"/>
          <w:sz w:val="28"/>
          <w:szCs w:val="28"/>
          <w:lang w:eastAsia="bg-BG"/>
        </w:rPr>
        <w:t xml:space="preserve"> г. прокурорите от региона са отправили до съда 356 искания за предоставяне на данни по ЗЕС срещу 287 за 2021 г. и  293 за 2020 г. По този показател се наблюдава увеличение спрямо предходните периоди. От този брой по-голямата част са подадени от прокурорите в РП Монтана – 344 бр.</w:t>
      </w:r>
    </w:p>
    <w:p w14:paraId="79AC06F2" w14:textId="77777777" w:rsidR="00E903FC" w:rsidRPr="00E903FC" w:rsidRDefault="00E903FC" w:rsidP="00E903FC">
      <w:pPr>
        <w:spacing w:after="0" w:line="240" w:lineRule="auto"/>
        <w:ind w:firstLine="709"/>
        <w:jc w:val="both"/>
        <w:rPr>
          <w:rFonts w:ascii="Times New Roman" w:eastAsia="Times New Roman" w:hAnsi="Times New Roman" w:cs="Times New Roman"/>
          <w:sz w:val="24"/>
          <w:szCs w:val="24"/>
        </w:rPr>
      </w:pPr>
      <w:r w:rsidRPr="00E903FC">
        <w:rPr>
          <w:rFonts w:ascii="Times New Roman" w:eastAsia="Times New Roman" w:hAnsi="Times New Roman" w:cs="Times New Roman"/>
          <w:sz w:val="24"/>
          <w:szCs w:val="24"/>
        </w:rPr>
        <w:t xml:space="preserve"> </w:t>
      </w:r>
    </w:p>
    <w:p w14:paraId="57937423" w14:textId="77777777" w:rsidR="00E903FC" w:rsidRPr="00E903FC" w:rsidRDefault="00E903FC" w:rsidP="00E903FC">
      <w:pPr>
        <w:ind w:firstLine="708"/>
        <w:rPr>
          <w:rFonts w:ascii="Times New Roman" w:eastAsia="Calibri" w:hAnsi="Times New Roman" w:cs="Times New Roman"/>
          <w:b/>
          <w:i/>
          <w:sz w:val="28"/>
          <w:szCs w:val="28"/>
          <w:u w:val="single"/>
        </w:rPr>
      </w:pPr>
      <w:r w:rsidRPr="00E903FC">
        <w:rPr>
          <w:rFonts w:ascii="Times New Roman" w:eastAsia="Calibri" w:hAnsi="Times New Roman" w:cs="Times New Roman"/>
          <w:b/>
          <w:i/>
          <w:sz w:val="28"/>
          <w:szCs w:val="28"/>
          <w:u w:val="single"/>
        </w:rPr>
        <w:t>1.8. Отговорност на ПРБ по Закона за отговорността на държавата и общините за вреди (ЗОДОВ):</w:t>
      </w:r>
    </w:p>
    <w:p w14:paraId="4EDB573A" w14:textId="357C3380"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През 202</w:t>
      </w:r>
      <w:r w:rsidR="00672AE2">
        <w:rPr>
          <w:rFonts w:ascii="Times New Roman" w:eastAsia="Times New Roman" w:hAnsi="Times New Roman" w:cs="Times New Roman"/>
          <w:sz w:val="28"/>
          <w:szCs w:val="28"/>
          <w:lang w:eastAsia="bg-BG"/>
        </w:rPr>
        <w:t>2</w:t>
      </w:r>
      <w:r w:rsidRPr="00E903FC">
        <w:rPr>
          <w:rFonts w:ascii="Times New Roman" w:eastAsia="Times New Roman" w:hAnsi="Times New Roman" w:cs="Times New Roman"/>
          <w:sz w:val="28"/>
          <w:szCs w:val="28"/>
          <w:lang w:eastAsia="bg-BG"/>
        </w:rPr>
        <w:t xml:space="preserve"> г. са налице 3 бр.  влезли в сила решения по искове по ЗОДОВ срещу ПРБ /4 бр. през 2021  и 0 бр. през 2020 г./ не е имало влезли в сила решения. Присъдените обезщетения са в размер на 17000 лв.</w:t>
      </w:r>
    </w:p>
    <w:p w14:paraId="4FAE3738" w14:textId="77777777" w:rsidR="00E903FC" w:rsidRPr="00E903FC" w:rsidRDefault="00E903FC" w:rsidP="00E903FC">
      <w:pPr>
        <w:spacing w:after="0" w:line="240" w:lineRule="auto"/>
        <w:ind w:firstLine="709"/>
        <w:jc w:val="both"/>
        <w:rPr>
          <w:rFonts w:ascii="Times New Roman" w:eastAsia="Times New Roman" w:hAnsi="Times New Roman" w:cs="Times New Roman"/>
          <w:color w:val="000000"/>
          <w:sz w:val="28"/>
          <w:szCs w:val="28"/>
          <w:lang w:eastAsia="bg-BG"/>
        </w:rPr>
      </w:pPr>
    </w:p>
    <w:p w14:paraId="69892F71" w14:textId="77777777" w:rsidR="00E903FC" w:rsidRPr="00E903FC" w:rsidRDefault="00E903FC" w:rsidP="00E903FC">
      <w:pPr>
        <w:ind w:firstLine="708"/>
        <w:rPr>
          <w:rFonts w:ascii="Times New Roman" w:eastAsia="Calibri" w:hAnsi="Times New Roman" w:cs="Arial"/>
          <w:b/>
          <w:i/>
          <w:color w:val="000000"/>
          <w:sz w:val="28"/>
          <w:u w:val="single"/>
          <w:lang w:eastAsia="bg-BG"/>
        </w:rPr>
      </w:pPr>
      <w:r w:rsidRPr="00E903FC">
        <w:rPr>
          <w:rFonts w:ascii="Times New Roman" w:eastAsia="Calibri" w:hAnsi="Times New Roman" w:cs="Times New Roman"/>
          <w:b/>
          <w:i/>
          <w:sz w:val="28"/>
          <w:szCs w:val="28"/>
          <w:u w:val="single"/>
        </w:rPr>
        <w:t>1.9. Международно правно сътрудничество:</w:t>
      </w:r>
    </w:p>
    <w:p w14:paraId="4EEDE28F" w14:textId="74206DE3" w:rsidR="00E903FC" w:rsidRPr="00E903FC" w:rsidRDefault="00E903FC" w:rsidP="00E903FC">
      <w:pPr>
        <w:spacing w:after="0" w:line="240" w:lineRule="auto"/>
        <w:ind w:firstLine="709"/>
        <w:jc w:val="both"/>
        <w:rPr>
          <w:rFonts w:ascii="Times New Roman" w:eastAsia="Times New Roman" w:hAnsi="Times New Roman" w:cs="Times New Roman"/>
          <w:color w:val="000000"/>
          <w:sz w:val="28"/>
          <w:szCs w:val="28"/>
          <w:lang w:eastAsia="bg-BG"/>
        </w:rPr>
      </w:pPr>
      <w:r w:rsidRPr="00E903FC">
        <w:rPr>
          <w:rFonts w:ascii="Times New Roman" w:eastAsia="Times New Roman" w:hAnsi="Times New Roman" w:cs="Times New Roman"/>
          <w:color w:val="000000"/>
          <w:sz w:val="28"/>
          <w:szCs w:val="28"/>
          <w:lang w:eastAsia="bg-BG"/>
        </w:rPr>
        <w:t>През 202</w:t>
      </w:r>
      <w:r w:rsidR="00672AE2">
        <w:rPr>
          <w:rFonts w:ascii="Times New Roman" w:eastAsia="Times New Roman" w:hAnsi="Times New Roman" w:cs="Times New Roman"/>
          <w:color w:val="000000"/>
          <w:sz w:val="28"/>
          <w:szCs w:val="28"/>
          <w:lang w:eastAsia="bg-BG"/>
        </w:rPr>
        <w:t>2</w:t>
      </w:r>
      <w:r w:rsidRPr="00E903FC">
        <w:rPr>
          <w:rFonts w:ascii="Times New Roman" w:eastAsia="Times New Roman" w:hAnsi="Times New Roman" w:cs="Times New Roman"/>
          <w:color w:val="000000"/>
          <w:sz w:val="28"/>
          <w:szCs w:val="28"/>
          <w:lang w:eastAsia="bg-BG"/>
        </w:rPr>
        <w:t xml:space="preserve"> г. в прокуратурите в региона са били получени за изпълнение общо 15 бр. молби за правна помощ по международно-правното сътрудничество, 8 бр. европейски заповеди за разследване, 2 бр. европейска заповед за арест и 4 бр. молба за екстрадиция – общо 29 бр. (18 за 2021 г. и 11 за 2020 г.), които са изпълнени успешно. Всички молби са били отправени от страни-членки на ЕС. Получените МПП са се увеличили значително спрямо 2021 г. и 2020 г. От получените и изпълнени МПП всички са на ОП.</w:t>
      </w:r>
    </w:p>
    <w:p w14:paraId="17195FFE" w14:textId="6CD12597" w:rsidR="00E903FC" w:rsidRPr="00E903FC" w:rsidRDefault="00672AE2" w:rsidP="00E903FC">
      <w:pPr>
        <w:spacing w:after="0" w:line="240" w:lineRule="auto"/>
        <w:ind w:firstLine="709"/>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През 2022</w:t>
      </w:r>
      <w:r w:rsidR="00E903FC" w:rsidRPr="00E903FC">
        <w:rPr>
          <w:rFonts w:ascii="Times New Roman" w:eastAsia="Times New Roman" w:hAnsi="Times New Roman" w:cs="Times New Roman"/>
          <w:color w:val="000000"/>
          <w:sz w:val="28"/>
          <w:szCs w:val="28"/>
          <w:lang w:eastAsia="bg-BG"/>
        </w:rPr>
        <w:t xml:space="preserve"> г. в ОП Монтана са получени 4 бр. молби за екстрадиция, като през предходната  2021 г. е получена 1 бр. молба за екстрадиция, а през 2020 г. не са получавани молби за екстрадиции.</w:t>
      </w:r>
    </w:p>
    <w:p w14:paraId="43845729" w14:textId="77777777" w:rsidR="00E903FC" w:rsidRPr="00E903FC" w:rsidRDefault="00E903FC" w:rsidP="00E903FC">
      <w:pPr>
        <w:spacing w:after="0" w:line="240" w:lineRule="auto"/>
        <w:ind w:firstLine="709"/>
        <w:jc w:val="both"/>
        <w:rPr>
          <w:rFonts w:ascii="Times New Roman" w:eastAsia="Times New Roman" w:hAnsi="Times New Roman" w:cs="Times New Roman"/>
          <w:color w:val="000000"/>
          <w:sz w:val="28"/>
          <w:szCs w:val="28"/>
          <w:lang w:eastAsia="bg-BG"/>
        </w:rPr>
      </w:pPr>
      <w:r w:rsidRPr="00E903FC">
        <w:rPr>
          <w:rFonts w:ascii="Times New Roman" w:eastAsia="Times New Roman" w:hAnsi="Times New Roman" w:cs="Times New Roman"/>
          <w:color w:val="000000"/>
          <w:sz w:val="28"/>
          <w:szCs w:val="28"/>
          <w:lang w:eastAsia="bg-BG"/>
        </w:rPr>
        <w:t xml:space="preserve">От прокуратурите в региона са издадени общо 5 ЕЗА (2 ЕЗА за 2021 г. и 4 ЕЗА през 2020 г.). Тенденцията е за увеличаване броя на издадените ЕЗА спрямо предходните години. Към други страни са отправени 3 молби за </w:t>
      </w:r>
      <w:r w:rsidRPr="00E903FC">
        <w:rPr>
          <w:rFonts w:ascii="Times New Roman" w:eastAsia="Times New Roman" w:hAnsi="Times New Roman" w:cs="Times New Roman"/>
          <w:color w:val="000000"/>
          <w:sz w:val="28"/>
          <w:szCs w:val="28"/>
          <w:lang w:eastAsia="bg-BG"/>
        </w:rPr>
        <w:lastRenderedPageBreak/>
        <w:t>правна помощ вкл. 9 ЕЗР (също 7 за 2021 г. и 11 за 2020 г.) Тенденцията е за увеличаване на броя по този показател, което е белег за добра активност на прокурорите.</w:t>
      </w:r>
    </w:p>
    <w:p w14:paraId="47108919" w14:textId="77777777" w:rsidR="00E903FC" w:rsidRPr="00E903FC" w:rsidRDefault="00E903FC" w:rsidP="00E903FC">
      <w:pPr>
        <w:spacing w:after="0" w:line="240" w:lineRule="auto"/>
        <w:ind w:firstLine="709"/>
        <w:jc w:val="both"/>
        <w:rPr>
          <w:rFonts w:ascii="Times New Roman" w:eastAsia="Times New Roman" w:hAnsi="Times New Roman" w:cs="Times New Roman"/>
          <w:color w:val="000000"/>
          <w:sz w:val="28"/>
          <w:szCs w:val="28"/>
          <w:lang w:eastAsia="bg-BG"/>
        </w:rPr>
      </w:pPr>
      <w:r w:rsidRPr="00E903FC">
        <w:rPr>
          <w:rFonts w:ascii="Times New Roman" w:eastAsia="Times New Roman" w:hAnsi="Times New Roman" w:cs="Times New Roman"/>
          <w:color w:val="000000"/>
          <w:sz w:val="28"/>
          <w:szCs w:val="28"/>
          <w:lang w:eastAsia="bg-BG"/>
        </w:rPr>
        <w:t>Въпреки увеличената натовареност по тези показатели, абсолютните стойности са сравнително ниски поради нехарактерната работа по международни поръчки за района на ОП Монтана.</w:t>
      </w:r>
    </w:p>
    <w:p w14:paraId="60686FAD" w14:textId="77777777" w:rsidR="00E903FC" w:rsidRPr="00E903FC" w:rsidRDefault="00E903FC" w:rsidP="00E903FC">
      <w:pPr>
        <w:spacing w:after="0" w:line="240" w:lineRule="auto"/>
        <w:ind w:firstLine="709"/>
        <w:jc w:val="both"/>
        <w:rPr>
          <w:rFonts w:ascii="Times New Roman" w:eastAsia="Times New Roman" w:hAnsi="Times New Roman" w:cs="Times New Roman"/>
          <w:color w:val="000000"/>
          <w:sz w:val="28"/>
          <w:szCs w:val="28"/>
          <w:lang w:eastAsia="bg-BG"/>
        </w:rPr>
      </w:pPr>
    </w:p>
    <w:p w14:paraId="219139C2" w14:textId="77777777" w:rsidR="00E903FC" w:rsidRPr="00E903FC" w:rsidRDefault="00E903FC" w:rsidP="00E903FC">
      <w:pPr>
        <w:keepNext/>
        <w:shd w:val="clear" w:color="auto" w:fill="FFFFFF"/>
        <w:autoSpaceDE w:val="0"/>
        <w:autoSpaceDN w:val="0"/>
        <w:adjustRightInd w:val="0"/>
        <w:spacing w:after="0" w:line="240" w:lineRule="auto"/>
        <w:ind w:firstLine="709"/>
        <w:jc w:val="both"/>
        <w:outlineLvl w:val="1"/>
        <w:rPr>
          <w:rFonts w:ascii="Times New Roman" w:eastAsia="Calibri" w:hAnsi="Times New Roman" w:cs="Arial"/>
          <w:b/>
          <w:iCs/>
          <w:color w:val="000000"/>
          <w:sz w:val="28"/>
          <w:lang w:eastAsia="bg-BG"/>
        </w:rPr>
      </w:pPr>
      <w:bookmarkStart w:id="8" w:name="_Toc63940886"/>
      <w:bookmarkStart w:id="9" w:name="_Toc380392117"/>
      <w:bookmarkStart w:id="10" w:name="_Toc127370236"/>
      <w:r w:rsidRPr="00E903FC">
        <w:rPr>
          <w:rFonts w:ascii="Times New Roman" w:eastAsia="Calibri" w:hAnsi="Times New Roman" w:cs="Arial"/>
          <w:b/>
          <w:iCs/>
          <w:color w:val="000000"/>
          <w:sz w:val="28"/>
          <w:lang w:eastAsia="bg-BG"/>
        </w:rPr>
        <w:t>2. Фактори с актуално и дългосрочно значение за ефективността на органите на досъдебното производство и другите правоприлагащи органи, ангажирани с противодействието на престъпността.</w:t>
      </w:r>
      <w:bookmarkEnd w:id="8"/>
      <w:bookmarkEnd w:id="10"/>
    </w:p>
    <w:p w14:paraId="5B618F42" w14:textId="77777777" w:rsidR="00E903FC" w:rsidRPr="00E903FC" w:rsidRDefault="00E903FC" w:rsidP="00E903FC">
      <w:pPr>
        <w:shd w:val="clear" w:color="auto" w:fill="FFFFFF"/>
        <w:tabs>
          <w:tab w:val="left" w:pos="826"/>
        </w:tabs>
        <w:autoSpaceDE w:val="0"/>
        <w:autoSpaceDN w:val="0"/>
        <w:adjustRightInd w:val="0"/>
        <w:spacing w:after="0" w:line="240" w:lineRule="auto"/>
        <w:ind w:firstLine="720"/>
        <w:jc w:val="both"/>
        <w:rPr>
          <w:rFonts w:ascii="Calibri" w:eastAsia="Calibri" w:hAnsi="Calibri" w:cs="Times New Roman"/>
          <w:color w:val="000000"/>
          <w:sz w:val="28"/>
          <w:lang w:eastAsia="bg-BG"/>
        </w:rPr>
      </w:pPr>
    </w:p>
    <w:p w14:paraId="48C1B144" w14:textId="77777777" w:rsidR="00E903FC" w:rsidRPr="00E903FC" w:rsidRDefault="00E903FC" w:rsidP="00E903FC">
      <w:pPr>
        <w:spacing w:after="0" w:line="240" w:lineRule="auto"/>
        <w:ind w:firstLine="709"/>
        <w:jc w:val="both"/>
        <w:rPr>
          <w:rFonts w:ascii="Times New Roman" w:eastAsia="Times New Roman" w:hAnsi="Times New Roman" w:cs="Times New Roman"/>
          <w:iCs/>
          <w:color w:val="000000"/>
          <w:sz w:val="28"/>
          <w:szCs w:val="28"/>
          <w:lang w:eastAsia="bg-BG"/>
        </w:rPr>
      </w:pPr>
      <w:r w:rsidRPr="00E903FC">
        <w:rPr>
          <w:rFonts w:ascii="Times New Roman" w:eastAsia="Times New Roman" w:hAnsi="Times New Roman" w:cs="Times New Roman"/>
          <w:b/>
          <w:i/>
          <w:iCs/>
          <w:color w:val="000000"/>
          <w:sz w:val="28"/>
          <w:szCs w:val="28"/>
          <w:lang w:eastAsia="bg-BG"/>
        </w:rPr>
        <w:t xml:space="preserve">- </w:t>
      </w:r>
      <w:r w:rsidRPr="00E903FC">
        <w:rPr>
          <w:rFonts w:ascii="Times New Roman" w:eastAsia="Times New Roman" w:hAnsi="Times New Roman" w:cs="Times New Roman"/>
          <w:iCs/>
          <w:color w:val="000000"/>
          <w:sz w:val="28"/>
          <w:szCs w:val="28"/>
          <w:lang w:eastAsia="bg-BG"/>
        </w:rPr>
        <w:t xml:space="preserve"> В района на ОП Монтана продължава да стои нерешен въпросът за </w:t>
      </w:r>
      <w:r w:rsidRPr="00E903FC">
        <w:rPr>
          <w:rFonts w:ascii="Times New Roman" w:eastAsia="Times New Roman" w:hAnsi="Times New Roman" w:cs="Times New Roman"/>
          <w:b/>
          <w:i/>
          <w:iCs/>
          <w:color w:val="000000"/>
          <w:sz w:val="28"/>
          <w:szCs w:val="28"/>
          <w:lang w:eastAsia="bg-BG"/>
        </w:rPr>
        <w:t>намаляване на сроковете за разследване</w:t>
      </w:r>
      <w:r w:rsidRPr="00E903FC">
        <w:rPr>
          <w:rFonts w:ascii="Times New Roman" w:eastAsia="Times New Roman" w:hAnsi="Times New Roman" w:cs="Times New Roman"/>
          <w:iCs/>
          <w:color w:val="000000"/>
          <w:sz w:val="28"/>
          <w:szCs w:val="28"/>
          <w:lang w:eastAsia="bg-BG"/>
        </w:rPr>
        <w:t xml:space="preserve"> на досъдебните производства. Основна част от пречките за приключване на досъдебните производства в разумен срок са забавянето на заключенията по назначените експертизи, както и недобросъвестно поведение на някои от участниците в производството – обвиняеми лица, свидетели. </w:t>
      </w:r>
    </w:p>
    <w:p w14:paraId="49BA52D2" w14:textId="77777777" w:rsidR="00E903FC" w:rsidRPr="00E903FC" w:rsidRDefault="00E903FC" w:rsidP="00E903FC">
      <w:pPr>
        <w:spacing w:after="0" w:line="240" w:lineRule="auto"/>
        <w:ind w:firstLine="709"/>
        <w:jc w:val="both"/>
        <w:rPr>
          <w:rFonts w:ascii="Times New Roman" w:eastAsia="Times New Roman" w:hAnsi="Times New Roman" w:cs="Times New Roman"/>
          <w:color w:val="000000"/>
          <w:sz w:val="28"/>
          <w:szCs w:val="28"/>
          <w:lang w:eastAsia="bg-BG"/>
        </w:rPr>
      </w:pPr>
      <w:r w:rsidRPr="00E903FC">
        <w:rPr>
          <w:rFonts w:ascii="Times New Roman" w:eastAsia="Times New Roman" w:hAnsi="Times New Roman" w:cs="Times New Roman"/>
          <w:b/>
          <w:i/>
          <w:iCs/>
          <w:color w:val="000000"/>
          <w:sz w:val="28"/>
          <w:szCs w:val="28"/>
          <w:lang w:eastAsia="bg-BG"/>
        </w:rPr>
        <w:t>-</w:t>
      </w:r>
      <w:r w:rsidRPr="00E903FC">
        <w:rPr>
          <w:rFonts w:ascii="Times New Roman" w:eastAsia="Times New Roman" w:hAnsi="Times New Roman" w:cs="Times New Roman"/>
          <w:iCs/>
          <w:color w:val="000000"/>
          <w:sz w:val="28"/>
          <w:szCs w:val="28"/>
          <w:lang w:eastAsia="bg-BG"/>
        </w:rPr>
        <w:t xml:space="preserve"> </w:t>
      </w:r>
      <w:r w:rsidRPr="00E903FC">
        <w:rPr>
          <w:rFonts w:ascii="Times New Roman" w:eastAsia="Times New Roman" w:hAnsi="Times New Roman" w:cs="Times New Roman"/>
          <w:color w:val="000000"/>
          <w:sz w:val="28"/>
          <w:szCs w:val="28"/>
          <w:lang w:eastAsia="bg-BG"/>
        </w:rPr>
        <w:t xml:space="preserve">Продължава да стои и дори се задълбочава проблемът, свързан с </w:t>
      </w:r>
      <w:r w:rsidRPr="00E903FC">
        <w:rPr>
          <w:rFonts w:ascii="Times New Roman" w:eastAsia="Times New Roman" w:hAnsi="Times New Roman" w:cs="Times New Roman"/>
          <w:b/>
          <w:bCs/>
          <w:i/>
          <w:color w:val="000000"/>
          <w:sz w:val="28"/>
          <w:szCs w:val="28"/>
          <w:lang w:eastAsia="bg-BG"/>
        </w:rPr>
        <w:t>изготвянето на назначените експертизи</w:t>
      </w:r>
      <w:r w:rsidRPr="00E903FC">
        <w:rPr>
          <w:rFonts w:ascii="Times New Roman" w:eastAsia="Times New Roman" w:hAnsi="Times New Roman" w:cs="Times New Roman"/>
          <w:color w:val="000000"/>
          <w:sz w:val="28"/>
          <w:szCs w:val="28"/>
          <w:lang w:eastAsia="bg-BG"/>
        </w:rPr>
        <w:t>. Свръхнатовареността на експертите от НИК – МВР влияе изключително негативно на срочността на разследването, тъй като за някои видове престъпления няма възможност и друга алтернатива за вещи лица. Много сериозно е забавянето на експертизите, възложени на НИК. В настоящия отчетен период продължава задълбочаването на проблема и с несвоевременното изготвяне на автотехническите експертизи също поради ограничен брой на експерти в тази област.</w:t>
      </w:r>
    </w:p>
    <w:p w14:paraId="0C082952" w14:textId="77777777" w:rsidR="00E903FC" w:rsidRPr="00E903FC" w:rsidRDefault="00E903FC" w:rsidP="00E903FC">
      <w:pPr>
        <w:spacing w:after="0" w:line="240" w:lineRule="auto"/>
        <w:ind w:firstLine="709"/>
        <w:jc w:val="both"/>
        <w:rPr>
          <w:rFonts w:ascii="Times New Roman" w:eastAsia="Times New Roman" w:hAnsi="Times New Roman" w:cs="Times New Roman"/>
          <w:color w:val="000000"/>
          <w:sz w:val="28"/>
          <w:szCs w:val="28"/>
          <w:lang w:eastAsia="bg-BG"/>
        </w:rPr>
      </w:pPr>
      <w:r w:rsidRPr="00E903FC">
        <w:rPr>
          <w:rFonts w:ascii="Times New Roman" w:eastAsia="Times New Roman" w:hAnsi="Times New Roman" w:cs="Times New Roman"/>
          <w:color w:val="000000"/>
          <w:sz w:val="28"/>
          <w:szCs w:val="28"/>
          <w:lang w:eastAsia="bg-BG"/>
        </w:rPr>
        <w:t>В района на ОП-Монтана работи само един експерт със специалност съдебна медицина (той е и единственият лекар-патологоанатом, което създава пълна невъзможност за използване на други вещи лица за изследвания на причините за настъпила смърт, поради липса на достъп на други специалисти до аутопсионна зала). В тази връзка през предходните години ОП-Монтана е провела редица срещи с представители на БЛС, лични лекари, РЗОК, РЗИ, сигнализирала е АП София и ВКП. Мерките в тази насока не са довели до очаквания резултат и нерешените ДП по причина неизготвена СМЕ продължават да са значителен брой.</w:t>
      </w:r>
    </w:p>
    <w:p w14:paraId="3025D8E6" w14:textId="77777777" w:rsidR="00E903FC" w:rsidRPr="00E903FC" w:rsidRDefault="00E903FC" w:rsidP="00E903FC">
      <w:pPr>
        <w:spacing w:after="0" w:line="240" w:lineRule="auto"/>
        <w:ind w:firstLine="709"/>
        <w:jc w:val="both"/>
        <w:rPr>
          <w:rFonts w:ascii="Times New Roman" w:eastAsia="Times New Roman" w:hAnsi="Times New Roman" w:cs="Times New Roman"/>
          <w:iCs/>
          <w:color w:val="000000"/>
          <w:sz w:val="28"/>
          <w:szCs w:val="28"/>
          <w:lang w:eastAsia="bg-BG"/>
        </w:rPr>
      </w:pPr>
      <w:r w:rsidRPr="00E903FC">
        <w:rPr>
          <w:rFonts w:ascii="Times New Roman" w:eastAsia="Times New Roman" w:hAnsi="Times New Roman" w:cs="Times New Roman"/>
          <w:b/>
          <w:i/>
          <w:iCs/>
          <w:color w:val="000000"/>
          <w:sz w:val="28"/>
          <w:szCs w:val="28"/>
          <w:lang w:eastAsia="bg-BG"/>
        </w:rPr>
        <w:t>-</w:t>
      </w:r>
      <w:r w:rsidRPr="00E903FC">
        <w:rPr>
          <w:rFonts w:ascii="Times New Roman" w:eastAsia="Times New Roman" w:hAnsi="Times New Roman" w:cs="Times New Roman"/>
          <w:iCs/>
          <w:color w:val="000000"/>
          <w:sz w:val="28"/>
          <w:szCs w:val="28"/>
          <w:lang w:eastAsia="bg-BG"/>
        </w:rPr>
        <w:t xml:space="preserve"> За намаляването на допускани </w:t>
      </w:r>
      <w:r w:rsidRPr="00E903FC">
        <w:rPr>
          <w:rFonts w:ascii="Times New Roman" w:eastAsia="Times New Roman" w:hAnsi="Times New Roman" w:cs="Times New Roman"/>
          <w:b/>
          <w:i/>
          <w:iCs/>
          <w:color w:val="000000"/>
          <w:sz w:val="28"/>
          <w:szCs w:val="28"/>
          <w:lang w:eastAsia="bg-BG"/>
        </w:rPr>
        <w:t>съществени процесуални нарушения</w:t>
      </w:r>
      <w:r w:rsidRPr="00E903FC">
        <w:rPr>
          <w:rFonts w:ascii="Times New Roman" w:eastAsia="Times New Roman" w:hAnsi="Times New Roman" w:cs="Times New Roman"/>
          <w:iCs/>
          <w:color w:val="000000"/>
          <w:sz w:val="28"/>
          <w:szCs w:val="28"/>
          <w:lang w:eastAsia="bg-BG"/>
        </w:rPr>
        <w:t xml:space="preserve"> в хода на разследването, макар и те да са значително по-малко от предходните периоди е необходимо продължаване на добрата практика за периодично провеждане на обучения за повишаване на професионалната квалификация на разследващите органи и прокурорите.</w:t>
      </w:r>
    </w:p>
    <w:p w14:paraId="36FECC8B" w14:textId="77777777" w:rsidR="00E903FC" w:rsidRPr="00E903FC" w:rsidRDefault="00E903FC" w:rsidP="00E903FC">
      <w:pPr>
        <w:spacing w:after="0" w:line="240" w:lineRule="auto"/>
        <w:ind w:firstLine="709"/>
        <w:jc w:val="both"/>
        <w:rPr>
          <w:rFonts w:ascii="Times New Roman" w:eastAsia="Times New Roman" w:hAnsi="Times New Roman" w:cs="Times New Roman"/>
          <w:iCs/>
          <w:color w:val="000000"/>
          <w:sz w:val="28"/>
          <w:szCs w:val="28"/>
          <w:lang w:eastAsia="bg-BG"/>
        </w:rPr>
      </w:pPr>
      <w:r w:rsidRPr="00E903FC">
        <w:rPr>
          <w:rFonts w:ascii="Times New Roman" w:eastAsia="Times New Roman" w:hAnsi="Times New Roman" w:cs="Times New Roman"/>
          <w:iCs/>
          <w:color w:val="000000"/>
          <w:sz w:val="28"/>
          <w:szCs w:val="28"/>
          <w:lang w:eastAsia="bg-BG"/>
        </w:rPr>
        <w:t xml:space="preserve">- Както и през предходните години считаме за необходимо като мярка за срочното изготвяне на експертните заключения да бъде създаден </w:t>
      </w:r>
      <w:r w:rsidRPr="00E903FC">
        <w:rPr>
          <w:rFonts w:ascii="Times New Roman" w:eastAsia="Times New Roman" w:hAnsi="Times New Roman" w:cs="Times New Roman"/>
          <w:b/>
          <w:i/>
          <w:iCs/>
          <w:color w:val="000000"/>
          <w:sz w:val="28"/>
          <w:szCs w:val="28"/>
          <w:lang w:eastAsia="bg-BG"/>
        </w:rPr>
        <w:t>централен експертен институт</w:t>
      </w:r>
      <w:r w:rsidRPr="00E903FC">
        <w:rPr>
          <w:rFonts w:ascii="Times New Roman" w:eastAsia="Times New Roman" w:hAnsi="Times New Roman" w:cs="Times New Roman"/>
          <w:iCs/>
          <w:color w:val="000000"/>
          <w:sz w:val="28"/>
          <w:szCs w:val="28"/>
          <w:lang w:eastAsia="bg-BG"/>
        </w:rPr>
        <w:t xml:space="preserve"> към ВСС или МП, като единствено назначените на трудови правоотношения експерти да имат права да изготвят съдебни експертизи. По този начин би се решил проблемът, съществуващ и в други райони, с липсата на вещи лица, а и би се повишила обективността на </w:t>
      </w:r>
      <w:r w:rsidRPr="00E903FC">
        <w:rPr>
          <w:rFonts w:ascii="Times New Roman" w:eastAsia="Times New Roman" w:hAnsi="Times New Roman" w:cs="Times New Roman"/>
          <w:iCs/>
          <w:color w:val="000000"/>
          <w:sz w:val="28"/>
          <w:szCs w:val="28"/>
          <w:lang w:eastAsia="bg-BG"/>
        </w:rPr>
        <w:lastRenderedPageBreak/>
        <w:t>заключенията, поради наличието на контрол върху дейността им. Този извод произтича от честата смяна на експертното заключение в съдебни заседания, което неминуемо довежда до произнасянето на оправдателни присъди. Полезни са действията на ръководството на ПРБ по назначаване на експерти в НСлС, като очакваме подобряване на дейността на прокуратурите в региона по дела с назначени експертизи през следващите периоди.</w:t>
      </w:r>
    </w:p>
    <w:p w14:paraId="67F9B3EE" w14:textId="77777777" w:rsidR="00E903FC" w:rsidRPr="00E903FC" w:rsidRDefault="00E903FC" w:rsidP="00E903FC">
      <w:pPr>
        <w:spacing w:after="0" w:line="240" w:lineRule="auto"/>
        <w:ind w:firstLine="709"/>
        <w:jc w:val="both"/>
        <w:rPr>
          <w:rFonts w:ascii="Times New Roman" w:eastAsia="Times New Roman" w:hAnsi="Times New Roman" w:cs="Times New Roman"/>
          <w:iCs/>
          <w:color w:val="000000"/>
          <w:sz w:val="28"/>
          <w:szCs w:val="28"/>
          <w:lang w:eastAsia="bg-BG"/>
        </w:rPr>
      </w:pPr>
    </w:p>
    <w:p w14:paraId="71789D94" w14:textId="77777777" w:rsidR="00E903FC" w:rsidRPr="00E903FC" w:rsidRDefault="00E903FC" w:rsidP="00E903FC">
      <w:pPr>
        <w:keepNext/>
        <w:shd w:val="clear" w:color="auto" w:fill="FFFFFF"/>
        <w:tabs>
          <w:tab w:val="left" w:pos="763"/>
        </w:tabs>
        <w:autoSpaceDE w:val="0"/>
        <w:autoSpaceDN w:val="0"/>
        <w:adjustRightInd w:val="0"/>
        <w:spacing w:after="0" w:line="240" w:lineRule="auto"/>
        <w:ind w:firstLine="709"/>
        <w:jc w:val="both"/>
        <w:outlineLvl w:val="1"/>
        <w:rPr>
          <w:rFonts w:ascii="Times New Roman" w:eastAsia="Calibri" w:hAnsi="Times New Roman" w:cs="Arial"/>
          <w:b/>
          <w:iCs/>
          <w:color w:val="000000"/>
          <w:sz w:val="28"/>
          <w:lang w:eastAsia="bg-BG"/>
        </w:rPr>
      </w:pPr>
      <w:bookmarkStart w:id="11" w:name="_Toc63940887"/>
      <w:bookmarkStart w:id="12" w:name="_Toc127370237"/>
      <w:r w:rsidRPr="00E903FC">
        <w:rPr>
          <w:rFonts w:ascii="Times New Roman" w:eastAsia="Calibri" w:hAnsi="Times New Roman" w:cs="Arial"/>
          <w:b/>
          <w:iCs/>
          <w:color w:val="000000"/>
          <w:sz w:val="28"/>
          <w:lang w:eastAsia="bg-BG"/>
        </w:rPr>
        <w:t>3. Необходими мерки и законодателни промени.</w:t>
      </w:r>
      <w:bookmarkEnd w:id="9"/>
      <w:bookmarkEnd w:id="11"/>
      <w:bookmarkEnd w:id="12"/>
      <w:r w:rsidRPr="00E903FC">
        <w:rPr>
          <w:rFonts w:ascii="Times New Roman" w:eastAsia="Calibri" w:hAnsi="Times New Roman" w:cs="Arial"/>
          <w:b/>
          <w:iCs/>
          <w:color w:val="000000"/>
          <w:sz w:val="28"/>
          <w:lang w:eastAsia="bg-BG"/>
        </w:rPr>
        <w:t xml:space="preserve"> </w:t>
      </w:r>
    </w:p>
    <w:p w14:paraId="3B423B17" w14:textId="77777777" w:rsidR="00E903FC" w:rsidRPr="00E903FC" w:rsidRDefault="00E903FC" w:rsidP="00E903FC">
      <w:pPr>
        <w:spacing w:after="0" w:line="240" w:lineRule="auto"/>
        <w:ind w:firstLine="709"/>
        <w:jc w:val="both"/>
        <w:rPr>
          <w:rFonts w:ascii="Times New Roman" w:eastAsia="Times New Roman" w:hAnsi="Times New Roman" w:cs="Times New Roman"/>
          <w:b/>
          <w:i/>
          <w:color w:val="000000"/>
          <w:sz w:val="28"/>
          <w:szCs w:val="28"/>
          <w:lang w:eastAsia="bg-BG"/>
        </w:rPr>
      </w:pPr>
    </w:p>
    <w:p w14:paraId="76E1B2CD" w14:textId="77777777" w:rsidR="00E903FC" w:rsidRPr="00E903FC" w:rsidRDefault="00E903FC" w:rsidP="00E903FC">
      <w:pPr>
        <w:ind w:firstLine="708"/>
        <w:rPr>
          <w:rFonts w:ascii="Times New Roman" w:eastAsia="Calibri" w:hAnsi="Times New Roman" w:cs="Times New Roman"/>
          <w:b/>
          <w:i/>
          <w:sz w:val="28"/>
          <w:szCs w:val="28"/>
          <w:u w:val="single"/>
        </w:rPr>
      </w:pPr>
      <w:r w:rsidRPr="00E903FC">
        <w:rPr>
          <w:rFonts w:ascii="Times New Roman" w:eastAsia="Calibri" w:hAnsi="Times New Roman" w:cs="Times New Roman"/>
          <w:b/>
          <w:i/>
          <w:sz w:val="28"/>
          <w:szCs w:val="28"/>
          <w:u w:val="single"/>
        </w:rPr>
        <w:t>3.1. Необходими мерки:</w:t>
      </w:r>
    </w:p>
    <w:p w14:paraId="4B954D52"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i/>
          <w:sz w:val="28"/>
          <w:szCs w:val="28"/>
          <w:lang w:eastAsia="bg-BG"/>
        </w:rPr>
        <w:t>3.1.1.</w:t>
      </w:r>
      <w:r w:rsidRPr="00E903FC">
        <w:rPr>
          <w:rFonts w:ascii="Times New Roman" w:eastAsia="Times New Roman" w:hAnsi="Times New Roman" w:cs="Times New Roman"/>
          <w:sz w:val="28"/>
          <w:szCs w:val="28"/>
          <w:lang w:eastAsia="bg-BG"/>
        </w:rPr>
        <w:t xml:space="preserve"> Наложително е да се засили превантивната и разяснителна дейност сред подрастващите с оглед възпитаването им към спазване на закона и добрите нрави в обществото. През предходната 2021 г. тази дейност бе сведена почти до нула с оглед епидемиологичната обстановка в страната и пренасочването на учениците към онлайн начин на обучение. През отчетната 2022 г. бе продължена съвместно от прокуратурата и съда превантивната и разяснителна дейност по отношение на малолетните и непълнолетните в региона. Тази дейност следва да бъде продължена и през следващата 2023 г. и да продължат в по-голям обем превантивната и разяснителна дейност. Проблемът при  непълнолетните, склонни към извършване на престъпления и противообществени прояви е, че не посещават училище  и дейността на прокуратурата и полицията и прокуратурата за превенция срещу престъпността не достига до тях в обема, необходим за постигане на положителен резултат. Една от основните предпоставки за това отново е липсата на родителски контрол, което благоприятства противоправното поведение на непълнолетните лица. Последният пък е продиктуван както от бедността в района (най-голяма в целия ЕС), така и от занижените критерии и изисквания в учебните заведения. В тази връзка следва прокурорите от региона да продължат активно да се включват в образователната програма на ВСС, с оглед постигане на по – добри резултати в превантивната и разяснителна дейност сред подрастващите.</w:t>
      </w:r>
    </w:p>
    <w:p w14:paraId="39C41D87" w14:textId="77777777" w:rsidR="00E903FC" w:rsidRPr="00E903FC" w:rsidRDefault="00E903FC" w:rsidP="00E903FC">
      <w:pPr>
        <w:spacing w:after="0" w:line="240" w:lineRule="auto"/>
        <w:ind w:firstLine="709"/>
        <w:jc w:val="both"/>
        <w:rPr>
          <w:rFonts w:ascii="Times New Roman" w:eastAsia="Calibri" w:hAnsi="Times New Roman" w:cs="Times New Roman"/>
          <w:sz w:val="28"/>
          <w:szCs w:val="28"/>
        </w:rPr>
      </w:pPr>
      <w:r w:rsidRPr="00E903FC">
        <w:rPr>
          <w:rFonts w:ascii="Times New Roman" w:eastAsia="Calibri" w:hAnsi="Times New Roman" w:cs="Times New Roman"/>
          <w:sz w:val="28"/>
          <w:szCs w:val="28"/>
          <w:lang w:eastAsia="bg-BG"/>
        </w:rPr>
        <w:t>За постигане ефективност при превенцията срещу престъпленията, засягащи собствеността на гражданите, е необходимо да се увеличи полицейското присъствие в малките населени места, населени предимно от възрастни хора, които са най – често жертва на престъпления срещу собствеността.</w:t>
      </w:r>
    </w:p>
    <w:p w14:paraId="33AD9C9C" w14:textId="77777777" w:rsidR="00E903FC" w:rsidRPr="00E903FC" w:rsidRDefault="00E903FC" w:rsidP="00E903FC">
      <w:pPr>
        <w:shd w:val="clear" w:color="auto" w:fill="FFFFFF"/>
        <w:tabs>
          <w:tab w:val="left" w:pos="826"/>
        </w:tabs>
        <w:autoSpaceDE w:val="0"/>
        <w:autoSpaceDN w:val="0"/>
        <w:adjustRightInd w:val="0"/>
        <w:spacing w:after="0" w:line="240" w:lineRule="auto"/>
        <w:jc w:val="both"/>
        <w:rPr>
          <w:rFonts w:ascii="Times New Roman" w:eastAsia="Calibri" w:hAnsi="Times New Roman" w:cs="Times New Roman"/>
          <w:bCs/>
          <w:sz w:val="28"/>
          <w:szCs w:val="28"/>
        </w:rPr>
      </w:pPr>
      <w:r w:rsidRPr="00E903FC">
        <w:rPr>
          <w:rFonts w:ascii="Times New Roman" w:eastAsia="Times New Roman" w:hAnsi="Times New Roman" w:cs="Times New Roman"/>
          <w:i/>
          <w:sz w:val="28"/>
          <w:szCs w:val="28"/>
          <w:lang w:eastAsia="bg-BG"/>
        </w:rPr>
        <w:tab/>
        <w:t>3.1.2.</w:t>
      </w:r>
      <w:r w:rsidRPr="00E903FC">
        <w:rPr>
          <w:rFonts w:ascii="Times New Roman" w:eastAsia="Times New Roman" w:hAnsi="Times New Roman" w:cs="Times New Roman"/>
          <w:sz w:val="28"/>
          <w:szCs w:val="28"/>
          <w:lang w:eastAsia="bg-BG"/>
        </w:rPr>
        <w:t xml:space="preserve"> Подобряване на взаимодействието на разследващите органи с полицейските служители (оперативни работници, полицейски и младши полицейски инспектори) във връзка със съвместната работа по досъдебните производства. Усъвършенстване на екипния принцип на работа между разследващи  и останалите служби в МВР ще подобри както пълнотата на материалите по конкретните досъдебни производства, така и разкриваемостта по наказателните производства, и ефективността от разследването. </w:t>
      </w:r>
    </w:p>
    <w:p w14:paraId="265DDAF9" w14:textId="77777777" w:rsidR="00E903FC" w:rsidRPr="00E903FC" w:rsidRDefault="00E903FC" w:rsidP="00E903FC">
      <w:pPr>
        <w:shd w:val="clear" w:color="auto" w:fill="FFFFFF"/>
        <w:tabs>
          <w:tab w:val="left" w:pos="826"/>
        </w:tabs>
        <w:autoSpaceDE w:val="0"/>
        <w:autoSpaceDN w:val="0"/>
        <w:adjustRightInd w:val="0"/>
        <w:spacing w:after="0" w:line="240" w:lineRule="auto"/>
        <w:jc w:val="both"/>
        <w:rPr>
          <w:rFonts w:ascii="Times New Roman" w:eastAsia="Calibri" w:hAnsi="Times New Roman" w:cs="Times New Roman"/>
          <w:bCs/>
          <w:sz w:val="28"/>
          <w:szCs w:val="28"/>
        </w:rPr>
      </w:pPr>
      <w:r w:rsidRPr="00E903FC">
        <w:rPr>
          <w:rFonts w:ascii="Times New Roman" w:eastAsia="Calibri" w:hAnsi="Times New Roman" w:cs="Times New Roman"/>
          <w:bCs/>
          <w:sz w:val="28"/>
          <w:szCs w:val="28"/>
        </w:rPr>
        <w:tab/>
      </w:r>
      <w:r w:rsidRPr="00E903FC">
        <w:rPr>
          <w:rFonts w:ascii="Times New Roman" w:eastAsia="Calibri" w:hAnsi="Times New Roman" w:cs="Times New Roman"/>
          <w:bCs/>
          <w:i/>
          <w:sz w:val="28"/>
          <w:szCs w:val="28"/>
        </w:rPr>
        <w:t>3.1.3</w:t>
      </w:r>
      <w:r w:rsidRPr="00E903FC">
        <w:rPr>
          <w:rFonts w:ascii="Times New Roman" w:eastAsia="Calibri" w:hAnsi="Times New Roman" w:cs="Times New Roman"/>
          <w:bCs/>
          <w:sz w:val="28"/>
          <w:szCs w:val="28"/>
        </w:rPr>
        <w:t xml:space="preserve">. Подобряването на взаимодействието с органите на изпълнителната власт за своевременно регистриране на извършените </w:t>
      </w:r>
      <w:r w:rsidRPr="00E903FC">
        <w:rPr>
          <w:rFonts w:ascii="Times New Roman" w:eastAsia="Calibri" w:hAnsi="Times New Roman" w:cs="Times New Roman"/>
          <w:bCs/>
          <w:sz w:val="28"/>
          <w:szCs w:val="28"/>
        </w:rPr>
        <w:lastRenderedPageBreak/>
        <w:t>престъпни деяния, установяване на пострадалите лица  и провеждане оперативно-издирвателни мероприятия за разкриване извършителите на престъпните деяния и ефективност на водените разследвания.</w:t>
      </w:r>
    </w:p>
    <w:p w14:paraId="79A6552D"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p>
    <w:p w14:paraId="7D1E8D90" w14:textId="77777777" w:rsidR="00E903FC" w:rsidRPr="00E903FC" w:rsidRDefault="00E903FC" w:rsidP="00E903FC">
      <w:pPr>
        <w:ind w:firstLine="708"/>
        <w:rPr>
          <w:rFonts w:ascii="Times New Roman" w:eastAsia="Calibri" w:hAnsi="Times New Roman" w:cs="Times New Roman"/>
          <w:b/>
          <w:i/>
          <w:sz w:val="28"/>
          <w:szCs w:val="28"/>
          <w:u w:val="single"/>
        </w:rPr>
      </w:pPr>
      <w:r w:rsidRPr="00E903FC">
        <w:rPr>
          <w:rFonts w:ascii="Times New Roman" w:eastAsia="Calibri" w:hAnsi="Times New Roman" w:cs="Times New Roman"/>
          <w:b/>
          <w:i/>
          <w:sz w:val="28"/>
          <w:szCs w:val="28"/>
          <w:u w:val="single"/>
        </w:rPr>
        <w:t>3.2. Предприети конкретни мерки, които имат постигнат до момента положителен ефект:</w:t>
      </w:r>
    </w:p>
    <w:p w14:paraId="1829D503"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i/>
          <w:sz w:val="28"/>
          <w:szCs w:val="28"/>
          <w:lang w:eastAsia="bg-BG"/>
        </w:rPr>
        <w:t>3.2.1</w:t>
      </w:r>
      <w:r w:rsidRPr="00E903FC">
        <w:rPr>
          <w:rFonts w:ascii="Times New Roman" w:eastAsia="Times New Roman" w:hAnsi="Times New Roman" w:cs="Times New Roman"/>
          <w:sz w:val="28"/>
          <w:szCs w:val="28"/>
          <w:lang w:eastAsia="bg-BG"/>
        </w:rPr>
        <w:t>. Продължава да се прилага задължителният служебен контрол над актовете на районните прокуратури, с които се спира или прекратява наказателно производство, водено за престъпление, включено в Единния каталог на корупционните престъпления, когато тези актове не са били обжалвани по съдебен ред, въведен със заповед на окръжния прокурор от предходен период.</w:t>
      </w:r>
    </w:p>
    <w:p w14:paraId="17DD85C5"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i/>
          <w:sz w:val="28"/>
          <w:szCs w:val="28"/>
          <w:lang w:eastAsia="bg-BG"/>
        </w:rPr>
        <w:t>3.2.2.</w:t>
      </w:r>
      <w:r w:rsidRPr="00E903FC">
        <w:rPr>
          <w:rFonts w:ascii="Times New Roman" w:eastAsia="Times New Roman" w:hAnsi="Times New Roman" w:cs="Times New Roman"/>
          <w:sz w:val="28"/>
          <w:szCs w:val="28"/>
          <w:lang w:eastAsia="bg-BG"/>
        </w:rPr>
        <w:t xml:space="preserve"> Въведен е периодичен доклад на всички спрени срещу известни извършители дела и на всички чакащи преписки и ДП с цел подобряване на контрола върху дейността на различни органи (разследващи полицаи и контролни органи) и върху сроковете за разследване </w:t>
      </w:r>
    </w:p>
    <w:p w14:paraId="28619A74"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i/>
          <w:sz w:val="28"/>
          <w:szCs w:val="28"/>
          <w:lang w:eastAsia="bg-BG"/>
        </w:rPr>
        <w:t>3.2.3.</w:t>
      </w:r>
      <w:r w:rsidRPr="00E903FC">
        <w:rPr>
          <w:rFonts w:ascii="Times New Roman" w:eastAsia="Times New Roman" w:hAnsi="Times New Roman" w:cs="Times New Roman"/>
          <w:sz w:val="28"/>
          <w:szCs w:val="28"/>
          <w:lang w:eastAsia="bg-BG"/>
        </w:rPr>
        <w:t xml:space="preserve"> След отмяна на епидемиологичната обстановка в страната е възобновено провеждането на периодични работни срещи между прокурори от ОП - Монтана и РП - Монтана, и разследващите полицаи с цел оказване на методическа помощ по преписки и дела и по различни въпроси по тълкуването и прилагането на закона е от съществено значение за подобряване работата по досъдебните производства. Необходимо е през 2023 г. продължаването на провеждане на обучения с определени лектори-прокурори на теми, посочени като необходими от разследващите органи.</w:t>
      </w:r>
    </w:p>
    <w:p w14:paraId="436F1D58" w14:textId="77777777" w:rsidR="00E903FC" w:rsidRPr="00885E08" w:rsidRDefault="00E903FC" w:rsidP="00E903FC">
      <w:pPr>
        <w:spacing w:after="0" w:line="240" w:lineRule="auto"/>
        <w:ind w:firstLine="851"/>
        <w:jc w:val="both"/>
        <w:rPr>
          <w:rFonts w:ascii="Times New Roman" w:eastAsia="Times New Roman" w:hAnsi="Times New Roman" w:cs="Times New Roman"/>
          <w:sz w:val="28"/>
          <w:szCs w:val="28"/>
        </w:rPr>
      </w:pPr>
      <w:r w:rsidRPr="00E903FC">
        <w:rPr>
          <w:rFonts w:ascii="Times New Roman" w:eastAsia="Calibri" w:hAnsi="Times New Roman" w:cs="Times New Roman"/>
          <w:i/>
          <w:sz w:val="28"/>
          <w:szCs w:val="28"/>
          <w:lang w:eastAsia="bg-BG"/>
        </w:rPr>
        <w:t>3.2.4.</w:t>
      </w:r>
      <w:r w:rsidRPr="00E903FC">
        <w:rPr>
          <w:rFonts w:ascii="Times New Roman" w:eastAsia="Calibri" w:hAnsi="Times New Roman" w:cs="Times New Roman"/>
          <w:sz w:val="28"/>
          <w:szCs w:val="28"/>
          <w:lang w:eastAsia="bg-BG"/>
        </w:rPr>
        <w:t xml:space="preserve"> Предприети са мерки и се полагат усилия за приключване на водените досъдебни производства с продължителност над една година, както и  за тези, образувани преди 01.01.2019 г. </w:t>
      </w:r>
      <w:r w:rsidRPr="00E903FC">
        <w:rPr>
          <w:rFonts w:ascii="Times New Roman" w:eastAsia="Times New Roman" w:hAnsi="Times New Roman" w:cs="Times New Roman"/>
          <w:sz w:val="28"/>
          <w:szCs w:val="28"/>
        </w:rPr>
        <w:t xml:space="preserve">Причините за неприключването на всички тези ДП са обективни и не се дължат на бездействие на наблюдаващите прокурори и разследващите органи, а на неустановяване на местонахождението на извършителите на деянията и основно на неизготвяне на назначени експертизи. </w:t>
      </w:r>
      <w:r w:rsidRPr="00885E08">
        <w:rPr>
          <w:rFonts w:ascii="Times New Roman" w:eastAsia="Times New Roman" w:hAnsi="Times New Roman" w:cs="Times New Roman"/>
          <w:sz w:val="28"/>
          <w:szCs w:val="28"/>
          <w:lang w:eastAsia="bg-BG"/>
        </w:rPr>
        <w:t>Периодично се изисква информация от районните прокуратури по тези дела, като се предприемат възможните мерки за тяхното приключване и се изпълняват указанията на АП - София, дадени след извършените от горестоящата прокуратура проверки.</w:t>
      </w:r>
    </w:p>
    <w:p w14:paraId="18C5A492"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i/>
          <w:sz w:val="28"/>
          <w:szCs w:val="28"/>
          <w:lang w:eastAsia="bg-BG"/>
        </w:rPr>
        <w:t>3.2.5.</w:t>
      </w:r>
      <w:r w:rsidRPr="00E903FC">
        <w:rPr>
          <w:rFonts w:ascii="Times New Roman" w:eastAsia="Times New Roman" w:hAnsi="Times New Roman" w:cs="Times New Roman"/>
          <w:sz w:val="28"/>
          <w:szCs w:val="28"/>
          <w:lang w:eastAsia="bg-BG"/>
        </w:rPr>
        <w:t xml:space="preserve"> Продължава наблюдението над делата за трафик на лица и наркотични вещества, посегателства върху финансовите средства на ЕС, младежката престъпност, корупционните престъпления и други значими дела. През отчетната 2022 г. след подобряване на епидемиологичната обстановка в страната прокурорите от региона се включват в обучителни мероприятия в училищата с оглед превенция срещу престъпността, както и в обученията на разследващите органи, като тази тенденция следва да продължи и през 2023 г.</w:t>
      </w:r>
    </w:p>
    <w:p w14:paraId="71472238"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i/>
          <w:sz w:val="28"/>
          <w:szCs w:val="28"/>
          <w:lang w:eastAsia="bg-BG"/>
        </w:rPr>
        <w:t>3.2.6.</w:t>
      </w:r>
      <w:r w:rsidRPr="00E903FC">
        <w:rPr>
          <w:rFonts w:ascii="Times New Roman" w:eastAsia="Times New Roman" w:hAnsi="Times New Roman" w:cs="Times New Roman"/>
          <w:sz w:val="28"/>
          <w:szCs w:val="28"/>
          <w:lang w:eastAsia="bg-BG"/>
        </w:rPr>
        <w:t xml:space="preserve"> Въведен е постоянен контрол на срочността на разследването, като ежеседмично на ОДМВР Монтана се изпраща списък с номера на досъдебни производства, чиито срок предстои да изтече в следващите 10 дни.</w:t>
      </w:r>
    </w:p>
    <w:p w14:paraId="50F8AC7D" w14:textId="77777777" w:rsidR="00E903FC" w:rsidRPr="00E903FC" w:rsidRDefault="00E903FC" w:rsidP="00E903FC">
      <w:pPr>
        <w:spacing w:after="0" w:line="240" w:lineRule="auto"/>
        <w:ind w:firstLine="709"/>
        <w:jc w:val="both"/>
        <w:rPr>
          <w:rFonts w:ascii="Times New Roman" w:eastAsia="Times New Roman" w:hAnsi="Times New Roman" w:cs="Times New Roman"/>
          <w:b/>
          <w:i/>
          <w:color w:val="000000"/>
          <w:sz w:val="28"/>
          <w:szCs w:val="28"/>
          <w:lang w:eastAsia="bg-BG"/>
        </w:rPr>
      </w:pPr>
    </w:p>
    <w:p w14:paraId="6EFE11D9" w14:textId="77777777" w:rsidR="00E903FC" w:rsidRPr="00E903FC" w:rsidRDefault="00E903FC" w:rsidP="00E903FC">
      <w:pPr>
        <w:ind w:firstLine="708"/>
        <w:rPr>
          <w:rFonts w:ascii="Times New Roman" w:eastAsia="Calibri" w:hAnsi="Times New Roman" w:cs="Times New Roman"/>
          <w:b/>
          <w:i/>
          <w:sz w:val="28"/>
          <w:szCs w:val="28"/>
          <w:u w:val="single"/>
        </w:rPr>
      </w:pPr>
      <w:r w:rsidRPr="00E903FC">
        <w:rPr>
          <w:rFonts w:ascii="Times New Roman" w:eastAsia="Calibri" w:hAnsi="Times New Roman" w:cs="Times New Roman"/>
          <w:b/>
          <w:i/>
          <w:sz w:val="28"/>
          <w:szCs w:val="28"/>
          <w:u w:val="single"/>
        </w:rPr>
        <w:lastRenderedPageBreak/>
        <w:t>3.3. Необходими законодателни промени:</w:t>
      </w:r>
    </w:p>
    <w:p w14:paraId="23FF94E4"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i/>
          <w:sz w:val="28"/>
          <w:szCs w:val="28"/>
          <w:lang w:eastAsia="bg-BG"/>
        </w:rPr>
        <w:t>-</w:t>
      </w:r>
      <w:r w:rsidRPr="00E903FC">
        <w:rPr>
          <w:rFonts w:ascii="Times New Roman" w:eastAsia="Times New Roman" w:hAnsi="Times New Roman" w:cs="Times New Roman"/>
          <w:sz w:val="28"/>
          <w:szCs w:val="28"/>
          <w:lang w:eastAsia="bg-BG"/>
        </w:rPr>
        <w:t xml:space="preserve"> Въпреки приетите изменения в НПК (в сила от 05.11.2017 г.), </w:t>
      </w:r>
      <w:r w:rsidRPr="00E903FC">
        <w:rPr>
          <w:rFonts w:ascii="Times New Roman" w:eastAsia="Times New Roman" w:hAnsi="Times New Roman" w:cs="Times New Roman"/>
          <w:sz w:val="28"/>
          <w:szCs w:val="28"/>
          <w:u w:val="single"/>
          <w:lang w:eastAsia="bg-BG"/>
        </w:rPr>
        <w:t>прекомерният формализъм</w:t>
      </w:r>
      <w:r w:rsidRPr="00E903FC">
        <w:rPr>
          <w:rFonts w:ascii="Times New Roman" w:eastAsia="Times New Roman" w:hAnsi="Times New Roman" w:cs="Times New Roman"/>
          <w:sz w:val="28"/>
          <w:szCs w:val="28"/>
          <w:lang w:eastAsia="bg-BG"/>
        </w:rPr>
        <w:t xml:space="preserve"> на досъдебното производство не е отстранен. Съобразно разпоредбата на чл.7, ал. 2 от НПК, ДП има подготвителен характер и при осъществяването му не са необходими такива формалности. Същото се отнася за многобройните изисквания към реквизитите на обвинителните актове, които дават възможност за многообразни тълкувания от страна на съдилищата. Отново както и през предходните отчетни годни излагаме становището си, че би било полезно по законодателен път да се приеме решението, използвано в мнозинството европейски държави - обвинителният акт да съдържа конкретика само относно диспозитива на обвинението. </w:t>
      </w:r>
    </w:p>
    <w:p w14:paraId="1EFFA767" w14:textId="77777777" w:rsidR="00E903FC" w:rsidRPr="00E903FC" w:rsidRDefault="00E903FC" w:rsidP="00E903FC">
      <w:pPr>
        <w:spacing w:after="0" w:line="240" w:lineRule="auto"/>
        <w:ind w:firstLine="709"/>
        <w:jc w:val="both"/>
        <w:rPr>
          <w:rFonts w:ascii="Times New Roman" w:eastAsia="Calibri" w:hAnsi="Times New Roman" w:cs="Times New Roman"/>
          <w:sz w:val="28"/>
          <w:szCs w:val="28"/>
        </w:rPr>
      </w:pPr>
      <w:r w:rsidRPr="00E903FC">
        <w:rPr>
          <w:rFonts w:ascii="Times New Roman" w:eastAsia="Times New Roman" w:hAnsi="Times New Roman" w:cs="Times New Roman"/>
          <w:sz w:val="28"/>
          <w:szCs w:val="28"/>
          <w:lang w:eastAsia="bg-BG"/>
        </w:rPr>
        <w:t xml:space="preserve">- </w:t>
      </w:r>
      <w:r w:rsidRPr="00E903FC">
        <w:rPr>
          <w:rFonts w:ascii="Times New Roman" w:eastAsia="Calibri" w:hAnsi="Times New Roman" w:cs="Times New Roman"/>
          <w:sz w:val="28"/>
          <w:szCs w:val="28"/>
        </w:rPr>
        <w:t xml:space="preserve">Премахване на ненужни действия на прокурора, забавящи разследването – исканията до съда за разкриване на банкови и данъчни тайни, информация по ЗЕС и др. утежняващи и без това твърде формалната работа на прокурорите. Предоставянето на тези видове информация само по искане от прокурора (както е в повечето от страните-членки на ЕС) би осигурило много по-голяма бързина на разследването. Тези създадени законодателно различни по вид пречки за прокуратурата затрудняват дейността при ръководене на разследването и влияят негативно както на срочността на разследването, така и на крайния резултат по конкретните наказателни производства. </w:t>
      </w:r>
    </w:p>
    <w:p w14:paraId="50C5D337"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rPr>
        <w:t xml:space="preserve">- Премахване на редица престъпни състави от НК, които не се характеризират с висока степен на обществена опасност. Санкциониране на тези деяния може да се постигне по облекчен ред – чрез квалификацията им като простъпки или чрез търсене на административно-наказателна отговорност. </w:t>
      </w:r>
      <w:r w:rsidRPr="00E903FC">
        <w:rPr>
          <w:rFonts w:ascii="Times New Roman" w:eastAsia="Times New Roman" w:hAnsi="Times New Roman" w:cs="Times New Roman"/>
          <w:sz w:val="28"/>
          <w:szCs w:val="28"/>
          <w:lang w:eastAsia="bg-BG"/>
        </w:rPr>
        <w:t xml:space="preserve"> </w:t>
      </w:r>
    </w:p>
    <w:p w14:paraId="5044B2AE"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Налице е положителен ефект от решенията в НПК (чл. 242, ал. 5) и в ЗСВ (чл. 145, ал. 2), които дават възможност при дела и преписки с по-висока от обичайната сложност да бъдат решавани/приключвани в удължен срок.</w:t>
      </w:r>
    </w:p>
    <w:p w14:paraId="7687A4E9"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Наложително е активизиране и подобряване работата на контролните органи. Това ще доведе до възможност прокуратурата  да бъде сезирана когато действително са налице конкретни данни за извършено престъпление от общ характер, а не контролните органи директно да сезират прокуратурата и да бездействат до произнасянето на прокурора по всеки конкретен казус, който често се оказва от компетентността на самият контролен орган.</w:t>
      </w:r>
    </w:p>
    <w:p w14:paraId="4CCE6778"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Опростяването на материалните наказателни норми и осъвременяването на същите с оглед динамиката на обществените отношения ще облекчи наказателното производство във всички посоки, ще отговори на обществените нагласи, и ще се въздейства в по-голяма степен предупредително върху членовете на обществото.</w:t>
      </w:r>
    </w:p>
    <w:p w14:paraId="256444EE"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 Продължава необходимостта от законодателно решение (или тълкувателно такова) за изясняване кои са случаите, в които е приложим институтът на малозначителността. Различното разбиране и прилагане института на чл. 9, ал. 2 от НК се наблюдава не само между прокуратурите и съдилищата, но и между отделни съдилища. Със създадената съдебна </w:t>
      </w:r>
      <w:r w:rsidRPr="00E903FC">
        <w:rPr>
          <w:rFonts w:ascii="Times New Roman" w:eastAsia="Times New Roman" w:hAnsi="Times New Roman" w:cs="Times New Roman"/>
          <w:sz w:val="28"/>
          <w:szCs w:val="28"/>
        </w:rPr>
        <w:lastRenderedPageBreak/>
        <w:t>практика в региона по прилагането института на чл. 9, ал. 2 от НК доведе до декриминализиране на някои престъпления /чл. 278 от НК/. Приетото от повечето съдилища становище, че института на чл. 9, ал. 2 от НК е приложим при всички престъпления от особената част на НК е най – малко неприемлив и не отговарящ не само на обществените нагласи, но и на основните принципи на наказателното право.</w:t>
      </w:r>
    </w:p>
    <w:p w14:paraId="12B52C3D" w14:textId="77777777" w:rsidR="00E903FC" w:rsidRPr="00E903FC" w:rsidRDefault="00E903FC" w:rsidP="00E903FC">
      <w:pPr>
        <w:spacing w:after="0" w:line="240" w:lineRule="auto"/>
        <w:ind w:firstLine="709"/>
        <w:contextualSpacing/>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Считаме, че чрез такива и други законодателни мерки може да се постигне желания от обществото резултат – бързина при разследването и постигане на справедливост при наказанията.</w:t>
      </w:r>
    </w:p>
    <w:p w14:paraId="4B6EE877" w14:textId="77777777" w:rsidR="00E903FC" w:rsidRPr="00E903FC" w:rsidRDefault="00E903FC" w:rsidP="00E903FC">
      <w:pPr>
        <w:spacing w:after="0" w:line="240" w:lineRule="auto"/>
        <w:ind w:firstLine="709"/>
        <w:contextualSpacing/>
        <w:jc w:val="both"/>
        <w:rPr>
          <w:rFonts w:ascii="Times New Roman" w:eastAsia="Calibri" w:hAnsi="Times New Roman" w:cs="Times New Roman"/>
          <w:sz w:val="28"/>
          <w:szCs w:val="28"/>
        </w:rPr>
      </w:pPr>
    </w:p>
    <w:p w14:paraId="78D901EE" w14:textId="5703390E" w:rsidR="00E903FC" w:rsidRPr="00E903FC" w:rsidRDefault="00E903FC" w:rsidP="00E903FC">
      <w:pPr>
        <w:ind w:firstLine="708"/>
        <w:rPr>
          <w:rFonts w:ascii="Times New Roman" w:eastAsia="Calibri" w:hAnsi="Times New Roman" w:cs="Times New Roman"/>
          <w:b/>
          <w:i/>
          <w:sz w:val="28"/>
          <w:szCs w:val="28"/>
          <w:u w:val="single"/>
        </w:rPr>
      </w:pPr>
      <w:r w:rsidRPr="00E903FC">
        <w:rPr>
          <w:rFonts w:ascii="Times New Roman" w:eastAsia="Calibri" w:hAnsi="Times New Roman" w:cs="Times New Roman"/>
          <w:b/>
          <w:i/>
          <w:sz w:val="28"/>
          <w:szCs w:val="28"/>
          <w:u w:val="single"/>
        </w:rPr>
        <w:t>3.4. Необходимост от</w:t>
      </w:r>
      <w:r w:rsidR="00100E8D">
        <w:rPr>
          <w:rFonts w:ascii="Times New Roman" w:eastAsia="Calibri" w:hAnsi="Times New Roman" w:cs="Times New Roman"/>
          <w:b/>
          <w:i/>
          <w:sz w:val="28"/>
          <w:szCs w:val="28"/>
          <w:u w:val="single"/>
        </w:rPr>
        <w:t xml:space="preserve"> </w:t>
      </w:r>
      <w:r w:rsidRPr="00E903FC">
        <w:rPr>
          <w:rFonts w:ascii="Times New Roman" w:eastAsia="Calibri" w:hAnsi="Times New Roman" w:cs="Times New Roman"/>
          <w:b/>
          <w:i/>
          <w:sz w:val="28"/>
          <w:szCs w:val="28"/>
          <w:u w:val="single"/>
        </w:rPr>
        <w:t xml:space="preserve"> уеднаквяване на съдебната практика:</w:t>
      </w:r>
    </w:p>
    <w:p w14:paraId="382C0C76"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Независимо, че през предходния отчетни периоди с тълкувателни решения на ВКС бяха решени сериозни въпроси, предизвикващи различно прилагане на закона от съдилищата, все още се наблюдават различни възприятия на фактите, които водят и до противоположни правни оценки по сходни казуси, което показва, че е наложително тълкувателната дейност на ВКС да се засили.</w:t>
      </w:r>
    </w:p>
    <w:p w14:paraId="0CE6CE3B" w14:textId="77777777" w:rsidR="00E903FC" w:rsidRPr="00E903FC" w:rsidRDefault="00E903FC" w:rsidP="00E903FC">
      <w:pPr>
        <w:numPr>
          <w:ilvl w:val="0"/>
          <w:numId w:val="36"/>
        </w:numPr>
        <w:spacing w:after="0" w:line="240" w:lineRule="auto"/>
        <w:ind w:left="0"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bCs/>
          <w:sz w:val="28"/>
          <w:szCs w:val="28"/>
          <w:lang w:eastAsia="bg-BG"/>
        </w:rPr>
        <w:t>Както сме сочили и в предходни отчетни доклади,</w:t>
      </w:r>
      <w:r w:rsidRPr="00E903FC">
        <w:rPr>
          <w:rFonts w:ascii="Times New Roman" w:eastAsia="Times New Roman" w:hAnsi="Times New Roman" w:cs="Times New Roman"/>
          <w:sz w:val="28"/>
          <w:szCs w:val="28"/>
          <w:lang w:eastAsia="bg-BG"/>
        </w:rPr>
        <w:t xml:space="preserve"> продължаваме да считаме, че е наложително издаване на тълкувателно решение относно прилагането на института на „задочното осъждане“, още повече, че е налична противоречива съдебна практика и в други региони в страната, а и във ВКС.</w:t>
      </w:r>
    </w:p>
    <w:p w14:paraId="0D826C3A" w14:textId="77777777" w:rsidR="00E903FC" w:rsidRPr="00E903FC" w:rsidRDefault="00E903FC" w:rsidP="00E903FC">
      <w:pPr>
        <w:numPr>
          <w:ilvl w:val="0"/>
          <w:numId w:val="36"/>
        </w:numPr>
        <w:spacing w:after="0" w:line="240" w:lineRule="auto"/>
        <w:ind w:left="0" w:firstLine="709"/>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Не са преодолени и различията при прилагане на института на чл. 9, ал. 2 от НК, тъй като липсва яснота в кои случаи деянието следва да се третира като малозначително и в кои не. От своя страна това води до разнообразна съдебна практика, различие в резултата при едни и същи казуси в зависимост от субективната преценка на конкретния съдебен състав, което насажда несигурност у гражданите и намаляване на общественото доверие в съдебната система. Това често води и до реална подмяна волята на законодателя, създал наказателноправаната норма.</w:t>
      </w:r>
    </w:p>
    <w:p w14:paraId="5F7EA8C9" w14:textId="77777777" w:rsidR="00E903FC" w:rsidRPr="00E903FC" w:rsidRDefault="00E903FC" w:rsidP="00E903FC">
      <w:pPr>
        <w:numPr>
          <w:ilvl w:val="0"/>
          <w:numId w:val="36"/>
        </w:numPr>
        <w:spacing w:after="0" w:line="240" w:lineRule="auto"/>
        <w:ind w:left="0" w:firstLine="709"/>
        <w:contextualSpacing/>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Въвеждане на процесуална възможност прокурорите да протестират определенията с които е отказано одобрение на извършени процесуално следствени действия – претърсване и изземване, обиск;</w:t>
      </w:r>
    </w:p>
    <w:p w14:paraId="191E1E4F" w14:textId="77777777" w:rsidR="00E903FC" w:rsidRPr="00E903FC" w:rsidRDefault="00E903FC" w:rsidP="00E903FC">
      <w:pPr>
        <w:numPr>
          <w:ilvl w:val="0"/>
          <w:numId w:val="36"/>
        </w:numPr>
        <w:spacing w:after="0" w:line="240" w:lineRule="auto"/>
        <w:ind w:left="0" w:firstLine="708"/>
        <w:contextualSpacing/>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Необходимо е сроковете за извършване на проверки по ЗСВ да бъдат съобразени със сложността на конкретната проверка, като се предвидят по-големи срокове за изпълнение при наличието на фактическа и правна сложност. Някои проверки практически е невъзможно да се извършат в тримесечен срок, което води до образуването на досъдебни производства поради невъзможност от обосноваване отказ за образуване, което увеличава в последствие броя на прекратените досъдебни производства.</w:t>
      </w:r>
    </w:p>
    <w:p w14:paraId="6BEC47C0" w14:textId="77777777" w:rsidR="005B0F8F" w:rsidRDefault="005B0F8F">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6289899C" w14:textId="77777777" w:rsidR="005B0F8F" w:rsidRDefault="005B0F8F" w:rsidP="005B0F8F">
      <w:pPr>
        <w:spacing w:after="0" w:line="240" w:lineRule="auto"/>
        <w:ind w:left="708"/>
        <w:contextualSpacing/>
        <w:jc w:val="both"/>
        <w:rPr>
          <w:rFonts w:ascii="Calibri" w:eastAsia="Calibri" w:hAnsi="Calibri" w:cs="Times New Roman"/>
        </w:rPr>
      </w:pPr>
    </w:p>
    <w:p w14:paraId="5B8FE713" w14:textId="432E8D37" w:rsidR="00897C29" w:rsidRDefault="005B0F8F" w:rsidP="005B0F8F">
      <w:pPr>
        <w:spacing w:after="0" w:line="240" w:lineRule="auto"/>
        <w:ind w:left="708"/>
        <w:contextualSpacing/>
        <w:jc w:val="both"/>
        <w:rPr>
          <w:rFonts w:ascii="Calibri" w:eastAsia="Calibri" w:hAnsi="Calibri" w:cs="Times New Roman"/>
        </w:rPr>
      </w:pPr>
      <w:r>
        <w:rPr>
          <w:rFonts w:ascii="Calibri" w:eastAsia="Calibri" w:hAnsi="Calibri" w:cs="Times New Roman"/>
        </w:rPr>
        <w:t xml:space="preserve"> </w:t>
      </w:r>
    </w:p>
    <w:p w14:paraId="3AA0A742" w14:textId="77777777" w:rsidR="007C2CE2" w:rsidRDefault="007C2CE2" w:rsidP="00897C29">
      <w:pPr>
        <w:rPr>
          <w:rFonts w:ascii="Calibri" w:eastAsia="Calibri" w:hAnsi="Calibri" w:cs="Times New Roman"/>
        </w:rPr>
      </w:pPr>
    </w:p>
    <w:p w14:paraId="403D6345" w14:textId="77777777" w:rsidR="007C2CE2" w:rsidRPr="006D4F6F" w:rsidRDefault="007C2CE2" w:rsidP="006D4F6F">
      <w:pPr>
        <w:keepNext/>
        <w:shd w:val="clear" w:color="auto" w:fill="FFFFFF"/>
        <w:autoSpaceDE w:val="0"/>
        <w:autoSpaceDN w:val="0"/>
        <w:adjustRightInd w:val="0"/>
        <w:spacing w:after="0" w:line="240" w:lineRule="auto"/>
        <w:ind w:firstLine="709"/>
        <w:jc w:val="center"/>
        <w:outlineLvl w:val="1"/>
        <w:rPr>
          <w:rFonts w:ascii="Times New Roman" w:eastAsia="Calibri" w:hAnsi="Times New Roman" w:cs="Arial"/>
          <w:b/>
          <w:iCs/>
          <w:color w:val="000000"/>
          <w:sz w:val="32"/>
          <w:szCs w:val="32"/>
          <w:lang w:eastAsia="bg-BG"/>
        </w:rPr>
      </w:pPr>
      <w:bookmarkStart w:id="13" w:name="_Toc127370238"/>
      <w:r w:rsidRPr="006D4F6F">
        <w:rPr>
          <w:rFonts w:ascii="Times New Roman" w:eastAsia="Calibri" w:hAnsi="Times New Roman" w:cs="Arial"/>
          <w:b/>
          <w:iCs/>
          <w:color w:val="000000"/>
          <w:sz w:val="32"/>
          <w:szCs w:val="32"/>
          <w:lang w:eastAsia="bg-BG"/>
        </w:rPr>
        <w:t>РАЗДЕЛ II</w:t>
      </w:r>
      <w:bookmarkEnd w:id="13"/>
    </w:p>
    <w:p w14:paraId="0E16352C" w14:textId="77777777" w:rsidR="007C2CE2" w:rsidRPr="006D4F6F" w:rsidRDefault="007C2CE2" w:rsidP="006D4F6F">
      <w:pPr>
        <w:keepNext/>
        <w:shd w:val="clear" w:color="auto" w:fill="FFFFFF"/>
        <w:autoSpaceDE w:val="0"/>
        <w:autoSpaceDN w:val="0"/>
        <w:adjustRightInd w:val="0"/>
        <w:spacing w:after="0" w:line="240" w:lineRule="auto"/>
        <w:ind w:firstLine="709"/>
        <w:jc w:val="center"/>
        <w:outlineLvl w:val="1"/>
        <w:rPr>
          <w:rFonts w:ascii="Times New Roman" w:eastAsia="Calibri" w:hAnsi="Times New Roman" w:cs="Arial"/>
          <w:b/>
          <w:iCs/>
          <w:color w:val="000000"/>
          <w:sz w:val="28"/>
          <w:lang w:eastAsia="bg-BG"/>
        </w:rPr>
      </w:pPr>
      <w:bookmarkStart w:id="14" w:name="_Toc127370239"/>
      <w:r w:rsidRPr="006D4F6F">
        <w:rPr>
          <w:rFonts w:ascii="Times New Roman" w:eastAsia="Calibri" w:hAnsi="Times New Roman" w:cs="Arial"/>
          <w:b/>
          <w:iCs/>
          <w:color w:val="000000"/>
          <w:sz w:val="32"/>
          <w:szCs w:val="32"/>
          <w:lang w:eastAsia="bg-BG"/>
        </w:rPr>
        <w:t>ДЕЙНОСТ НА ТЕРИТОРИАЛНИТЕ ПРОКУРАТУРИ</w:t>
      </w:r>
      <w:bookmarkEnd w:id="14"/>
    </w:p>
    <w:p w14:paraId="05028A11" w14:textId="77777777" w:rsidR="007C2CE2" w:rsidRPr="007C2CE2" w:rsidRDefault="007C2CE2" w:rsidP="007C2CE2">
      <w:pPr>
        <w:spacing w:after="0" w:line="240" w:lineRule="auto"/>
        <w:jc w:val="center"/>
        <w:rPr>
          <w:rFonts w:ascii="Times New Roman" w:eastAsia="Times New Roman" w:hAnsi="Times New Roman" w:cs="Times New Roman"/>
          <w:b/>
          <w:sz w:val="28"/>
          <w:szCs w:val="28"/>
        </w:rPr>
      </w:pPr>
    </w:p>
    <w:p w14:paraId="4D7760AD" w14:textId="77777777" w:rsidR="007C2CE2" w:rsidRPr="007C2CE2" w:rsidRDefault="007C2CE2" w:rsidP="007C2CE2">
      <w:pPr>
        <w:keepNext/>
        <w:shd w:val="clear" w:color="auto" w:fill="FFFFFF"/>
        <w:tabs>
          <w:tab w:val="left" w:pos="763"/>
        </w:tabs>
        <w:autoSpaceDE w:val="0"/>
        <w:autoSpaceDN w:val="0"/>
        <w:adjustRightInd w:val="0"/>
        <w:spacing w:after="0" w:line="240" w:lineRule="auto"/>
        <w:ind w:firstLine="720"/>
        <w:jc w:val="both"/>
        <w:outlineLvl w:val="1"/>
        <w:rPr>
          <w:rFonts w:ascii="Times New Roman" w:eastAsia="Calibri" w:hAnsi="Times New Roman" w:cs="Arial"/>
          <w:b/>
          <w:iCs/>
          <w:color w:val="000000"/>
          <w:sz w:val="28"/>
          <w:lang w:eastAsia="bg-BG"/>
        </w:rPr>
      </w:pPr>
      <w:bookmarkStart w:id="15" w:name="_Toc127370240"/>
      <w:r w:rsidRPr="007C2CE2">
        <w:rPr>
          <w:rFonts w:ascii="Times New Roman" w:eastAsia="Calibri" w:hAnsi="Times New Roman" w:cs="Arial"/>
          <w:b/>
          <w:iCs/>
          <w:color w:val="000000"/>
          <w:sz w:val="28"/>
          <w:lang w:eastAsia="bg-BG"/>
        </w:rPr>
        <w:t>I. ДОСЪДЕБНА ФАЗА</w:t>
      </w:r>
      <w:bookmarkEnd w:id="15"/>
    </w:p>
    <w:p w14:paraId="77C4B705" w14:textId="77777777" w:rsidR="00D86FFC" w:rsidRPr="00D86FFC" w:rsidRDefault="00D86FFC" w:rsidP="00D86FFC">
      <w:pPr>
        <w:spacing w:after="0" w:line="240" w:lineRule="auto"/>
      </w:pPr>
    </w:p>
    <w:p w14:paraId="69A662DA" w14:textId="77777777" w:rsidR="00E903FC" w:rsidRPr="00E903FC" w:rsidRDefault="00E903FC" w:rsidP="00E903FC">
      <w:pPr>
        <w:keepNext/>
        <w:shd w:val="clear" w:color="auto" w:fill="FFFFFF"/>
        <w:autoSpaceDE w:val="0"/>
        <w:autoSpaceDN w:val="0"/>
        <w:adjustRightInd w:val="0"/>
        <w:spacing w:after="0" w:line="240" w:lineRule="auto"/>
        <w:ind w:firstLine="709"/>
        <w:jc w:val="both"/>
        <w:outlineLvl w:val="1"/>
        <w:rPr>
          <w:rFonts w:ascii="Times New Roman" w:eastAsia="Calibri" w:hAnsi="Times New Roman" w:cs="Arial"/>
          <w:b/>
          <w:iCs/>
          <w:color w:val="000000"/>
          <w:sz w:val="28"/>
          <w:lang w:eastAsia="bg-BG"/>
        </w:rPr>
      </w:pPr>
      <w:bookmarkStart w:id="16" w:name="_Toc63940891"/>
      <w:bookmarkStart w:id="17" w:name="_Toc127370241"/>
      <w:r w:rsidRPr="00E903FC">
        <w:rPr>
          <w:rFonts w:ascii="Times New Roman" w:eastAsia="Calibri" w:hAnsi="Times New Roman" w:cs="Arial"/>
          <w:b/>
          <w:iCs/>
          <w:color w:val="000000"/>
          <w:sz w:val="28"/>
          <w:lang w:eastAsia="bg-BG"/>
        </w:rPr>
        <w:t>1. Преписки.</w:t>
      </w:r>
      <w:bookmarkEnd w:id="16"/>
      <w:bookmarkEnd w:id="17"/>
    </w:p>
    <w:p w14:paraId="2F2B221C" w14:textId="77777777" w:rsidR="00E903FC" w:rsidRPr="00E903FC" w:rsidRDefault="00E903FC" w:rsidP="00E903FC">
      <w:pPr>
        <w:spacing w:after="0" w:line="240" w:lineRule="auto"/>
        <w:ind w:firstLine="708"/>
        <w:jc w:val="both"/>
        <w:rPr>
          <w:rFonts w:ascii="Times New Roman" w:eastAsia="Times New Roman" w:hAnsi="Times New Roman" w:cs="Times New Roman"/>
          <w:b/>
          <w:i/>
          <w:sz w:val="28"/>
          <w:szCs w:val="28"/>
          <w:u w:val="single"/>
        </w:rPr>
      </w:pPr>
    </w:p>
    <w:p w14:paraId="24C848A4" w14:textId="77777777" w:rsidR="00E903FC" w:rsidRPr="00E903FC" w:rsidRDefault="00E903FC" w:rsidP="00E903FC">
      <w:pPr>
        <w:spacing w:after="0" w:line="240" w:lineRule="auto"/>
        <w:ind w:firstLine="708"/>
        <w:jc w:val="both"/>
        <w:rPr>
          <w:rFonts w:ascii="Times New Roman" w:eastAsia="Times New Roman" w:hAnsi="Times New Roman" w:cs="Times New Roman"/>
          <w:b/>
          <w:i/>
          <w:sz w:val="28"/>
          <w:szCs w:val="28"/>
          <w:u w:val="single"/>
        </w:rPr>
      </w:pPr>
      <w:r w:rsidRPr="00E903FC">
        <w:rPr>
          <w:rFonts w:ascii="Times New Roman" w:eastAsia="Times New Roman" w:hAnsi="Times New Roman" w:cs="Times New Roman"/>
          <w:b/>
          <w:i/>
          <w:sz w:val="28"/>
          <w:szCs w:val="28"/>
          <w:u w:val="single"/>
        </w:rPr>
        <w:t>Наблюдавани преписки:</w:t>
      </w:r>
    </w:p>
    <w:p w14:paraId="32978575" w14:textId="77777777" w:rsidR="00E903FC" w:rsidRPr="00E903FC" w:rsidRDefault="00E903FC" w:rsidP="00E903FC">
      <w:pPr>
        <w:spacing w:after="0" w:line="240" w:lineRule="auto"/>
        <w:ind w:firstLine="710"/>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През отчетния период прокуратурите от района на Окръжна прокуратура гр. Монтана са наблюдавали общо 5 572 броя преписки по следствения надзор  (при 5 903 броя преписки по следствения надзор за 2021 г. и  5 568 броя преписки за 2020 г.), от които новообразуваните са 5 061 броя преписки (при 5 562 броя преписки за 2021 г. и 5 119 броя преписки за 2020 г.).  Налице е тенденция за намаляване броя на наблюдаваните преписки и на новообразуваните такива в сравнение с предходните 2021 г. и 2020 г. </w:t>
      </w:r>
    </w:p>
    <w:p w14:paraId="79E7B716" w14:textId="77777777" w:rsidR="00E903FC" w:rsidRPr="00E903FC" w:rsidRDefault="00E903FC" w:rsidP="00E903FC">
      <w:pPr>
        <w:spacing w:after="0" w:line="240" w:lineRule="auto"/>
        <w:ind w:firstLine="710"/>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През 2022 г. новообразуваните преписки са 90.8% от наблюдаваните (за 2021 г. - 94.2%; за 2020 г.- 91.9%</w:t>
      </w:r>
      <w:r w:rsidRPr="00E903FC">
        <w:rPr>
          <w:rFonts w:ascii="Times New Roman" w:eastAsia="Times New Roman" w:hAnsi="Times New Roman" w:cs="Times New Roman"/>
          <w:sz w:val="28"/>
          <w:szCs w:val="28"/>
          <w:lang w:val="en-US"/>
        </w:rPr>
        <w:t>)</w:t>
      </w:r>
      <w:r w:rsidRPr="00E903FC">
        <w:rPr>
          <w:rFonts w:ascii="Times New Roman" w:eastAsia="Times New Roman" w:hAnsi="Times New Roman" w:cs="Times New Roman"/>
          <w:sz w:val="28"/>
          <w:szCs w:val="28"/>
        </w:rPr>
        <w:t>. Налице е намаление в процентно съотношение спрямо предходните две години.</w:t>
      </w:r>
    </w:p>
    <w:p w14:paraId="4967C22D" w14:textId="77777777" w:rsidR="00E903FC" w:rsidRPr="00E903FC" w:rsidRDefault="00E903FC" w:rsidP="00E903FC">
      <w:pPr>
        <w:spacing w:after="0" w:line="240" w:lineRule="auto"/>
        <w:ind w:firstLine="710"/>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Налице е тенденция за намаление на наблюдаваните преписки и на новообразуваните такива в сравнение с предходната 2021 г. и увеличение в сравнение с 2020 г. </w:t>
      </w:r>
    </w:p>
    <w:p w14:paraId="2C910381" w14:textId="77777777" w:rsidR="00E903FC" w:rsidRPr="00E903FC" w:rsidRDefault="00E903FC" w:rsidP="00E903FC">
      <w:pPr>
        <w:spacing w:after="0" w:line="240" w:lineRule="auto"/>
        <w:ind w:firstLine="710"/>
        <w:jc w:val="both"/>
        <w:rPr>
          <w:rFonts w:ascii="Times New Roman" w:eastAsia="Times New Roman" w:hAnsi="Times New Roman" w:cs="Times New Roman"/>
          <w:sz w:val="28"/>
          <w:szCs w:val="28"/>
        </w:rPr>
      </w:pPr>
    </w:p>
    <w:p w14:paraId="52402675" w14:textId="77777777" w:rsidR="00E903FC" w:rsidRPr="00E903FC" w:rsidRDefault="00E903FC" w:rsidP="00E903FC">
      <w:pPr>
        <w:spacing w:after="0" w:line="240" w:lineRule="auto"/>
        <w:ind w:firstLine="708"/>
        <w:jc w:val="both"/>
        <w:rPr>
          <w:rFonts w:ascii="Times New Roman" w:eastAsia="Times New Roman" w:hAnsi="Times New Roman" w:cs="Times New Roman"/>
          <w:b/>
          <w:i/>
          <w:sz w:val="28"/>
          <w:szCs w:val="28"/>
          <w:u w:val="single"/>
        </w:rPr>
      </w:pPr>
      <w:r w:rsidRPr="00E903FC">
        <w:rPr>
          <w:rFonts w:ascii="Times New Roman" w:eastAsia="Times New Roman" w:hAnsi="Times New Roman" w:cs="Times New Roman"/>
          <w:b/>
          <w:i/>
          <w:sz w:val="28"/>
          <w:szCs w:val="28"/>
          <w:u w:val="single"/>
        </w:rPr>
        <w:t>Решени преписки:</w:t>
      </w:r>
    </w:p>
    <w:p w14:paraId="021031FF" w14:textId="77777777" w:rsidR="00E903FC" w:rsidRPr="00E903FC" w:rsidRDefault="00E903FC" w:rsidP="00E903FC">
      <w:pPr>
        <w:spacing w:after="0" w:line="240" w:lineRule="auto"/>
        <w:ind w:firstLine="708"/>
        <w:jc w:val="both"/>
        <w:rPr>
          <w:rFonts w:ascii="Times New Roman" w:eastAsia="Times New Roman" w:hAnsi="Times New Roman" w:cs="Times New Roman"/>
          <w:color w:val="000000"/>
          <w:sz w:val="28"/>
          <w:szCs w:val="28"/>
        </w:rPr>
      </w:pPr>
      <w:r w:rsidRPr="00E903FC">
        <w:rPr>
          <w:rFonts w:ascii="Times New Roman" w:eastAsia="Times New Roman" w:hAnsi="Times New Roman" w:cs="Times New Roman"/>
          <w:color w:val="000000"/>
          <w:sz w:val="28"/>
          <w:szCs w:val="28"/>
        </w:rPr>
        <w:t>От прокуратурите в региона са решени са общо 5175 броя преписки (при 5 675 броя преписки за 2021 г. и  5 309 броя преписки за 2020 г.), като решените представляват 93% от общо наблюдаваните.</w:t>
      </w:r>
    </w:p>
    <w:p w14:paraId="425AAECC"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По прокуратури тези стойности изглеждат по следния начин в брой:</w:t>
      </w:r>
    </w:p>
    <w:p w14:paraId="2BF09391"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3"/>
        <w:gridCol w:w="1769"/>
        <w:gridCol w:w="1668"/>
        <w:gridCol w:w="1504"/>
        <w:gridCol w:w="1843"/>
      </w:tblGrid>
      <w:tr w:rsidR="00E903FC" w:rsidRPr="00E903FC" w14:paraId="44396799" w14:textId="77777777" w:rsidTr="00E903FC">
        <w:tc>
          <w:tcPr>
            <w:tcW w:w="1863" w:type="dxa"/>
            <w:tcBorders>
              <w:top w:val="single" w:sz="4" w:space="0" w:color="auto"/>
              <w:left w:val="single" w:sz="4" w:space="0" w:color="auto"/>
              <w:bottom w:val="single" w:sz="4" w:space="0" w:color="auto"/>
              <w:right w:val="single" w:sz="4" w:space="0" w:color="auto"/>
            </w:tcBorders>
            <w:hideMark/>
          </w:tcPr>
          <w:p w14:paraId="4759E8C8" w14:textId="77777777" w:rsidR="00E903FC" w:rsidRPr="00E903FC" w:rsidRDefault="00E903FC" w:rsidP="00E903FC">
            <w:pPr>
              <w:tabs>
                <w:tab w:val="left" w:pos="826"/>
              </w:tabs>
              <w:autoSpaceDE w:val="0"/>
              <w:autoSpaceDN w:val="0"/>
              <w:adjustRightInd w:val="0"/>
              <w:spacing w:after="0" w:line="240" w:lineRule="auto"/>
              <w:jc w:val="center"/>
              <w:rPr>
                <w:rFonts w:ascii="Times New Roman" w:eastAsia="Calibri" w:hAnsi="Times New Roman" w:cs="Times New Roman"/>
                <w:i/>
                <w:color w:val="000000"/>
                <w:sz w:val="28"/>
                <w:szCs w:val="28"/>
              </w:rPr>
            </w:pPr>
            <w:r w:rsidRPr="00E903FC">
              <w:rPr>
                <w:rFonts w:ascii="Times New Roman" w:eastAsia="Calibri" w:hAnsi="Times New Roman" w:cs="Times New Roman"/>
                <w:i/>
                <w:color w:val="000000"/>
                <w:sz w:val="28"/>
                <w:szCs w:val="28"/>
              </w:rPr>
              <w:t>година</w:t>
            </w:r>
          </w:p>
        </w:tc>
        <w:tc>
          <w:tcPr>
            <w:tcW w:w="1769" w:type="dxa"/>
            <w:tcBorders>
              <w:top w:val="single" w:sz="4" w:space="0" w:color="auto"/>
              <w:left w:val="single" w:sz="4" w:space="0" w:color="auto"/>
              <w:bottom w:val="single" w:sz="4" w:space="0" w:color="auto"/>
              <w:right w:val="single" w:sz="4" w:space="0" w:color="auto"/>
            </w:tcBorders>
            <w:hideMark/>
          </w:tcPr>
          <w:p w14:paraId="5F4428F4" w14:textId="77777777" w:rsidR="00E903FC" w:rsidRPr="00E903FC" w:rsidRDefault="00E903FC" w:rsidP="00E903FC">
            <w:pPr>
              <w:tabs>
                <w:tab w:val="left" w:pos="826"/>
              </w:tabs>
              <w:autoSpaceDE w:val="0"/>
              <w:autoSpaceDN w:val="0"/>
              <w:adjustRightInd w:val="0"/>
              <w:spacing w:after="0" w:line="240" w:lineRule="auto"/>
              <w:jc w:val="center"/>
              <w:rPr>
                <w:rFonts w:ascii="Times New Roman" w:eastAsia="Calibri" w:hAnsi="Times New Roman" w:cs="Times New Roman"/>
                <w:i/>
                <w:color w:val="000000"/>
                <w:sz w:val="28"/>
                <w:szCs w:val="28"/>
              </w:rPr>
            </w:pPr>
            <w:r w:rsidRPr="00E903FC">
              <w:rPr>
                <w:rFonts w:ascii="Times New Roman" w:eastAsia="Calibri" w:hAnsi="Times New Roman" w:cs="Times New Roman"/>
                <w:i/>
                <w:color w:val="000000"/>
                <w:sz w:val="28"/>
                <w:szCs w:val="28"/>
              </w:rPr>
              <w:t>ОП Монтана</w:t>
            </w:r>
          </w:p>
        </w:tc>
        <w:tc>
          <w:tcPr>
            <w:tcW w:w="1668" w:type="dxa"/>
            <w:tcBorders>
              <w:top w:val="single" w:sz="4" w:space="0" w:color="auto"/>
              <w:left w:val="single" w:sz="4" w:space="0" w:color="auto"/>
              <w:bottom w:val="single" w:sz="4" w:space="0" w:color="auto"/>
              <w:right w:val="single" w:sz="4" w:space="0" w:color="auto"/>
            </w:tcBorders>
            <w:hideMark/>
          </w:tcPr>
          <w:p w14:paraId="54E412D9" w14:textId="77777777" w:rsidR="00E903FC" w:rsidRPr="00E903FC" w:rsidRDefault="00E903FC" w:rsidP="00E903FC">
            <w:pPr>
              <w:tabs>
                <w:tab w:val="left" w:pos="826"/>
              </w:tabs>
              <w:autoSpaceDE w:val="0"/>
              <w:autoSpaceDN w:val="0"/>
              <w:adjustRightInd w:val="0"/>
              <w:spacing w:after="0" w:line="240" w:lineRule="auto"/>
              <w:jc w:val="center"/>
              <w:rPr>
                <w:rFonts w:ascii="Times New Roman" w:eastAsia="Calibri" w:hAnsi="Times New Roman" w:cs="Times New Roman"/>
                <w:i/>
                <w:color w:val="000000"/>
                <w:sz w:val="28"/>
                <w:szCs w:val="28"/>
              </w:rPr>
            </w:pPr>
            <w:r w:rsidRPr="00E903FC">
              <w:rPr>
                <w:rFonts w:ascii="Times New Roman" w:eastAsia="Calibri" w:hAnsi="Times New Roman" w:cs="Times New Roman"/>
                <w:i/>
                <w:color w:val="000000"/>
                <w:sz w:val="28"/>
                <w:szCs w:val="28"/>
              </w:rPr>
              <w:t>РП Монтана</w:t>
            </w:r>
          </w:p>
        </w:tc>
        <w:tc>
          <w:tcPr>
            <w:tcW w:w="1504" w:type="dxa"/>
            <w:tcBorders>
              <w:top w:val="single" w:sz="4" w:space="0" w:color="auto"/>
              <w:left w:val="single" w:sz="4" w:space="0" w:color="auto"/>
              <w:bottom w:val="single" w:sz="4" w:space="0" w:color="auto"/>
              <w:right w:val="single" w:sz="4" w:space="0" w:color="auto"/>
            </w:tcBorders>
            <w:hideMark/>
          </w:tcPr>
          <w:p w14:paraId="4CB3F27C" w14:textId="77777777" w:rsidR="00E903FC" w:rsidRPr="00E903FC" w:rsidRDefault="00E903FC" w:rsidP="00E903FC">
            <w:pPr>
              <w:tabs>
                <w:tab w:val="left" w:pos="826"/>
              </w:tabs>
              <w:autoSpaceDE w:val="0"/>
              <w:autoSpaceDN w:val="0"/>
              <w:adjustRightInd w:val="0"/>
              <w:spacing w:after="0" w:line="240" w:lineRule="auto"/>
              <w:jc w:val="center"/>
              <w:rPr>
                <w:rFonts w:ascii="Times New Roman" w:eastAsia="Calibri" w:hAnsi="Times New Roman" w:cs="Times New Roman"/>
                <w:i/>
                <w:color w:val="000000"/>
                <w:sz w:val="28"/>
                <w:szCs w:val="28"/>
              </w:rPr>
            </w:pPr>
            <w:r w:rsidRPr="00E903FC">
              <w:rPr>
                <w:rFonts w:ascii="Times New Roman" w:eastAsia="Calibri" w:hAnsi="Times New Roman" w:cs="Times New Roman"/>
                <w:i/>
                <w:color w:val="000000"/>
                <w:sz w:val="28"/>
                <w:szCs w:val="28"/>
              </w:rPr>
              <w:t>РП Лом</w:t>
            </w:r>
          </w:p>
        </w:tc>
        <w:tc>
          <w:tcPr>
            <w:tcW w:w="1843" w:type="dxa"/>
            <w:tcBorders>
              <w:top w:val="single" w:sz="4" w:space="0" w:color="auto"/>
              <w:left w:val="single" w:sz="4" w:space="0" w:color="auto"/>
              <w:bottom w:val="single" w:sz="4" w:space="0" w:color="auto"/>
              <w:right w:val="single" w:sz="4" w:space="0" w:color="auto"/>
            </w:tcBorders>
            <w:hideMark/>
          </w:tcPr>
          <w:p w14:paraId="2E6A6F37" w14:textId="77777777" w:rsidR="00E903FC" w:rsidRPr="00E903FC" w:rsidRDefault="00E903FC" w:rsidP="00E903FC">
            <w:pPr>
              <w:tabs>
                <w:tab w:val="left" w:pos="826"/>
              </w:tabs>
              <w:autoSpaceDE w:val="0"/>
              <w:autoSpaceDN w:val="0"/>
              <w:adjustRightInd w:val="0"/>
              <w:spacing w:after="0" w:line="240" w:lineRule="auto"/>
              <w:jc w:val="center"/>
              <w:rPr>
                <w:rFonts w:ascii="Times New Roman" w:eastAsia="Calibri" w:hAnsi="Times New Roman" w:cs="Times New Roman"/>
                <w:i/>
                <w:color w:val="000000"/>
                <w:sz w:val="28"/>
                <w:szCs w:val="28"/>
              </w:rPr>
            </w:pPr>
            <w:r w:rsidRPr="00E903FC">
              <w:rPr>
                <w:rFonts w:ascii="Times New Roman" w:eastAsia="Calibri" w:hAnsi="Times New Roman" w:cs="Times New Roman"/>
                <w:i/>
                <w:color w:val="000000"/>
                <w:sz w:val="28"/>
                <w:szCs w:val="28"/>
              </w:rPr>
              <w:t>РП Берковица</w:t>
            </w:r>
          </w:p>
        </w:tc>
      </w:tr>
      <w:tr w:rsidR="00E903FC" w:rsidRPr="00E903FC" w14:paraId="26D6D01D" w14:textId="77777777" w:rsidTr="00E903FC">
        <w:tc>
          <w:tcPr>
            <w:tcW w:w="1863" w:type="dxa"/>
            <w:tcBorders>
              <w:top w:val="single" w:sz="4" w:space="0" w:color="auto"/>
              <w:left w:val="single" w:sz="4" w:space="0" w:color="auto"/>
              <w:bottom w:val="single" w:sz="4" w:space="0" w:color="auto"/>
              <w:right w:val="single" w:sz="4" w:space="0" w:color="auto"/>
            </w:tcBorders>
            <w:shd w:val="clear" w:color="auto" w:fill="D9D9D9"/>
            <w:hideMark/>
          </w:tcPr>
          <w:p w14:paraId="69483185" w14:textId="77777777" w:rsidR="00E903FC" w:rsidRPr="00E903FC" w:rsidRDefault="00E903FC" w:rsidP="00E903FC">
            <w:pPr>
              <w:tabs>
                <w:tab w:val="left" w:pos="826"/>
              </w:tabs>
              <w:autoSpaceDE w:val="0"/>
              <w:autoSpaceDN w:val="0"/>
              <w:adjustRightInd w:val="0"/>
              <w:spacing w:after="0" w:line="240" w:lineRule="auto"/>
              <w:jc w:val="center"/>
              <w:rPr>
                <w:rFonts w:ascii="Times New Roman" w:eastAsia="Calibri" w:hAnsi="Times New Roman" w:cs="Times New Roman"/>
                <w:b/>
                <w:color w:val="000000"/>
                <w:sz w:val="28"/>
                <w:szCs w:val="28"/>
              </w:rPr>
            </w:pPr>
            <w:r w:rsidRPr="00E903FC">
              <w:rPr>
                <w:rFonts w:ascii="Times New Roman" w:eastAsia="Calibri" w:hAnsi="Times New Roman" w:cs="Times New Roman"/>
                <w:b/>
                <w:color w:val="000000"/>
                <w:sz w:val="28"/>
                <w:szCs w:val="28"/>
              </w:rPr>
              <w:t>2022 г.</w:t>
            </w:r>
          </w:p>
        </w:tc>
        <w:tc>
          <w:tcPr>
            <w:tcW w:w="1769" w:type="dxa"/>
            <w:tcBorders>
              <w:top w:val="single" w:sz="4" w:space="0" w:color="auto"/>
              <w:left w:val="single" w:sz="4" w:space="0" w:color="auto"/>
              <w:bottom w:val="single" w:sz="4" w:space="0" w:color="auto"/>
              <w:right w:val="single" w:sz="4" w:space="0" w:color="auto"/>
            </w:tcBorders>
            <w:shd w:val="clear" w:color="auto" w:fill="D9D9D9"/>
            <w:hideMark/>
          </w:tcPr>
          <w:p w14:paraId="11A0AC76" w14:textId="77777777" w:rsidR="00E903FC" w:rsidRPr="00E903FC" w:rsidRDefault="00E903FC" w:rsidP="00E903FC">
            <w:pPr>
              <w:tabs>
                <w:tab w:val="left" w:pos="826"/>
              </w:tabs>
              <w:autoSpaceDE w:val="0"/>
              <w:autoSpaceDN w:val="0"/>
              <w:adjustRightInd w:val="0"/>
              <w:spacing w:after="0" w:line="240" w:lineRule="auto"/>
              <w:jc w:val="center"/>
              <w:rPr>
                <w:rFonts w:ascii="Times New Roman" w:eastAsia="Calibri" w:hAnsi="Times New Roman" w:cs="Times New Roman"/>
                <w:b/>
                <w:color w:val="000000"/>
                <w:sz w:val="28"/>
                <w:szCs w:val="28"/>
              </w:rPr>
            </w:pPr>
            <w:r w:rsidRPr="00E903FC">
              <w:rPr>
                <w:rFonts w:ascii="Times New Roman" w:eastAsia="Calibri" w:hAnsi="Times New Roman" w:cs="Times New Roman"/>
                <w:b/>
                <w:sz w:val="28"/>
                <w:szCs w:val="28"/>
              </w:rPr>
              <w:t>464</w:t>
            </w:r>
          </w:p>
        </w:tc>
        <w:tc>
          <w:tcPr>
            <w:tcW w:w="1668" w:type="dxa"/>
            <w:tcBorders>
              <w:top w:val="single" w:sz="4" w:space="0" w:color="auto"/>
              <w:left w:val="single" w:sz="4" w:space="0" w:color="auto"/>
              <w:bottom w:val="single" w:sz="4" w:space="0" w:color="auto"/>
              <w:right w:val="single" w:sz="4" w:space="0" w:color="auto"/>
            </w:tcBorders>
            <w:shd w:val="clear" w:color="auto" w:fill="D9D9D9"/>
            <w:hideMark/>
          </w:tcPr>
          <w:p w14:paraId="5C04E8FB" w14:textId="77777777" w:rsidR="00E903FC" w:rsidRPr="00E903FC" w:rsidRDefault="00E903FC" w:rsidP="00E903FC">
            <w:pPr>
              <w:tabs>
                <w:tab w:val="left" w:pos="826"/>
              </w:tabs>
              <w:autoSpaceDE w:val="0"/>
              <w:autoSpaceDN w:val="0"/>
              <w:adjustRightInd w:val="0"/>
              <w:spacing w:after="0" w:line="240" w:lineRule="auto"/>
              <w:jc w:val="center"/>
              <w:rPr>
                <w:rFonts w:ascii="Times New Roman" w:eastAsia="Calibri" w:hAnsi="Times New Roman" w:cs="Times New Roman"/>
                <w:b/>
                <w:color w:val="000000"/>
                <w:sz w:val="28"/>
                <w:szCs w:val="28"/>
              </w:rPr>
            </w:pPr>
            <w:r w:rsidRPr="00E903FC">
              <w:rPr>
                <w:rFonts w:ascii="Times New Roman" w:eastAsia="Calibri" w:hAnsi="Times New Roman" w:cs="Times New Roman"/>
                <w:b/>
                <w:sz w:val="28"/>
                <w:szCs w:val="28"/>
              </w:rPr>
              <w:t>4711</w:t>
            </w:r>
          </w:p>
        </w:tc>
        <w:tc>
          <w:tcPr>
            <w:tcW w:w="1504" w:type="dxa"/>
            <w:tcBorders>
              <w:top w:val="single" w:sz="4" w:space="0" w:color="auto"/>
              <w:left w:val="single" w:sz="4" w:space="0" w:color="auto"/>
              <w:bottom w:val="single" w:sz="4" w:space="0" w:color="auto"/>
              <w:right w:val="single" w:sz="4" w:space="0" w:color="auto"/>
            </w:tcBorders>
            <w:shd w:val="clear" w:color="auto" w:fill="D9D9D9"/>
            <w:hideMark/>
          </w:tcPr>
          <w:p w14:paraId="436AD547" w14:textId="77777777" w:rsidR="00E903FC" w:rsidRPr="00E903FC" w:rsidRDefault="00E903FC" w:rsidP="00E903FC">
            <w:pPr>
              <w:spacing w:after="0"/>
              <w:rPr>
                <w:rFonts w:ascii="Calibri" w:eastAsia="Calibri" w:hAnsi="Calibri"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7484D470" w14:textId="77777777" w:rsidR="00E903FC" w:rsidRPr="00E903FC" w:rsidRDefault="00E903FC" w:rsidP="00E903FC">
            <w:pPr>
              <w:spacing w:after="0"/>
              <w:rPr>
                <w:rFonts w:ascii="Calibri" w:eastAsia="Calibri" w:hAnsi="Calibri" w:cs="Times New Roman"/>
              </w:rPr>
            </w:pPr>
          </w:p>
        </w:tc>
      </w:tr>
      <w:tr w:rsidR="00E903FC" w:rsidRPr="00E903FC" w14:paraId="5D0316F7" w14:textId="77777777" w:rsidTr="00E903F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FAB317" w14:textId="77777777" w:rsidR="00E903FC" w:rsidRPr="00E903FC" w:rsidRDefault="00E903FC" w:rsidP="00E903FC">
            <w:pPr>
              <w:tabs>
                <w:tab w:val="left" w:pos="826"/>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E903FC">
              <w:rPr>
                <w:rFonts w:ascii="Times New Roman" w:eastAsia="Calibri" w:hAnsi="Times New Roman" w:cs="Times New Roman"/>
                <w:color w:val="000000"/>
                <w:sz w:val="28"/>
                <w:szCs w:val="28"/>
              </w:rPr>
              <w:t>2021 г.</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B548EE" w14:textId="77777777" w:rsidR="00E903FC" w:rsidRPr="00E903FC" w:rsidRDefault="00E903FC" w:rsidP="00E903FC">
            <w:pPr>
              <w:tabs>
                <w:tab w:val="left" w:pos="826"/>
              </w:tabs>
              <w:autoSpaceDE w:val="0"/>
              <w:autoSpaceDN w:val="0"/>
              <w:adjustRightInd w:val="0"/>
              <w:spacing w:after="0" w:line="240" w:lineRule="auto"/>
              <w:jc w:val="center"/>
              <w:rPr>
                <w:rFonts w:ascii="Times New Roman" w:eastAsia="Calibri" w:hAnsi="Times New Roman" w:cs="Times New Roman"/>
                <w:sz w:val="28"/>
                <w:szCs w:val="28"/>
              </w:rPr>
            </w:pPr>
            <w:r w:rsidRPr="00E903FC">
              <w:rPr>
                <w:rFonts w:ascii="Times New Roman" w:eastAsia="Calibri" w:hAnsi="Times New Roman" w:cs="Times New Roman"/>
                <w:sz w:val="28"/>
                <w:szCs w:val="28"/>
              </w:rPr>
              <w:t>546</w:t>
            </w: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BBA88D" w14:textId="77777777" w:rsidR="00E903FC" w:rsidRPr="00E903FC" w:rsidRDefault="00E903FC" w:rsidP="00E903FC">
            <w:pPr>
              <w:tabs>
                <w:tab w:val="left" w:pos="826"/>
              </w:tabs>
              <w:autoSpaceDE w:val="0"/>
              <w:autoSpaceDN w:val="0"/>
              <w:adjustRightInd w:val="0"/>
              <w:spacing w:after="0" w:line="240" w:lineRule="auto"/>
              <w:jc w:val="center"/>
              <w:rPr>
                <w:rFonts w:ascii="Times New Roman" w:eastAsia="Calibri" w:hAnsi="Times New Roman" w:cs="Times New Roman"/>
                <w:sz w:val="28"/>
                <w:szCs w:val="28"/>
              </w:rPr>
            </w:pPr>
            <w:r w:rsidRPr="00E903FC">
              <w:rPr>
                <w:rFonts w:ascii="Times New Roman" w:eastAsia="Calibri" w:hAnsi="Times New Roman" w:cs="Times New Roman"/>
                <w:sz w:val="28"/>
                <w:szCs w:val="28"/>
              </w:rPr>
              <w:t>5129</w:t>
            </w:r>
          </w:p>
        </w:tc>
        <w:tc>
          <w:tcPr>
            <w:tcW w:w="1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3E1E1C" w14:textId="77777777" w:rsidR="00E903FC" w:rsidRPr="00E903FC" w:rsidRDefault="00E903FC" w:rsidP="00E903FC">
            <w:pPr>
              <w:spacing w:after="0"/>
              <w:rPr>
                <w:rFonts w:ascii="Calibri" w:eastAsia="Calibri" w:hAnsi="Calibri"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15FFCC" w14:textId="77777777" w:rsidR="00E903FC" w:rsidRPr="00E903FC" w:rsidRDefault="00E903FC" w:rsidP="00E903FC">
            <w:pPr>
              <w:spacing w:after="0"/>
              <w:rPr>
                <w:rFonts w:ascii="Calibri" w:eastAsia="Calibri" w:hAnsi="Calibri" w:cs="Times New Roman"/>
              </w:rPr>
            </w:pPr>
          </w:p>
        </w:tc>
      </w:tr>
      <w:tr w:rsidR="00E903FC" w:rsidRPr="00E903FC" w14:paraId="27FCC451" w14:textId="77777777" w:rsidTr="00E903F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94E443" w14:textId="77777777" w:rsidR="00E903FC" w:rsidRPr="00E903FC" w:rsidRDefault="00E903FC" w:rsidP="00E903FC">
            <w:pPr>
              <w:tabs>
                <w:tab w:val="left" w:pos="826"/>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E903FC">
              <w:rPr>
                <w:rFonts w:ascii="Times New Roman" w:eastAsia="Calibri" w:hAnsi="Times New Roman" w:cs="Times New Roman"/>
                <w:color w:val="000000"/>
                <w:sz w:val="28"/>
                <w:szCs w:val="28"/>
              </w:rPr>
              <w:t>2020 г.</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5B2B6" w14:textId="77777777" w:rsidR="00E903FC" w:rsidRPr="00E903FC" w:rsidRDefault="00E903FC" w:rsidP="00E903FC">
            <w:pPr>
              <w:tabs>
                <w:tab w:val="left" w:pos="826"/>
              </w:tabs>
              <w:autoSpaceDE w:val="0"/>
              <w:autoSpaceDN w:val="0"/>
              <w:adjustRightInd w:val="0"/>
              <w:spacing w:after="0" w:line="240" w:lineRule="auto"/>
              <w:jc w:val="center"/>
              <w:rPr>
                <w:rFonts w:ascii="Times New Roman" w:eastAsia="Calibri" w:hAnsi="Times New Roman" w:cs="Times New Roman"/>
                <w:sz w:val="28"/>
                <w:szCs w:val="28"/>
              </w:rPr>
            </w:pPr>
            <w:r w:rsidRPr="00E903FC">
              <w:rPr>
                <w:rFonts w:ascii="Times New Roman" w:eastAsia="Calibri" w:hAnsi="Times New Roman" w:cs="Times New Roman"/>
                <w:sz w:val="28"/>
                <w:szCs w:val="28"/>
              </w:rPr>
              <w:t>456</w:t>
            </w: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A5B7D2" w14:textId="77777777" w:rsidR="00E903FC" w:rsidRPr="00E903FC" w:rsidRDefault="00E903FC" w:rsidP="00E903FC">
            <w:pPr>
              <w:tabs>
                <w:tab w:val="left" w:pos="826"/>
              </w:tabs>
              <w:autoSpaceDE w:val="0"/>
              <w:autoSpaceDN w:val="0"/>
              <w:adjustRightInd w:val="0"/>
              <w:spacing w:after="0" w:line="240" w:lineRule="auto"/>
              <w:jc w:val="center"/>
              <w:rPr>
                <w:rFonts w:ascii="Times New Roman" w:eastAsia="Calibri" w:hAnsi="Times New Roman" w:cs="Times New Roman"/>
                <w:sz w:val="28"/>
                <w:szCs w:val="28"/>
              </w:rPr>
            </w:pPr>
            <w:r w:rsidRPr="00E903FC">
              <w:rPr>
                <w:rFonts w:ascii="Times New Roman" w:eastAsia="Calibri" w:hAnsi="Times New Roman" w:cs="Times New Roman"/>
                <w:sz w:val="28"/>
                <w:szCs w:val="28"/>
              </w:rPr>
              <w:t>2189</w:t>
            </w:r>
          </w:p>
        </w:tc>
        <w:tc>
          <w:tcPr>
            <w:tcW w:w="1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89ECF9" w14:textId="77777777" w:rsidR="00E903FC" w:rsidRPr="00E903FC" w:rsidRDefault="00E903FC" w:rsidP="00E903FC">
            <w:pPr>
              <w:tabs>
                <w:tab w:val="left" w:pos="826"/>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E903FC">
              <w:rPr>
                <w:rFonts w:ascii="Times New Roman" w:eastAsia="Calibri" w:hAnsi="Times New Roman" w:cs="Times New Roman"/>
                <w:color w:val="000000"/>
                <w:sz w:val="28"/>
                <w:szCs w:val="28"/>
              </w:rPr>
              <w:t>1658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54E5B2" w14:textId="77777777" w:rsidR="00E903FC" w:rsidRPr="00E903FC" w:rsidRDefault="00E903FC" w:rsidP="00E903FC">
            <w:pPr>
              <w:tabs>
                <w:tab w:val="left" w:pos="826"/>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E903FC">
              <w:rPr>
                <w:rFonts w:ascii="Times New Roman" w:eastAsia="Calibri" w:hAnsi="Times New Roman" w:cs="Times New Roman"/>
                <w:color w:val="000000"/>
                <w:sz w:val="28"/>
                <w:szCs w:val="28"/>
              </w:rPr>
              <w:t>1006</w:t>
            </w:r>
          </w:p>
        </w:tc>
      </w:tr>
    </w:tbl>
    <w:p w14:paraId="27042B6C"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p>
    <w:p w14:paraId="66029976"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Прокурорите в Районна прокуратура - Монтана са решили най-много преписки, следвани от ОП - Монтана. </w:t>
      </w:r>
    </w:p>
    <w:p w14:paraId="0CC62BCC" w14:textId="77777777" w:rsidR="00E903FC" w:rsidRPr="00E903FC" w:rsidRDefault="00E903FC" w:rsidP="00E903FC">
      <w:pPr>
        <w:spacing w:after="0" w:line="240" w:lineRule="auto"/>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         Спрямо общия брой на наблюдаваните преписки съотношението относително е запазено - за 2022 г. решените са 93%  (през 2021 г. решените преписки са 96,1%, а  през 2020 г. решените преписки са 95,3%  от наблюдаваните). Следователно  през 2022 г. е намалял,  спрямо 2021 г. и 2020 г., броят на решените преписки като абсолютни стойности (числа), като относителен дял на решените от наблюдаваните преписки, което е логично с оглед намалелия брой наблюдавани и новообразувани преписки. </w:t>
      </w:r>
    </w:p>
    <w:p w14:paraId="298AE21D"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lastRenderedPageBreak/>
        <w:t xml:space="preserve">- </w:t>
      </w:r>
      <w:r w:rsidRPr="00E903FC">
        <w:rPr>
          <w:rFonts w:ascii="Times New Roman" w:eastAsia="Times New Roman" w:hAnsi="Times New Roman" w:cs="Times New Roman"/>
          <w:sz w:val="28"/>
          <w:szCs w:val="28"/>
          <w:u w:val="single"/>
        </w:rPr>
        <w:t>решени с отказ</w:t>
      </w:r>
      <w:r w:rsidRPr="00E903FC">
        <w:rPr>
          <w:rFonts w:ascii="Times New Roman" w:eastAsia="Times New Roman" w:hAnsi="Times New Roman" w:cs="Times New Roman"/>
          <w:sz w:val="28"/>
          <w:szCs w:val="28"/>
        </w:rPr>
        <w:t xml:space="preserve"> за образуване на досъдебно производство – 3 833 броя преписки или 74,1% от общия брой решени преписки (при 4 135 броя преписки за 2021г. и 3 889 броя преписки за 2020 г.).</w:t>
      </w:r>
    </w:p>
    <w:p w14:paraId="5011446E"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 През отчетната година е налице намаление  броят на постановените откази за образуване на досъдебни производства спрямо предходните 2021 г. и 2020 г., което е последица от намалението на броя на наблюдаваните преписки спрямо предходните отчетни години.  </w:t>
      </w:r>
    </w:p>
    <w:p w14:paraId="417B1E41"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 </w:t>
      </w:r>
      <w:r w:rsidRPr="00E903FC">
        <w:rPr>
          <w:rFonts w:ascii="Times New Roman" w:eastAsia="Times New Roman" w:hAnsi="Times New Roman" w:cs="Times New Roman"/>
          <w:sz w:val="28"/>
          <w:szCs w:val="28"/>
          <w:u w:val="single"/>
        </w:rPr>
        <w:t>решени с образуване</w:t>
      </w:r>
      <w:r w:rsidRPr="00E903FC">
        <w:rPr>
          <w:rFonts w:ascii="Times New Roman" w:eastAsia="Times New Roman" w:hAnsi="Times New Roman" w:cs="Times New Roman"/>
          <w:sz w:val="28"/>
          <w:szCs w:val="28"/>
        </w:rPr>
        <w:t xml:space="preserve"> на досъдебно производство – 846 броя преписки (при 900 броя преписки  за 2021 г.  и  776 броя преписки за 2020 г.) или 16.3% (при 15,9%  за 2021 г. и 14,6% за 2020 г.) от общия брой решени преписки.</w:t>
      </w:r>
    </w:p>
    <w:p w14:paraId="2B448BD7"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Абсолютният брой на решените преписки с образуване на ДП  е намален спрямо 2021 г. и увеличен спрямо 2020 г., като е налице тенденция на увеличаване в процентно съотношение спрямо предходните 2021 г. и 2020 г.</w:t>
      </w:r>
    </w:p>
    <w:p w14:paraId="7FB583FA"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rPr>
      </w:pPr>
    </w:p>
    <w:p w14:paraId="71951BF5" w14:textId="77777777" w:rsidR="00E903FC" w:rsidRPr="00E903FC" w:rsidRDefault="00E903FC" w:rsidP="00E903FC">
      <w:pPr>
        <w:keepNext/>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rPr>
      </w:pPr>
      <w:bookmarkStart w:id="18" w:name="_Toc63940892"/>
      <w:bookmarkStart w:id="19" w:name="_Toc127370242"/>
      <w:r w:rsidRPr="00E903FC">
        <w:rPr>
          <w:rFonts w:ascii="Times New Roman" w:eastAsia="Calibri" w:hAnsi="Times New Roman" w:cs="Arial"/>
          <w:b/>
          <w:iCs/>
          <w:color w:val="000000"/>
          <w:sz w:val="28"/>
          <w:lang w:eastAsia="bg-BG"/>
        </w:rPr>
        <w:t>Проверки по чл. 145 ЗСВ – срочност, резултати, мерки.</w:t>
      </w:r>
      <w:bookmarkEnd w:id="18"/>
      <w:bookmarkEnd w:id="19"/>
      <w:r w:rsidRPr="00E903FC">
        <w:rPr>
          <w:rFonts w:ascii="Times New Roman" w:eastAsia="Times New Roman" w:hAnsi="Times New Roman" w:cs="Times New Roman"/>
          <w:b/>
          <w:sz w:val="28"/>
          <w:szCs w:val="28"/>
        </w:rPr>
        <w:t xml:space="preserve"> </w:t>
      </w:r>
    </w:p>
    <w:p w14:paraId="005E75E0" w14:textId="77777777" w:rsidR="00E903FC" w:rsidRPr="00E903FC" w:rsidRDefault="00E903FC" w:rsidP="00E903FC">
      <w:pPr>
        <w:spacing w:after="0" w:line="240" w:lineRule="auto"/>
        <w:ind w:firstLine="708"/>
        <w:jc w:val="both"/>
        <w:rPr>
          <w:rFonts w:ascii="Times New Roman" w:eastAsia="Times New Roman" w:hAnsi="Times New Roman" w:cs="Times New Roman"/>
          <w:b/>
          <w:sz w:val="28"/>
          <w:szCs w:val="28"/>
        </w:rPr>
      </w:pPr>
      <w:r w:rsidRPr="00E903FC">
        <w:rPr>
          <w:rFonts w:ascii="Times New Roman" w:eastAsia="Times New Roman" w:hAnsi="Times New Roman" w:cs="Times New Roman"/>
          <w:b/>
          <w:sz w:val="28"/>
          <w:szCs w:val="28"/>
        </w:rPr>
        <w:t>Преписки, решени с възлагане на проверка от прокурора на друг орган /съгласно Указание за приложението на чл. 145, ал. 2 от ЗСВ – ДВ бр. 62/2016 г., в сила от 09.08.2016 г./.</w:t>
      </w:r>
    </w:p>
    <w:p w14:paraId="42DCCD32" w14:textId="77777777" w:rsidR="00E903FC" w:rsidRPr="00E903FC" w:rsidRDefault="00E903FC" w:rsidP="00E903FC">
      <w:pPr>
        <w:spacing w:after="0" w:line="240" w:lineRule="auto"/>
        <w:jc w:val="both"/>
        <w:rPr>
          <w:rFonts w:ascii="Times New Roman" w:eastAsia="Times New Roman" w:hAnsi="Times New Roman" w:cs="Times New Roman"/>
          <w:b/>
          <w:sz w:val="28"/>
          <w:szCs w:val="28"/>
        </w:rPr>
      </w:pPr>
    </w:p>
    <w:p w14:paraId="2BB8C132" w14:textId="77777777" w:rsidR="00E903FC" w:rsidRPr="00E903FC" w:rsidRDefault="00E903FC" w:rsidP="00E903FC">
      <w:pPr>
        <w:spacing w:after="0" w:line="240" w:lineRule="auto"/>
        <w:ind w:firstLine="708"/>
        <w:jc w:val="both"/>
        <w:rPr>
          <w:rFonts w:ascii="Times New Roman" w:eastAsia="Times New Roman" w:hAnsi="Times New Roman" w:cs="Times New Roman"/>
          <w:b/>
          <w:i/>
          <w:sz w:val="28"/>
          <w:szCs w:val="28"/>
          <w:u w:val="single"/>
        </w:rPr>
      </w:pPr>
      <w:r w:rsidRPr="00E903FC">
        <w:rPr>
          <w:rFonts w:ascii="Times New Roman" w:eastAsia="Times New Roman" w:hAnsi="Times New Roman" w:cs="Times New Roman"/>
          <w:b/>
          <w:i/>
          <w:sz w:val="28"/>
          <w:szCs w:val="28"/>
          <w:u w:val="single"/>
        </w:rPr>
        <w:t>Преписки с възложени от прокурор проверки на друг орган.</w:t>
      </w:r>
    </w:p>
    <w:p w14:paraId="69D86EB5" w14:textId="14ED8AB8" w:rsidR="00E903FC" w:rsidRPr="00E903FC" w:rsidRDefault="00E903FC" w:rsidP="00E903FC">
      <w:pPr>
        <w:spacing w:after="0" w:line="240" w:lineRule="auto"/>
        <w:ind w:firstLine="708"/>
        <w:jc w:val="both"/>
        <w:rPr>
          <w:rFonts w:ascii="Times New Roman" w:eastAsia="Times New Roman" w:hAnsi="Times New Roman" w:cs="Times New Roman"/>
          <w:i/>
          <w:color w:val="000000"/>
          <w:sz w:val="28"/>
          <w:szCs w:val="28"/>
        </w:rPr>
      </w:pPr>
      <w:r w:rsidRPr="00E903FC">
        <w:rPr>
          <w:rFonts w:ascii="Times New Roman" w:eastAsia="Times New Roman" w:hAnsi="Times New Roman" w:cs="Times New Roman"/>
          <w:sz w:val="28"/>
          <w:szCs w:val="28"/>
        </w:rPr>
        <w:t xml:space="preserve">През отчетната 2022 г. </w:t>
      </w:r>
      <w:r w:rsidRPr="00E6767D">
        <w:rPr>
          <w:rFonts w:ascii="Times New Roman" w:eastAsia="Times New Roman" w:hAnsi="Times New Roman" w:cs="Times New Roman"/>
          <w:sz w:val="28"/>
          <w:szCs w:val="28"/>
        </w:rPr>
        <w:t xml:space="preserve">са решени общо </w:t>
      </w:r>
      <w:r w:rsidR="00E6767D" w:rsidRPr="00E6767D">
        <w:rPr>
          <w:rFonts w:ascii="Times New Roman" w:eastAsia="Times New Roman" w:hAnsi="Times New Roman" w:cs="Times New Roman"/>
          <w:sz w:val="28"/>
          <w:szCs w:val="28"/>
        </w:rPr>
        <w:t>1180</w:t>
      </w:r>
      <w:r w:rsidRPr="00E6767D">
        <w:rPr>
          <w:rFonts w:ascii="Times New Roman" w:eastAsia="Times New Roman" w:hAnsi="Times New Roman" w:cs="Times New Roman"/>
          <w:sz w:val="28"/>
          <w:szCs w:val="28"/>
        </w:rPr>
        <w:t xml:space="preserve"> /при </w:t>
      </w:r>
      <w:r w:rsidR="00E6767D" w:rsidRPr="00E6767D">
        <w:rPr>
          <w:rFonts w:ascii="Times New Roman" w:eastAsia="Times New Roman" w:hAnsi="Times New Roman" w:cs="Times New Roman"/>
          <w:sz w:val="28"/>
          <w:szCs w:val="28"/>
        </w:rPr>
        <w:t>1281</w:t>
      </w:r>
      <w:r w:rsidRPr="00E6767D">
        <w:rPr>
          <w:rFonts w:ascii="Times New Roman" w:eastAsia="Times New Roman" w:hAnsi="Times New Roman" w:cs="Times New Roman"/>
          <w:sz w:val="28"/>
          <w:szCs w:val="28"/>
        </w:rPr>
        <w:t xml:space="preserve"> за 2021 г.</w:t>
      </w:r>
      <w:r w:rsidRPr="00E903FC">
        <w:rPr>
          <w:rFonts w:ascii="Times New Roman" w:eastAsia="Times New Roman" w:hAnsi="Times New Roman" w:cs="Times New Roman"/>
          <w:sz w:val="28"/>
          <w:szCs w:val="28"/>
        </w:rPr>
        <w:t xml:space="preserve"> и 1</w:t>
      </w:r>
      <w:r w:rsidR="00E6767D">
        <w:rPr>
          <w:rFonts w:ascii="Times New Roman" w:eastAsia="Times New Roman" w:hAnsi="Times New Roman" w:cs="Times New Roman"/>
          <w:sz w:val="28"/>
          <w:szCs w:val="28"/>
        </w:rPr>
        <w:t xml:space="preserve">401 </w:t>
      </w:r>
      <w:r w:rsidRPr="00E903FC">
        <w:rPr>
          <w:rFonts w:ascii="Times New Roman" w:eastAsia="Times New Roman" w:hAnsi="Times New Roman" w:cs="Times New Roman"/>
          <w:sz w:val="28"/>
          <w:szCs w:val="28"/>
        </w:rPr>
        <w:t>за 2020 г./  броя преписки с възложени от прокурор проверки на друг орган</w:t>
      </w:r>
      <w:r w:rsidRPr="00E903FC">
        <w:rPr>
          <w:rFonts w:ascii="Times New Roman" w:eastAsia="Times New Roman" w:hAnsi="Times New Roman" w:cs="Times New Roman"/>
          <w:color w:val="000000"/>
          <w:sz w:val="28"/>
          <w:szCs w:val="28"/>
        </w:rPr>
        <w:t xml:space="preserve">, представляващи 25% от общо наблюдаваните преписки за отчетния период, при 25% за предходната 2021 г. и 26% за 2020 г. </w:t>
      </w:r>
    </w:p>
    <w:p w14:paraId="2F1C03E6" w14:textId="77777777" w:rsidR="00E903FC" w:rsidRPr="00E903FC" w:rsidRDefault="00E903FC" w:rsidP="00E903FC">
      <w:pPr>
        <w:spacing w:after="0" w:line="240" w:lineRule="auto"/>
        <w:ind w:firstLine="708"/>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От тях:</w:t>
      </w:r>
    </w:p>
    <w:p w14:paraId="60CE68D7" w14:textId="0CD08A6A"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6767D">
        <w:rPr>
          <w:rFonts w:ascii="Times New Roman" w:eastAsia="Times New Roman" w:hAnsi="Times New Roman" w:cs="Times New Roman"/>
          <w:sz w:val="28"/>
          <w:szCs w:val="28"/>
        </w:rPr>
        <w:t xml:space="preserve">- </w:t>
      </w:r>
      <w:r w:rsidRPr="00E6767D">
        <w:rPr>
          <w:rFonts w:ascii="Times New Roman" w:eastAsia="Times New Roman" w:hAnsi="Times New Roman" w:cs="Times New Roman"/>
          <w:sz w:val="28"/>
          <w:szCs w:val="28"/>
          <w:u w:val="single"/>
        </w:rPr>
        <w:t>решени с образуване</w:t>
      </w:r>
      <w:r w:rsidRPr="00E6767D">
        <w:rPr>
          <w:rFonts w:ascii="Times New Roman" w:eastAsia="Times New Roman" w:hAnsi="Times New Roman" w:cs="Times New Roman"/>
          <w:sz w:val="28"/>
          <w:szCs w:val="28"/>
        </w:rPr>
        <w:t xml:space="preserve"> на досъдебно производство – 259 броя преписки, което представлява 2</w:t>
      </w:r>
      <w:r w:rsidR="00E6767D" w:rsidRPr="00E6767D">
        <w:rPr>
          <w:rFonts w:ascii="Times New Roman" w:eastAsia="Times New Roman" w:hAnsi="Times New Roman" w:cs="Times New Roman"/>
          <w:sz w:val="28"/>
          <w:szCs w:val="28"/>
        </w:rPr>
        <w:t>1</w:t>
      </w:r>
      <w:r w:rsidRPr="00E6767D">
        <w:rPr>
          <w:rFonts w:ascii="Times New Roman" w:eastAsia="Times New Roman" w:hAnsi="Times New Roman" w:cs="Times New Roman"/>
          <w:sz w:val="28"/>
          <w:szCs w:val="28"/>
        </w:rPr>
        <w:t xml:space="preserve">.9% от общия брой решени преписки с възлагане на проверка, при 278 броя преписки за 2020 г. или </w:t>
      </w:r>
      <w:r w:rsidR="00E6767D" w:rsidRPr="00E6767D">
        <w:rPr>
          <w:rFonts w:ascii="Times New Roman" w:eastAsia="Times New Roman" w:hAnsi="Times New Roman" w:cs="Times New Roman"/>
          <w:sz w:val="28"/>
          <w:szCs w:val="28"/>
        </w:rPr>
        <w:t>21,7</w:t>
      </w:r>
      <w:r w:rsidRPr="00E6767D">
        <w:rPr>
          <w:rFonts w:ascii="Times New Roman" w:eastAsia="Times New Roman" w:hAnsi="Times New Roman" w:cs="Times New Roman"/>
          <w:sz w:val="28"/>
          <w:szCs w:val="28"/>
        </w:rPr>
        <w:t xml:space="preserve">% от общия брой решени преписки с възлагане на проверка, при 240 броя при също </w:t>
      </w:r>
      <w:r w:rsidR="00E6767D" w:rsidRPr="00E6767D">
        <w:rPr>
          <w:rFonts w:ascii="Times New Roman" w:eastAsia="Times New Roman" w:hAnsi="Times New Roman" w:cs="Times New Roman"/>
          <w:sz w:val="28"/>
          <w:szCs w:val="28"/>
        </w:rPr>
        <w:t>17,1</w:t>
      </w:r>
      <w:r w:rsidRPr="00E6767D">
        <w:rPr>
          <w:rFonts w:ascii="Times New Roman" w:eastAsia="Times New Roman" w:hAnsi="Times New Roman" w:cs="Times New Roman"/>
          <w:sz w:val="28"/>
          <w:szCs w:val="28"/>
        </w:rPr>
        <w:t>% за 2020 г. Налице е увеличение на съотношението в сравнение с предходните 202</w:t>
      </w:r>
      <w:r w:rsidR="00E6767D" w:rsidRPr="00E6767D">
        <w:rPr>
          <w:rFonts w:ascii="Times New Roman" w:eastAsia="Times New Roman" w:hAnsi="Times New Roman" w:cs="Times New Roman"/>
          <w:sz w:val="28"/>
          <w:szCs w:val="28"/>
        </w:rPr>
        <w:t>1</w:t>
      </w:r>
      <w:r w:rsidRPr="00E6767D">
        <w:rPr>
          <w:rFonts w:ascii="Times New Roman" w:eastAsia="Times New Roman" w:hAnsi="Times New Roman" w:cs="Times New Roman"/>
          <w:sz w:val="28"/>
          <w:szCs w:val="28"/>
        </w:rPr>
        <w:t xml:space="preserve"> г. </w:t>
      </w:r>
      <w:r w:rsidR="00E6767D" w:rsidRPr="00E6767D">
        <w:rPr>
          <w:rFonts w:ascii="Times New Roman" w:eastAsia="Times New Roman" w:hAnsi="Times New Roman" w:cs="Times New Roman"/>
          <w:sz w:val="28"/>
          <w:szCs w:val="28"/>
        </w:rPr>
        <w:t>и 2020</w:t>
      </w:r>
      <w:r w:rsidRPr="00E6767D">
        <w:rPr>
          <w:rFonts w:ascii="Times New Roman" w:eastAsia="Times New Roman" w:hAnsi="Times New Roman" w:cs="Times New Roman"/>
          <w:sz w:val="28"/>
          <w:szCs w:val="28"/>
        </w:rPr>
        <w:t xml:space="preserve"> г.</w:t>
      </w:r>
      <w:r w:rsidRPr="00E903FC">
        <w:rPr>
          <w:rFonts w:ascii="Times New Roman" w:eastAsia="Times New Roman" w:hAnsi="Times New Roman" w:cs="Times New Roman"/>
          <w:sz w:val="28"/>
          <w:szCs w:val="28"/>
        </w:rPr>
        <w:t xml:space="preserve"> </w:t>
      </w:r>
    </w:p>
    <w:p w14:paraId="6998FB96"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 </w:t>
      </w:r>
      <w:r w:rsidRPr="00E903FC">
        <w:rPr>
          <w:rFonts w:ascii="Times New Roman" w:eastAsia="Times New Roman" w:hAnsi="Times New Roman" w:cs="Times New Roman"/>
          <w:sz w:val="28"/>
          <w:szCs w:val="28"/>
          <w:u w:val="single"/>
        </w:rPr>
        <w:t>решени с отказ</w:t>
      </w:r>
      <w:r w:rsidRPr="00E903FC">
        <w:rPr>
          <w:rFonts w:ascii="Times New Roman" w:eastAsia="Times New Roman" w:hAnsi="Times New Roman" w:cs="Times New Roman"/>
          <w:sz w:val="28"/>
          <w:szCs w:val="28"/>
        </w:rPr>
        <w:t xml:space="preserve"> за образуване на досъдебно производство – 873 броя преписки или 77.1% от общия брой решени преписки с възлагане на проверка, при 930 броя преписки или 62% от общия брой решени преписки с възлагане на проверка за  2021 г. и 929 броя или 64,2% за 2020 г. </w:t>
      </w:r>
    </w:p>
    <w:p w14:paraId="2CF89085"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Формира се тенденция за незначително намаление в цифрово отношение на решените с отказ да се образува досъдебно производство преписки с възлагане на проверка спрямо предходните отчетни години и увеличение в процентно съотношение спрямо предходните периоди. </w:t>
      </w:r>
    </w:p>
    <w:p w14:paraId="56CD0ECA"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От преписките с възложени от прокурор проверки на друг орган през отчетната 2020 г. в законовия срок от по чл. 145, ал. 2 от ЗСВ са приключени 1299 /при 1287 за 2021 г. и 1290 за 2020 г./ броя проверки или 92% от общия брой на преписките с възложени от прокурор проверки на друг орган. По възложени проверки от прокурорите в Районна прокуратура - Монтана са приключени 1244 броя проверки, а от прокурорите в ОП – Монтана – 55 броя проверки.</w:t>
      </w:r>
    </w:p>
    <w:p w14:paraId="13BD385F"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lastRenderedPageBreak/>
        <w:t>От преписките с възложени от прокурор проверки на друг орган през отчетната 2022 г. извън законовия срок от по чл. 145, ал. 2 от ЗСВ е приключена 1 проверка /на РП – Монтана/, в ОП – Монтана не са приключвани проверки извън сроковете по чл. 145, ал. 2 от ЗСВ.</w:t>
      </w:r>
    </w:p>
    <w:p w14:paraId="5D2857F2"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В сравнение с предходните 2021 г. и  2020 г. е налице трайно намаление на приключените извън законовия срок от по чл. 145, ал. 2 от ЗСВ проверки (1 проверка през 2021 г. и 10 проверки през 2020 г.), налице тенденция за трайно подобряване работата на прокурорите по този показател.</w:t>
      </w:r>
    </w:p>
    <w:p w14:paraId="6FC2CB08"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p>
    <w:p w14:paraId="1EF3F63B" w14:textId="77777777" w:rsidR="00E903FC" w:rsidRPr="00E903FC" w:rsidRDefault="00E903FC" w:rsidP="00E903FC">
      <w:pPr>
        <w:spacing w:after="0" w:line="240" w:lineRule="auto"/>
        <w:ind w:firstLine="708"/>
        <w:jc w:val="both"/>
        <w:rPr>
          <w:rFonts w:ascii="Times New Roman" w:eastAsia="Times New Roman" w:hAnsi="Times New Roman" w:cs="Times New Roman"/>
          <w:b/>
          <w:i/>
          <w:sz w:val="28"/>
          <w:szCs w:val="28"/>
          <w:u w:val="single"/>
        </w:rPr>
      </w:pPr>
      <w:r w:rsidRPr="00E903FC">
        <w:rPr>
          <w:rFonts w:ascii="Times New Roman" w:eastAsia="Times New Roman" w:hAnsi="Times New Roman" w:cs="Times New Roman"/>
          <w:b/>
          <w:i/>
          <w:sz w:val="28"/>
          <w:szCs w:val="28"/>
          <w:u w:val="single"/>
        </w:rPr>
        <w:t>Преписки, върнати с разпореждане за допълване на проверката.</w:t>
      </w:r>
    </w:p>
    <w:p w14:paraId="103A06E2"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През отчетния период общият брой на преписките, върнати с разпореждане за допълване на проверката, е 84 или 0,06% от общия брой на преписките с възложена от прокурор проверки на друг орган. В сравнение с предходните 2021 г. и 2020 г. е налице намаление при броя на преписките, върнати с разпореждане за допълване на проверката (за 2021 г. – 69 броя,  а за 2020 г. – 92 бр.</w:t>
      </w:r>
      <w:r w:rsidRPr="00E903FC">
        <w:rPr>
          <w:rFonts w:ascii="Times New Roman" w:eastAsia="Times New Roman" w:hAnsi="Times New Roman" w:cs="Times New Roman"/>
          <w:sz w:val="28"/>
          <w:szCs w:val="28"/>
          <w:lang w:val="en-US"/>
        </w:rPr>
        <w:t>)</w:t>
      </w:r>
      <w:r w:rsidRPr="00E903FC">
        <w:rPr>
          <w:rFonts w:ascii="Times New Roman" w:eastAsia="Times New Roman" w:hAnsi="Times New Roman" w:cs="Times New Roman"/>
          <w:sz w:val="28"/>
          <w:szCs w:val="28"/>
        </w:rPr>
        <w:t xml:space="preserve"> от общия брой на преписките с възложена от прокурор проверки на друг орган.</w:t>
      </w:r>
    </w:p>
    <w:p w14:paraId="1D26D097"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p>
    <w:p w14:paraId="751CE514" w14:textId="77777777" w:rsidR="00E903FC" w:rsidRPr="00E903FC" w:rsidRDefault="00E903FC" w:rsidP="00E903FC">
      <w:pPr>
        <w:spacing w:after="0" w:line="240" w:lineRule="auto"/>
        <w:ind w:firstLine="708"/>
        <w:jc w:val="both"/>
        <w:rPr>
          <w:rFonts w:ascii="Times New Roman" w:eastAsia="Times New Roman" w:hAnsi="Times New Roman" w:cs="Times New Roman"/>
          <w:b/>
          <w:i/>
          <w:sz w:val="28"/>
          <w:szCs w:val="28"/>
          <w:u w:val="single"/>
        </w:rPr>
      </w:pPr>
      <w:r w:rsidRPr="00E903FC">
        <w:rPr>
          <w:rFonts w:ascii="Times New Roman" w:eastAsia="Times New Roman" w:hAnsi="Times New Roman" w:cs="Times New Roman"/>
          <w:b/>
          <w:i/>
          <w:sz w:val="28"/>
          <w:szCs w:val="28"/>
          <w:u w:val="single"/>
        </w:rPr>
        <w:t>Преписки с лични проверки от прокурора.</w:t>
      </w:r>
    </w:p>
    <w:p w14:paraId="708D2141" w14:textId="218BD5A3"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През отчетния период </w:t>
      </w:r>
      <w:r w:rsidR="005978B5">
        <w:rPr>
          <w:rFonts w:ascii="Times New Roman" w:eastAsia="Times New Roman" w:hAnsi="Times New Roman" w:cs="Times New Roman"/>
          <w:sz w:val="28"/>
          <w:szCs w:val="28"/>
        </w:rPr>
        <w:t>е</w:t>
      </w:r>
      <w:r w:rsidRPr="00E903FC">
        <w:rPr>
          <w:rFonts w:ascii="Times New Roman" w:eastAsia="Times New Roman" w:hAnsi="Times New Roman" w:cs="Times New Roman"/>
          <w:sz w:val="28"/>
          <w:szCs w:val="28"/>
        </w:rPr>
        <w:t xml:space="preserve"> извърш</w:t>
      </w:r>
      <w:r w:rsidR="005978B5">
        <w:rPr>
          <w:rFonts w:ascii="Times New Roman" w:eastAsia="Times New Roman" w:hAnsi="Times New Roman" w:cs="Times New Roman"/>
          <w:sz w:val="28"/>
          <w:szCs w:val="28"/>
        </w:rPr>
        <w:t>ена 1 бр. лична</w:t>
      </w:r>
      <w:r w:rsidRPr="00E903FC">
        <w:rPr>
          <w:rFonts w:ascii="Times New Roman" w:eastAsia="Times New Roman" w:hAnsi="Times New Roman" w:cs="Times New Roman"/>
          <w:sz w:val="28"/>
          <w:szCs w:val="28"/>
        </w:rPr>
        <w:t xml:space="preserve"> проверки от прокурор. В сравнение </w:t>
      </w:r>
      <w:r w:rsidR="005978B5">
        <w:rPr>
          <w:rFonts w:ascii="Times New Roman" w:eastAsia="Times New Roman" w:hAnsi="Times New Roman" w:cs="Times New Roman"/>
          <w:sz w:val="28"/>
          <w:szCs w:val="28"/>
        </w:rPr>
        <w:t xml:space="preserve">- </w:t>
      </w:r>
      <w:r w:rsidR="005978B5" w:rsidRPr="005978B5">
        <w:rPr>
          <w:rFonts w:ascii="Times New Roman" w:eastAsia="Times New Roman" w:hAnsi="Times New Roman" w:cs="Times New Roman"/>
          <w:sz w:val="28"/>
          <w:szCs w:val="28"/>
        </w:rPr>
        <w:t>през предходната 202</w:t>
      </w:r>
      <w:r w:rsidR="005978B5" w:rsidRPr="005978B5">
        <w:rPr>
          <w:rFonts w:ascii="Times New Roman" w:eastAsia="Times New Roman" w:hAnsi="Times New Roman" w:cs="Times New Roman"/>
          <w:sz w:val="28"/>
          <w:szCs w:val="28"/>
          <w:lang w:val="en-US"/>
        </w:rPr>
        <w:t>1</w:t>
      </w:r>
      <w:r w:rsidRPr="005978B5">
        <w:rPr>
          <w:rFonts w:ascii="Times New Roman" w:eastAsia="Times New Roman" w:hAnsi="Times New Roman" w:cs="Times New Roman"/>
          <w:sz w:val="28"/>
          <w:szCs w:val="28"/>
        </w:rPr>
        <w:t xml:space="preserve"> г. броя на преписките с </w:t>
      </w:r>
      <w:r w:rsidR="005978B5" w:rsidRPr="005978B5">
        <w:rPr>
          <w:rFonts w:ascii="Times New Roman" w:eastAsia="Times New Roman" w:hAnsi="Times New Roman" w:cs="Times New Roman"/>
          <w:sz w:val="28"/>
          <w:szCs w:val="28"/>
        </w:rPr>
        <w:t>не са извършвани лични проверки от прокурора</w:t>
      </w:r>
      <w:r w:rsidRPr="005978B5">
        <w:rPr>
          <w:rFonts w:ascii="Times New Roman" w:eastAsia="Times New Roman" w:hAnsi="Times New Roman" w:cs="Times New Roman"/>
          <w:sz w:val="28"/>
          <w:szCs w:val="28"/>
        </w:rPr>
        <w:t xml:space="preserve">, </w:t>
      </w:r>
      <w:r w:rsidR="005978B5" w:rsidRPr="005978B5">
        <w:rPr>
          <w:rFonts w:ascii="Times New Roman" w:eastAsia="Times New Roman" w:hAnsi="Times New Roman" w:cs="Times New Roman"/>
          <w:sz w:val="28"/>
          <w:szCs w:val="28"/>
        </w:rPr>
        <w:t xml:space="preserve">а </w:t>
      </w:r>
      <w:r w:rsidRPr="005978B5">
        <w:rPr>
          <w:rFonts w:ascii="Times New Roman" w:eastAsia="Times New Roman" w:hAnsi="Times New Roman" w:cs="Times New Roman"/>
          <w:sz w:val="28"/>
          <w:szCs w:val="28"/>
        </w:rPr>
        <w:t>през 202</w:t>
      </w:r>
      <w:r w:rsidR="005978B5" w:rsidRPr="005978B5">
        <w:rPr>
          <w:rFonts w:ascii="Times New Roman" w:eastAsia="Times New Roman" w:hAnsi="Times New Roman" w:cs="Times New Roman"/>
          <w:sz w:val="28"/>
          <w:szCs w:val="28"/>
        </w:rPr>
        <w:t>0</w:t>
      </w:r>
      <w:r w:rsidRPr="005978B5">
        <w:rPr>
          <w:rFonts w:ascii="Times New Roman" w:eastAsia="Times New Roman" w:hAnsi="Times New Roman" w:cs="Times New Roman"/>
          <w:sz w:val="28"/>
          <w:szCs w:val="28"/>
        </w:rPr>
        <w:t xml:space="preserve"> г. </w:t>
      </w:r>
      <w:r w:rsidR="005978B5" w:rsidRPr="005978B5">
        <w:rPr>
          <w:rFonts w:ascii="Times New Roman" w:eastAsia="Times New Roman" w:hAnsi="Times New Roman" w:cs="Times New Roman"/>
          <w:sz w:val="28"/>
          <w:szCs w:val="28"/>
        </w:rPr>
        <w:t>личните проверки са били 2</w:t>
      </w:r>
      <w:r w:rsidRPr="005978B5">
        <w:rPr>
          <w:rFonts w:ascii="Times New Roman" w:eastAsia="Times New Roman" w:hAnsi="Times New Roman" w:cs="Times New Roman"/>
          <w:sz w:val="28"/>
          <w:szCs w:val="28"/>
        </w:rPr>
        <w:t xml:space="preserve"> бр. </w:t>
      </w:r>
    </w:p>
    <w:p w14:paraId="7141B784"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 </w:t>
      </w:r>
      <w:r w:rsidRPr="00E903FC">
        <w:rPr>
          <w:rFonts w:ascii="Times New Roman" w:eastAsia="Times New Roman" w:hAnsi="Times New Roman" w:cs="Times New Roman"/>
          <w:sz w:val="28"/>
          <w:szCs w:val="28"/>
          <w:u w:val="single"/>
        </w:rPr>
        <w:t>решени с образуване</w:t>
      </w:r>
      <w:r w:rsidRPr="00E903FC">
        <w:rPr>
          <w:rFonts w:ascii="Times New Roman" w:eastAsia="Times New Roman" w:hAnsi="Times New Roman" w:cs="Times New Roman"/>
          <w:sz w:val="28"/>
          <w:szCs w:val="28"/>
        </w:rPr>
        <w:t xml:space="preserve"> на досъдебно производство – няма, същото се отнася и за предходните периоди. </w:t>
      </w:r>
    </w:p>
    <w:p w14:paraId="012A3B5E"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 </w:t>
      </w:r>
      <w:r w:rsidRPr="00E903FC">
        <w:rPr>
          <w:rFonts w:ascii="Times New Roman" w:eastAsia="Times New Roman" w:hAnsi="Times New Roman" w:cs="Times New Roman"/>
          <w:sz w:val="28"/>
          <w:szCs w:val="28"/>
          <w:u w:val="single"/>
        </w:rPr>
        <w:t>решени с отказ</w:t>
      </w:r>
      <w:r w:rsidRPr="00E903FC">
        <w:rPr>
          <w:rFonts w:ascii="Times New Roman" w:eastAsia="Times New Roman" w:hAnsi="Times New Roman" w:cs="Times New Roman"/>
          <w:sz w:val="28"/>
          <w:szCs w:val="28"/>
        </w:rPr>
        <w:t xml:space="preserve"> за образуване на досъдебно производство – 2 бр., за предходните два периода е нямало решени с постановление за отказ преписки. </w:t>
      </w:r>
    </w:p>
    <w:p w14:paraId="4C3434BA"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 </w:t>
      </w:r>
      <w:r w:rsidRPr="00E903FC">
        <w:rPr>
          <w:rFonts w:ascii="Times New Roman" w:eastAsia="Times New Roman" w:hAnsi="Times New Roman" w:cs="Times New Roman"/>
          <w:sz w:val="28"/>
          <w:szCs w:val="28"/>
          <w:u w:val="single"/>
        </w:rPr>
        <w:t>Срочност на приключените лични проверки</w:t>
      </w:r>
      <w:r w:rsidRPr="00E903FC">
        <w:rPr>
          <w:rFonts w:ascii="Times New Roman" w:eastAsia="Times New Roman" w:hAnsi="Times New Roman" w:cs="Times New Roman"/>
          <w:sz w:val="28"/>
          <w:szCs w:val="28"/>
        </w:rPr>
        <w:t>.</w:t>
      </w:r>
    </w:p>
    <w:p w14:paraId="09D7AA87"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През отчетния период двете лични проверки от прокурор са приключени в законовия срок от по чл. 145, ал. 2 от ЗСВ. </w:t>
      </w:r>
    </w:p>
    <w:p w14:paraId="31B5ABA6" w14:textId="77777777" w:rsidR="00E903FC" w:rsidRPr="00E903FC" w:rsidRDefault="00E903FC" w:rsidP="00E903FC">
      <w:pPr>
        <w:spacing w:after="0" w:line="240" w:lineRule="auto"/>
        <w:ind w:firstLine="708"/>
        <w:jc w:val="both"/>
        <w:rPr>
          <w:rFonts w:ascii="Times New Roman" w:eastAsia="Times New Roman" w:hAnsi="Times New Roman" w:cs="Times New Roman"/>
          <w:b/>
          <w:i/>
          <w:sz w:val="28"/>
          <w:szCs w:val="28"/>
          <w:u w:val="single"/>
        </w:rPr>
      </w:pPr>
    </w:p>
    <w:p w14:paraId="2186D866" w14:textId="77777777" w:rsidR="00E903FC" w:rsidRPr="00E903FC" w:rsidRDefault="00E903FC" w:rsidP="00E903FC">
      <w:pPr>
        <w:spacing w:after="0" w:line="240" w:lineRule="auto"/>
        <w:ind w:firstLine="708"/>
        <w:jc w:val="both"/>
        <w:rPr>
          <w:rFonts w:ascii="Times New Roman" w:eastAsia="Times New Roman" w:hAnsi="Times New Roman" w:cs="Times New Roman"/>
          <w:b/>
          <w:i/>
          <w:sz w:val="28"/>
          <w:szCs w:val="28"/>
          <w:u w:val="single"/>
        </w:rPr>
      </w:pPr>
      <w:r w:rsidRPr="00E903FC">
        <w:rPr>
          <w:rFonts w:ascii="Times New Roman" w:eastAsia="Times New Roman" w:hAnsi="Times New Roman" w:cs="Times New Roman"/>
          <w:b/>
          <w:i/>
          <w:sz w:val="28"/>
          <w:szCs w:val="28"/>
          <w:u w:val="single"/>
        </w:rPr>
        <w:t>Преписки с неприключени проверки в края на отчетния период.</w:t>
      </w:r>
    </w:p>
    <w:p w14:paraId="4D287368"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През отчетния период общият брой на преписките с неприключени проверки е 150 броя, при 156 броя за предходната 2021 г. и 178 броя за предходната 2020 г. Налице е намаление спрямо предходните отчетни години на преписките с неприключени проверки към края на годината.</w:t>
      </w:r>
    </w:p>
    <w:p w14:paraId="23E03905"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През отчетния период  150 броя преписки с неприключени проверки са възложени от прокурор на друг орган или 100% от общия брой на преписките с неприключени проверки.</w:t>
      </w:r>
    </w:p>
    <w:p w14:paraId="6BF83F4B"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 </w:t>
      </w:r>
      <w:r w:rsidRPr="00E903FC">
        <w:rPr>
          <w:rFonts w:ascii="Times New Roman" w:eastAsia="Times New Roman" w:hAnsi="Times New Roman" w:cs="Times New Roman"/>
          <w:sz w:val="28"/>
          <w:szCs w:val="28"/>
          <w:u w:val="single"/>
        </w:rPr>
        <w:t>Срочност на неприключените проверки</w:t>
      </w:r>
      <w:r w:rsidRPr="00E903FC">
        <w:rPr>
          <w:rFonts w:ascii="Times New Roman" w:eastAsia="Times New Roman" w:hAnsi="Times New Roman" w:cs="Times New Roman"/>
          <w:sz w:val="28"/>
          <w:szCs w:val="28"/>
        </w:rPr>
        <w:t>.</w:t>
      </w:r>
    </w:p>
    <w:p w14:paraId="2DA10F37" w14:textId="77777777" w:rsidR="00E903FC" w:rsidRPr="00E903FC" w:rsidRDefault="00E903FC" w:rsidP="00E903FC">
      <w:pPr>
        <w:spacing w:after="0" w:line="240" w:lineRule="auto"/>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 </w:t>
      </w:r>
      <w:r w:rsidRPr="00E903FC">
        <w:rPr>
          <w:rFonts w:ascii="Times New Roman" w:eastAsia="Times New Roman" w:hAnsi="Times New Roman" w:cs="Times New Roman"/>
          <w:sz w:val="28"/>
          <w:szCs w:val="28"/>
        </w:rPr>
        <w:tab/>
        <w:t>В края на отчетния период в законовия срок по чл. 145, ал. 2 от ЗСВ са останали 150 броя преписки с неприключени  проверки или 100% са в срок от неприключените преписки.</w:t>
      </w:r>
    </w:p>
    <w:p w14:paraId="16D18B46"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Не са налице  неприключени  проверки извън  законовия срок по чл. 145, ал. 2 от ЗСВ в края на отчетния период. </w:t>
      </w:r>
    </w:p>
    <w:p w14:paraId="7FD8AB2E" w14:textId="77777777" w:rsidR="00E903FC" w:rsidRPr="00E903FC" w:rsidRDefault="00E903FC" w:rsidP="00E903FC">
      <w:pPr>
        <w:shd w:val="clear" w:color="auto" w:fill="FFFFFF"/>
        <w:autoSpaceDE w:val="0"/>
        <w:autoSpaceDN w:val="0"/>
        <w:adjustRightInd w:val="0"/>
        <w:spacing w:after="0" w:line="240" w:lineRule="auto"/>
        <w:ind w:firstLine="720"/>
        <w:jc w:val="both"/>
        <w:rPr>
          <w:rFonts w:ascii="Times New Roman" w:eastAsia="Calibri" w:hAnsi="Times New Roman" w:cs="Times New Roman"/>
          <w:b/>
          <w:sz w:val="28"/>
        </w:rPr>
      </w:pPr>
    </w:p>
    <w:p w14:paraId="362C111A" w14:textId="77777777" w:rsidR="00E903FC" w:rsidRPr="00E903FC" w:rsidRDefault="00E903FC" w:rsidP="00E903FC">
      <w:pPr>
        <w:keepNext/>
        <w:shd w:val="clear" w:color="auto" w:fill="FFFFFF"/>
        <w:autoSpaceDE w:val="0"/>
        <w:autoSpaceDN w:val="0"/>
        <w:adjustRightInd w:val="0"/>
        <w:spacing w:after="0" w:line="240" w:lineRule="auto"/>
        <w:ind w:firstLine="709"/>
        <w:jc w:val="both"/>
        <w:outlineLvl w:val="1"/>
        <w:rPr>
          <w:rFonts w:ascii="Times New Roman" w:eastAsia="Calibri" w:hAnsi="Times New Roman" w:cs="Times New Roman"/>
          <w:b/>
          <w:sz w:val="28"/>
        </w:rPr>
      </w:pPr>
      <w:bookmarkStart w:id="20" w:name="_Toc63940893"/>
      <w:bookmarkStart w:id="21" w:name="_Toc127370243"/>
      <w:r w:rsidRPr="00E903FC">
        <w:rPr>
          <w:rFonts w:ascii="Times New Roman" w:eastAsia="Calibri" w:hAnsi="Times New Roman" w:cs="Arial"/>
          <w:b/>
          <w:iCs/>
          <w:color w:val="000000"/>
          <w:sz w:val="28"/>
          <w:lang w:eastAsia="bg-BG"/>
        </w:rPr>
        <w:lastRenderedPageBreak/>
        <w:t>Инстанционен контрол, осъществяван от Окръжна прокуратура-Монтана. Потвърдени и отменени актове.</w:t>
      </w:r>
      <w:bookmarkEnd w:id="20"/>
      <w:bookmarkEnd w:id="21"/>
    </w:p>
    <w:p w14:paraId="5398E2FE" w14:textId="77777777" w:rsidR="00E903FC" w:rsidRPr="00E903FC" w:rsidRDefault="00E903FC" w:rsidP="00E903FC">
      <w:pPr>
        <w:shd w:val="clear" w:color="auto" w:fill="FFFFFF"/>
        <w:tabs>
          <w:tab w:val="left" w:pos="826"/>
        </w:tabs>
        <w:autoSpaceDE w:val="0"/>
        <w:autoSpaceDN w:val="0"/>
        <w:adjustRightInd w:val="0"/>
        <w:spacing w:after="0" w:line="240" w:lineRule="auto"/>
        <w:jc w:val="both"/>
        <w:rPr>
          <w:rFonts w:ascii="Times New Roman" w:eastAsia="Calibri" w:hAnsi="Times New Roman" w:cs="Times New Roman"/>
          <w:b/>
          <w:i/>
          <w:sz w:val="28"/>
        </w:rPr>
      </w:pP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5"/>
        <w:gridCol w:w="1933"/>
        <w:gridCol w:w="2050"/>
        <w:gridCol w:w="1600"/>
        <w:gridCol w:w="1662"/>
        <w:gridCol w:w="1693"/>
      </w:tblGrid>
      <w:tr w:rsidR="00E903FC" w:rsidRPr="00E903FC" w14:paraId="604E53ED" w14:textId="77777777" w:rsidTr="00E903FC">
        <w:trPr>
          <w:trHeight w:val="802"/>
          <w:jc w:val="center"/>
        </w:trPr>
        <w:tc>
          <w:tcPr>
            <w:tcW w:w="1185" w:type="dxa"/>
            <w:tcBorders>
              <w:top w:val="single" w:sz="4" w:space="0" w:color="auto"/>
              <w:left w:val="single" w:sz="4" w:space="0" w:color="auto"/>
              <w:bottom w:val="single" w:sz="4" w:space="0" w:color="auto"/>
              <w:right w:val="single" w:sz="4" w:space="0" w:color="auto"/>
            </w:tcBorders>
            <w:hideMark/>
          </w:tcPr>
          <w:p w14:paraId="2B490E3B" w14:textId="77777777" w:rsidR="00E903FC" w:rsidRPr="00E903FC" w:rsidRDefault="00E903FC" w:rsidP="00E903FC">
            <w:pPr>
              <w:autoSpaceDE w:val="0"/>
              <w:autoSpaceDN w:val="0"/>
              <w:adjustRightInd w:val="0"/>
              <w:jc w:val="both"/>
              <w:rPr>
                <w:rFonts w:ascii="Times New Roman" w:eastAsia="Calibri" w:hAnsi="Times New Roman" w:cs="Times New Roman"/>
                <w:i/>
                <w:sz w:val="24"/>
                <w:szCs w:val="24"/>
              </w:rPr>
            </w:pPr>
            <w:r w:rsidRPr="00E903FC">
              <w:rPr>
                <w:rFonts w:ascii="Times New Roman" w:eastAsia="Calibri" w:hAnsi="Times New Roman" w:cs="Times New Roman"/>
                <w:i/>
                <w:sz w:val="24"/>
                <w:szCs w:val="24"/>
              </w:rPr>
              <w:t>Година</w:t>
            </w:r>
          </w:p>
        </w:tc>
        <w:tc>
          <w:tcPr>
            <w:tcW w:w="1933" w:type="dxa"/>
            <w:tcBorders>
              <w:top w:val="single" w:sz="4" w:space="0" w:color="auto"/>
              <w:left w:val="single" w:sz="4" w:space="0" w:color="auto"/>
              <w:bottom w:val="single" w:sz="4" w:space="0" w:color="auto"/>
              <w:right w:val="single" w:sz="4" w:space="0" w:color="auto"/>
            </w:tcBorders>
            <w:hideMark/>
          </w:tcPr>
          <w:p w14:paraId="2CB3ACC0" w14:textId="77777777" w:rsidR="00E903FC" w:rsidRPr="00E903FC" w:rsidRDefault="00E903FC" w:rsidP="00E903FC">
            <w:pPr>
              <w:autoSpaceDE w:val="0"/>
              <w:autoSpaceDN w:val="0"/>
              <w:adjustRightInd w:val="0"/>
              <w:jc w:val="both"/>
              <w:rPr>
                <w:rFonts w:ascii="Times New Roman" w:eastAsia="Calibri" w:hAnsi="Times New Roman" w:cs="Times New Roman"/>
                <w:i/>
                <w:sz w:val="24"/>
                <w:szCs w:val="24"/>
              </w:rPr>
            </w:pPr>
            <w:r w:rsidRPr="00E903FC">
              <w:rPr>
                <w:rFonts w:ascii="Times New Roman" w:eastAsia="Calibri" w:hAnsi="Times New Roman" w:cs="Times New Roman"/>
                <w:i/>
                <w:sz w:val="24"/>
                <w:szCs w:val="24"/>
              </w:rPr>
              <w:t>Общо инстанционни преписки</w:t>
            </w:r>
          </w:p>
        </w:tc>
        <w:tc>
          <w:tcPr>
            <w:tcW w:w="2050" w:type="dxa"/>
            <w:tcBorders>
              <w:top w:val="single" w:sz="4" w:space="0" w:color="auto"/>
              <w:left w:val="single" w:sz="4" w:space="0" w:color="auto"/>
              <w:bottom w:val="single" w:sz="4" w:space="0" w:color="auto"/>
              <w:right w:val="single" w:sz="4" w:space="0" w:color="auto"/>
            </w:tcBorders>
            <w:hideMark/>
          </w:tcPr>
          <w:p w14:paraId="03F707E3" w14:textId="77777777" w:rsidR="00E903FC" w:rsidRPr="00E903FC" w:rsidRDefault="00E903FC" w:rsidP="00E903FC">
            <w:pPr>
              <w:autoSpaceDE w:val="0"/>
              <w:autoSpaceDN w:val="0"/>
              <w:adjustRightInd w:val="0"/>
              <w:jc w:val="both"/>
              <w:rPr>
                <w:rFonts w:ascii="Times New Roman" w:eastAsia="Calibri" w:hAnsi="Times New Roman" w:cs="Times New Roman"/>
                <w:i/>
                <w:sz w:val="24"/>
                <w:szCs w:val="24"/>
              </w:rPr>
            </w:pPr>
            <w:r w:rsidRPr="00E903FC">
              <w:rPr>
                <w:rFonts w:ascii="Times New Roman" w:eastAsia="Calibri" w:hAnsi="Times New Roman" w:cs="Times New Roman"/>
                <w:i/>
                <w:sz w:val="24"/>
                <w:szCs w:val="24"/>
              </w:rPr>
              <w:t>Общо актове по инстанционни преписки</w:t>
            </w:r>
          </w:p>
        </w:tc>
        <w:tc>
          <w:tcPr>
            <w:tcW w:w="1600" w:type="dxa"/>
            <w:tcBorders>
              <w:top w:val="single" w:sz="4" w:space="0" w:color="auto"/>
              <w:left w:val="single" w:sz="4" w:space="0" w:color="auto"/>
              <w:bottom w:val="single" w:sz="4" w:space="0" w:color="auto"/>
              <w:right w:val="single" w:sz="4" w:space="0" w:color="auto"/>
            </w:tcBorders>
            <w:hideMark/>
          </w:tcPr>
          <w:p w14:paraId="36F6438A" w14:textId="77777777" w:rsidR="00E903FC" w:rsidRPr="00E903FC" w:rsidRDefault="00E903FC" w:rsidP="00E903FC">
            <w:pPr>
              <w:autoSpaceDE w:val="0"/>
              <w:autoSpaceDN w:val="0"/>
              <w:adjustRightInd w:val="0"/>
              <w:jc w:val="both"/>
              <w:rPr>
                <w:rFonts w:ascii="Times New Roman" w:eastAsia="Calibri" w:hAnsi="Times New Roman" w:cs="Times New Roman"/>
                <w:i/>
                <w:sz w:val="24"/>
                <w:szCs w:val="24"/>
              </w:rPr>
            </w:pPr>
            <w:r w:rsidRPr="00E903FC">
              <w:rPr>
                <w:rFonts w:ascii="Times New Roman" w:eastAsia="Calibri" w:hAnsi="Times New Roman" w:cs="Times New Roman"/>
                <w:i/>
                <w:sz w:val="24"/>
                <w:szCs w:val="24"/>
              </w:rPr>
              <w:t>потвърдени</w:t>
            </w:r>
          </w:p>
        </w:tc>
        <w:tc>
          <w:tcPr>
            <w:tcW w:w="1662" w:type="dxa"/>
            <w:tcBorders>
              <w:top w:val="single" w:sz="4" w:space="0" w:color="auto"/>
              <w:left w:val="single" w:sz="4" w:space="0" w:color="auto"/>
              <w:bottom w:val="single" w:sz="4" w:space="0" w:color="auto"/>
              <w:right w:val="single" w:sz="4" w:space="0" w:color="auto"/>
            </w:tcBorders>
            <w:hideMark/>
          </w:tcPr>
          <w:p w14:paraId="2089E831" w14:textId="77777777" w:rsidR="00E903FC" w:rsidRPr="00E903FC" w:rsidRDefault="00E903FC" w:rsidP="00E903FC">
            <w:pPr>
              <w:autoSpaceDE w:val="0"/>
              <w:autoSpaceDN w:val="0"/>
              <w:adjustRightInd w:val="0"/>
              <w:jc w:val="both"/>
              <w:rPr>
                <w:rFonts w:ascii="Times New Roman" w:eastAsia="Calibri" w:hAnsi="Times New Roman" w:cs="Times New Roman"/>
                <w:i/>
                <w:sz w:val="24"/>
                <w:szCs w:val="24"/>
              </w:rPr>
            </w:pPr>
            <w:r w:rsidRPr="00E903FC">
              <w:rPr>
                <w:rFonts w:ascii="Times New Roman" w:eastAsia="Calibri" w:hAnsi="Times New Roman" w:cs="Times New Roman"/>
                <w:i/>
                <w:sz w:val="24"/>
                <w:szCs w:val="24"/>
              </w:rPr>
              <w:t>отменени</w:t>
            </w:r>
          </w:p>
        </w:tc>
        <w:tc>
          <w:tcPr>
            <w:tcW w:w="1693" w:type="dxa"/>
            <w:tcBorders>
              <w:top w:val="single" w:sz="4" w:space="0" w:color="auto"/>
              <w:left w:val="single" w:sz="4" w:space="0" w:color="auto"/>
              <w:bottom w:val="single" w:sz="4" w:space="0" w:color="auto"/>
              <w:right w:val="single" w:sz="4" w:space="0" w:color="auto"/>
            </w:tcBorders>
            <w:hideMark/>
          </w:tcPr>
          <w:p w14:paraId="659D5838" w14:textId="77777777" w:rsidR="00E903FC" w:rsidRPr="00E903FC" w:rsidRDefault="00E903FC" w:rsidP="00E903FC">
            <w:pPr>
              <w:autoSpaceDE w:val="0"/>
              <w:autoSpaceDN w:val="0"/>
              <w:adjustRightInd w:val="0"/>
              <w:jc w:val="both"/>
              <w:rPr>
                <w:rFonts w:ascii="Times New Roman" w:eastAsia="Calibri" w:hAnsi="Times New Roman" w:cs="Times New Roman"/>
                <w:i/>
                <w:sz w:val="24"/>
                <w:szCs w:val="24"/>
              </w:rPr>
            </w:pPr>
            <w:r w:rsidRPr="00E903FC">
              <w:rPr>
                <w:rFonts w:ascii="Times New Roman" w:eastAsia="Calibri" w:hAnsi="Times New Roman" w:cs="Times New Roman"/>
                <w:i/>
                <w:sz w:val="24"/>
                <w:szCs w:val="24"/>
              </w:rPr>
              <w:t>Потвърдени спрямо всички инстанционни</w:t>
            </w:r>
          </w:p>
        </w:tc>
      </w:tr>
      <w:tr w:rsidR="00E903FC" w:rsidRPr="00E903FC" w14:paraId="68E24AE2" w14:textId="77777777" w:rsidTr="00E903FC">
        <w:trPr>
          <w:jc w:val="center"/>
        </w:trPr>
        <w:tc>
          <w:tcPr>
            <w:tcW w:w="1185" w:type="dxa"/>
            <w:tcBorders>
              <w:top w:val="single" w:sz="4" w:space="0" w:color="auto"/>
              <w:left w:val="single" w:sz="4" w:space="0" w:color="auto"/>
              <w:bottom w:val="single" w:sz="4" w:space="0" w:color="auto"/>
              <w:right w:val="single" w:sz="4" w:space="0" w:color="auto"/>
            </w:tcBorders>
            <w:shd w:val="clear" w:color="auto" w:fill="D9D9D9"/>
            <w:hideMark/>
          </w:tcPr>
          <w:p w14:paraId="37F6A768" w14:textId="77777777" w:rsidR="00E903FC" w:rsidRPr="00E903FC" w:rsidRDefault="00E903FC" w:rsidP="00E903FC">
            <w:pPr>
              <w:autoSpaceDE w:val="0"/>
              <w:autoSpaceDN w:val="0"/>
              <w:adjustRightInd w:val="0"/>
              <w:jc w:val="both"/>
              <w:rPr>
                <w:rFonts w:ascii="Times New Roman" w:eastAsia="Calibri" w:hAnsi="Times New Roman" w:cs="Times New Roman"/>
                <w:b/>
                <w:sz w:val="24"/>
                <w:szCs w:val="24"/>
              </w:rPr>
            </w:pPr>
            <w:r w:rsidRPr="00E903FC">
              <w:rPr>
                <w:rFonts w:ascii="Times New Roman" w:eastAsia="Calibri" w:hAnsi="Times New Roman" w:cs="Times New Roman"/>
                <w:b/>
                <w:sz w:val="24"/>
                <w:szCs w:val="24"/>
              </w:rPr>
              <w:t>2022 г.</w:t>
            </w:r>
          </w:p>
        </w:tc>
        <w:tc>
          <w:tcPr>
            <w:tcW w:w="1933" w:type="dxa"/>
            <w:tcBorders>
              <w:top w:val="single" w:sz="4" w:space="0" w:color="auto"/>
              <w:left w:val="single" w:sz="4" w:space="0" w:color="auto"/>
              <w:bottom w:val="single" w:sz="4" w:space="0" w:color="auto"/>
              <w:right w:val="single" w:sz="4" w:space="0" w:color="auto"/>
            </w:tcBorders>
            <w:shd w:val="clear" w:color="auto" w:fill="D9D9D9"/>
            <w:hideMark/>
          </w:tcPr>
          <w:p w14:paraId="0C81015F" w14:textId="77777777" w:rsidR="00E903FC" w:rsidRPr="00E903FC" w:rsidRDefault="00E903FC" w:rsidP="00E903FC">
            <w:pPr>
              <w:autoSpaceDE w:val="0"/>
              <w:autoSpaceDN w:val="0"/>
              <w:adjustRightInd w:val="0"/>
              <w:jc w:val="both"/>
              <w:rPr>
                <w:rFonts w:ascii="Times New Roman" w:eastAsia="Calibri" w:hAnsi="Times New Roman" w:cs="Times New Roman"/>
                <w:b/>
                <w:sz w:val="24"/>
                <w:szCs w:val="24"/>
              </w:rPr>
            </w:pPr>
            <w:r w:rsidRPr="00E903FC">
              <w:rPr>
                <w:rFonts w:ascii="Times New Roman" w:eastAsia="Calibri" w:hAnsi="Times New Roman" w:cs="Times New Roman"/>
                <w:b/>
                <w:sz w:val="24"/>
                <w:szCs w:val="24"/>
              </w:rPr>
              <w:t>185</w:t>
            </w:r>
          </w:p>
        </w:tc>
        <w:tc>
          <w:tcPr>
            <w:tcW w:w="2050" w:type="dxa"/>
            <w:tcBorders>
              <w:top w:val="single" w:sz="4" w:space="0" w:color="auto"/>
              <w:left w:val="single" w:sz="4" w:space="0" w:color="auto"/>
              <w:bottom w:val="single" w:sz="4" w:space="0" w:color="auto"/>
              <w:right w:val="single" w:sz="4" w:space="0" w:color="auto"/>
            </w:tcBorders>
            <w:shd w:val="clear" w:color="auto" w:fill="D9D9D9"/>
            <w:hideMark/>
          </w:tcPr>
          <w:p w14:paraId="4C1E6304" w14:textId="77777777" w:rsidR="00E903FC" w:rsidRPr="00E903FC" w:rsidRDefault="00E903FC" w:rsidP="00E903FC">
            <w:pPr>
              <w:autoSpaceDE w:val="0"/>
              <w:autoSpaceDN w:val="0"/>
              <w:adjustRightInd w:val="0"/>
              <w:jc w:val="both"/>
              <w:rPr>
                <w:rFonts w:ascii="Times New Roman" w:eastAsia="Calibri" w:hAnsi="Times New Roman" w:cs="Times New Roman"/>
                <w:b/>
                <w:sz w:val="24"/>
                <w:szCs w:val="24"/>
              </w:rPr>
            </w:pPr>
            <w:r w:rsidRPr="00E903FC">
              <w:rPr>
                <w:rFonts w:ascii="Times New Roman" w:eastAsia="Calibri" w:hAnsi="Times New Roman" w:cs="Times New Roman"/>
                <w:b/>
                <w:sz w:val="24"/>
                <w:szCs w:val="24"/>
              </w:rPr>
              <w:t>220</w:t>
            </w:r>
          </w:p>
        </w:tc>
        <w:tc>
          <w:tcPr>
            <w:tcW w:w="1600" w:type="dxa"/>
            <w:tcBorders>
              <w:top w:val="single" w:sz="4" w:space="0" w:color="auto"/>
              <w:left w:val="single" w:sz="4" w:space="0" w:color="auto"/>
              <w:bottom w:val="single" w:sz="4" w:space="0" w:color="auto"/>
              <w:right w:val="single" w:sz="4" w:space="0" w:color="auto"/>
            </w:tcBorders>
            <w:shd w:val="clear" w:color="auto" w:fill="D9D9D9"/>
            <w:hideMark/>
          </w:tcPr>
          <w:p w14:paraId="44C9718F" w14:textId="77777777" w:rsidR="00E903FC" w:rsidRPr="00E903FC" w:rsidRDefault="00E903FC" w:rsidP="00E903FC">
            <w:pPr>
              <w:autoSpaceDE w:val="0"/>
              <w:autoSpaceDN w:val="0"/>
              <w:adjustRightInd w:val="0"/>
              <w:jc w:val="both"/>
              <w:rPr>
                <w:rFonts w:ascii="Times New Roman" w:eastAsia="Calibri" w:hAnsi="Times New Roman" w:cs="Times New Roman"/>
                <w:b/>
                <w:sz w:val="24"/>
                <w:szCs w:val="24"/>
              </w:rPr>
            </w:pPr>
            <w:r w:rsidRPr="00E903FC">
              <w:rPr>
                <w:rFonts w:ascii="Times New Roman" w:eastAsia="Calibri" w:hAnsi="Times New Roman" w:cs="Times New Roman"/>
                <w:b/>
                <w:sz w:val="24"/>
                <w:szCs w:val="24"/>
              </w:rPr>
              <w:t>177</w:t>
            </w:r>
          </w:p>
        </w:tc>
        <w:tc>
          <w:tcPr>
            <w:tcW w:w="1662" w:type="dxa"/>
            <w:tcBorders>
              <w:top w:val="single" w:sz="4" w:space="0" w:color="auto"/>
              <w:left w:val="single" w:sz="4" w:space="0" w:color="auto"/>
              <w:bottom w:val="single" w:sz="4" w:space="0" w:color="auto"/>
              <w:right w:val="single" w:sz="4" w:space="0" w:color="auto"/>
            </w:tcBorders>
            <w:shd w:val="clear" w:color="auto" w:fill="D9D9D9"/>
            <w:hideMark/>
          </w:tcPr>
          <w:p w14:paraId="7F16645F" w14:textId="77777777" w:rsidR="00E903FC" w:rsidRPr="00E903FC" w:rsidRDefault="00E903FC" w:rsidP="00E903FC">
            <w:pPr>
              <w:autoSpaceDE w:val="0"/>
              <w:autoSpaceDN w:val="0"/>
              <w:adjustRightInd w:val="0"/>
              <w:jc w:val="both"/>
              <w:rPr>
                <w:rFonts w:ascii="Times New Roman" w:eastAsia="Calibri" w:hAnsi="Times New Roman" w:cs="Times New Roman"/>
                <w:b/>
                <w:sz w:val="24"/>
                <w:szCs w:val="24"/>
              </w:rPr>
            </w:pPr>
            <w:r w:rsidRPr="00E903FC">
              <w:rPr>
                <w:rFonts w:ascii="Times New Roman" w:eastAsia="Calibri" w:hAnsi="Times New Roman" w:cs="Times New Roman"/>
                <w:b/>
                <w:sz w:val="24"/>
                <w:szCs w:val="24"/>
              </w:rPr>
              <w:t>43</w:t>
            </w:r>
          </w:p>
        </w:tc>
        <w:tc>
          <w:tcPr>
            <w:tcW w:w="1693" w:type="dxa"/>
            <w:tcBorders>
              <w:top w:val="single" w:sz="4" w:space="0" w:color="auto"/>
              <w:left w:val="single" w:sz="4" w:space="0" w:color="auto"/>
              <w:bottom w:val="single" w:sz="4" w:space="0" w:color="auto"/>
              <w:right w:val="single" w:sz="4" w:space="0" w:color="auto"/>
            </w:tcBorders>
            <w:shd w:val="clear" w:color="auto" w:fill="D9D9D9"/>
            <w:hideMark/>
          </w:tcPr>
          <w:p w14:paraId="19158028"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95.7%</w:t>
            </w:r>
          </w:p>
        </w:tc>
      </w:tr>
      <w:tr w:rsidR="00E903FC" w:rsidRPr="00E903FC" w14:paraId="6D41281D" w14:textId="77777777" w:rsidTr="00E903FC">
        <w:trPr>
          <w:jc w:val="center"/>
        </w:trPr>
        <w:tc>
          <w:tcPr>
            <w:tcW w:w="1185" w:type="dxa"/>
            <w:tcBorders>
              <w:top w:val="single" w:sz="4" w:space="0" w:color="auto"/>
              <w:left w:val="single" w:sz="4" w:space="0" w:color="auto"/>
              <w:bottom w:val="single" w:sz="4" w:space="0" w:color="auto"/>
              <w:right w:val="single" w:sz="4" w:space="0" w:color="auto"/>
            </w:tcBorders>
            <w:hideMark/>
          </w:tcPr>
          <w:p w14:paraId="4C5F9D76"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2021 г.</w:t>
            </w:r>
          </w:p>
        </w:tc>
        <w:tc>
          <w:tcPr>
            <w:tcW w:w="1933" w:type="dxa"/>
            <w:tcBorders>
              <w:top w:val="single" w:sz="4" w:space="0" w:color="auto"/>
              <w:left w:val="single" w:sz="4" w:space="0" w:color="auto"/>
              <w:bottom w:val="single" w:sz="4" w:space="0" w:color="auto"/>
              <w:right w:val="single" w:sz="4" w:space="0" w:color="auto"/>
            </w:tcBorders>
            <w:hideMark/>
          </w:tcPr>
          <w:p w14:paraId="0B289E26"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283</w:t>
            </w:r>
          </w:p>
        </w:tc>
        <w:tc>
          <w:tcPr>
            <w:tcW w:w="2050" w:type="dxa"/>
            <w:tcBorders>
              <w:top w:val="single" w:sz="4" w:space="0" w:color="auto"/>
              <w:left w:val="single" w:sz="4" w:space="0" w:color="auto"/>
              <w:bottom w:val="single" w:sz="4" w:space="0" w:color="auto"/>
              <w:right w:val="single" w:sz="4" w:space="0" w:color="auto"/>
            </w:tcBorders>
            <w:hideMark/>
          </w:tcPr>
          <w:p w14:paraId="3047C8F5"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304</w:t>
            </w:r>
          </w:p>
        </w:tc>
        <w:tc>
          <w:tcPr>
            <w:tcW w:w="1600" w:type="dxa"/>
            <w:tcBorders>
              <w:top w:val="single" w:sz="4" w:space="0" w:color="auto"/>
              <w:left w:val="single" w:sz="4" w:space="0" w:color="auto"/>
              <w:bottom w:val="single" w:sz="4" w:space="0" w:color="auto"/>
              <w:right w:val="single" w:sz="4" w:space="0" w:color="auto"/>
            </w:tcBorders>
            <w:hideMark/>
          </w:tcPr>
          <w:p w14:paraId="4CF53ED6"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261</w:t>
            </w:r>
          </w:p>
        </w:tc>
        <w:tc>
          <w:tcPr>
            <w:tcW w:w="1662" w:type="dxa"/>
            <w:tcBorders>
              <w:top w:val="single" w:sz="4" w:space="0" w:color="auto"/>
              <w:left w:val="single" w:sz="4" w:space="0" w:color="auto"/>
              <w:bottom w:val="single" w:sz="4" w:space="0" w:color="auto"/>
              <w:right w:val="single" w:sz="4" w:space="0" w:color="auto"/>
            </w:tcBorders>
            <w:hideMark/>
          </w:tcPr>
          <w:p w14:paraId="77787DCB"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43</w:t>
            </w:r>
          </w:p>
        </w:tc>
        <w:tc>
          <w:tcPr>
            <w:tcW w:w="1693" w:type="dxa"/>
            <w:tcBorders>
              <w:top w:val="single" w:sz="4" w:space="0" w:color="auto"/>
              <w:left w:val="single" w:sz="4" w:space="0" w:color="auto"/>
              <w:bottom w:val="single" w:sz="4" w:space="0" w:color="auto"/>
              <w:right w:val="single" w:sz="4" w:space="0" w:color="auto"/>
            </w:tcBorders>
            <w:hideMark/>
          </w:tcPr>
          <w:p w14:paraId="647EBDB8"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92,2%</w:t>
            </w:r>
          </w:p>
        </w:tc>
      </w:tr>
      <w:tr w:rsidR="00E903FC" w:rsidRPr="00E903FC" w14:paraId="6C28F836" w14:textId="77777777" w:rsidTr="00E903FC">
        <w:trPr>
          <w:jc w:val="center"/>
        </w:trPr>
        <w:tc>
          <w:tcPr>
            <w:tcW w:w="1185" w:type="dxa"/>
            <w:tcBorders>
              <w:top w:val="single" w:sz="4" w:space="0" w:color="auto"/>
              <w:left w:val="single" w:sz="4" w:space="0" w:color="auto"/>
              <w:bottom w:val="single" w:sz="4" w:space="0" w:color="auto"/>
              <w:right w:val="single" w:sz="4" w:space="0" w:color="auto"/>
            </w:tcBorders>
            <w:hideMark/>
          </w:tcPr>
          <w:p w14:paraId="77ACCC6E"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2020 г.</w:t>
            </w:r>
          </w:p>
        </w:tc>
        <w:tc>
          <w:tcPr>
            <w:tcW w:w="1933" w:type="dxa"/>
            <w:tcBorders>
              <w:top w:val="single" w:sz="4" w:space="0" w:color="auto"/>
              <w:left w:val="single" w:sz="4" w:space="0" w:color="auto"/>
              <w:bottom w:val="single" w:sz="4" w:space="0" w:color="auto"/>
              <w:right w:val="single" w:sz="4" w:space="0" w:color="auto"/>
            </w:tcBorders>
            <w:hideMark/>
          </w:tcPr>
          <w:p w14:paraId="3B2B8761"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167</w:t>
            </w:r>
          </w:p>
        </w:tc>
        <w:tc>
          <w:tcPr>
            <w:tcW w:w="2050" w:type="dxa"/>
            <w:tcBorders>
              <w:top w:val="single" w:sz="4" w:space="0" w:color="auto"/>
              <w:left w:val="single" w:sz="4" w:space="0" w:color="auto"/>
              <w:bottom w:val="single" w:sz="4" w:space="0" w:color="auto"/>
              <w:right w:val="single" w:sz="4" w:space="0" w:color="auto"/>
            </w:tcBorders>
            <w:hideMark/>
          </w:tcPr>
          <w:p w14:paraId="0FF571FA"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222</w:t>
            </w:r>
          </w:p>
        </w:tc>
        <w:tc>
          <w:tcPr>
            <w:tcW w:w="1600" w:type="dxa"/>
            <w:tcBorders>
              <w:top w:val="single" w:sz="4" w:space="0" w:color="auto"/>
              <w:left w:val="single" w:sz="4" w:space="0" w:color="auto"/>
              <w:bottom w:val="single" w:sz="4" w:space="0" w:color="auto"/>
              <w:right w:val="single" w:sz="4" w:space="0" w:color="auto"/>
            </w:tcBorders>
            <w:hideMark/>
          </w:tcPr>
          <w:p w14:paraId="56224036"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189</w:t>
            </w:r>
          </w:p>
        </w:tc>
        <w:tc>
          <w:tcPr>
            <w:tcW w:w="1662" w:type="dxa"/>
            <w:tcBorders>
              <w:top w:val="single" w:sz="4" w:space="0" w:color="auto"/>
              <w:left w:val="single" w:sz="4" w:space="0" w:color="auto"/>
              <w:bottom w:val="single" w:sz="4" w:space="0" w:color="auto"/>
              <w:right w:val="single" w:sz="4" w:space="0" w:color="auto"/>
            </w:tcBorders>
            <w:hideMark/>
          </w:tcPr>
          <w:p w14:paraId="7B0640E3"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33</w:t>
            </w:r>
          </w:p>
        </w:tc>
        <w:tc>
          <w:tcPr>
            <w:tcW w:w="1693" w:type="dxa"/>
            <w:tcBorders>
              <w:top w:val="single" w:sz="4" w:space="0" w:color="auto"/>
              <w:left w:val="single" w:sz="4" w:space="0" w:color="auto"/>
              <w:bottom w:val="single" w:sz="4" w:space="0" w:color="auto"/>
              <w:right w:val="single" w:sz="4" w:space="0" w:color="auto"/>
            </w:tcBorders>
            <w:hideMark/>
          </w:tcPr>
          <w:p w14:paraId="39F44C89"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85,1%</w:t>
            </w:r>
          </w:p>
        </w:tc>
      </w:tr>
    </w:tbl>
    <w:p w14:paraId="7AC724A7"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През отчетния период на 2022 г.  са решени от прокурорите в ОП – Монтана общо 185 преписки по инстанционния контрол  (283 броя за 2021 г. и 167 броя  за 2020 г.</w:t>
      </w:r>
      <w:r w:rsidRPr="00E903FC">
        <w:rPr>
          <w:rFonts w:ascii="Times New Roman" w:eastAsia="Times New Roman" w:hAnsi="Times New Roman" w:cs="Times New Roman"/>
          <w:sz w:val="24"/>
          <w:szCs w:val="24"/>
        </w:rPr>
        <w:t>).</w:t>
      </w:r>
      <w:r w:rsidRPr="00E903FC">
        <w:rPr>
          <w:rFonts w:ascii="Times New Roman" w:eastAsia="Times New Roman" w:hAnsi="Times New Roman" w:cs="Times New Roman"/>
          <w:sz w:val="28"/>
          <w:szCs w:val="28"/>
        </w:rPr>
        <w:t xml:space="preserve"> Инстанционните преписки са 3,3% от общо наблюдаваните в региона. За сравнение – през 2021 г. те са 4,8%, а през  2020 г. инстанционните преписки са 3% от общо наблюдаваните в региона.</w:t>
      </w:r>
    </w:p>
    <w:p w14:paraId="44D61061"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Налице е тенденция за намаляване броя на инстанционните преписки спрямо предходната 2021 г. и увеличение спрямо 2020 г. като брой решени преписки, а в процентно съотношение е налице увеличение спрямо предходните отчетни периоди.</w:t>
      </w:r>
    </w:p>
    <w:p w14:paraId="633F40DD"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  При инстанционния контрол, осъществяван от ОП-Монтана, са потвърдени 177 акта на районните прокуратури, което е </w:t>
      </w:r>
      <w:r w:rsidRPr="00E903FC">
        <w:rPr>
          <w:rFonts w:ascii="Times New Roman" w:eastAsia="Times New Roman" w:hAnsi="Times New Roman" w:cs="Times New Roman"/>
          <w:sz w:val="28"/>
          <w:szCs w:val="28"/>
          <w:lang w:val="en-US"/>
        </w:rPr>
        <w:t>8</w:t>
      </w:r>
      <w:r w:rsidRPr="00E903FC">
        <w:rPr>
          <w:rFonts w:ascii="Times New Roman" w:eastAsia="Times New Roman" w:hAnsi="Times New Roman" w:cs="Times New Roman"/>
          <w:sz w:val="28"/>
          <w:szCs w:val="28"/>
        </w:rPr>
        <w:t xml:space="preserve">0.5% от общия брой актове по инстанционни преписки. За сравнение –  през 2021 г.  потвърдените актове са </w:t>
      </w:r>
      <w:r w:rsidRPr="00E903FC">
        <w:rPr>
          <w:rFonts w:ascii="Times New Roman" w:eastAsia="Times New Roman" w:hAnsi="Times New Roman" w:cs="Times New Roman"/>
          <w:sz w:val="28"/>
          <w:szCs w:val="28"/>
          <w:lang w:val="en-US"/>
        </w:rPr>
        <w:t>8</w:t>
      </w:r>
      <w:r w:rsidRPr="00E903FC">
        <w:rPr>
          <w:rFonts w:ascii="Times New Roman" w:eastAsia="Times New Roman" w:hAnsi="Times New Roman" w:cs="Times New Roman"/>
          <w:sz w:val="28"/>
          <w:szCs w:val="28"/>
        </w:rPr>
        <w:t>5.9%, а през 2020 г. потвърдените актове са били 85.1%.</w:t>
      </w:r>
    </w:p>
    <w:p w14:paraId="0CA84025" w14:textId="67B74504" w:rsidR="00E903FC" w:rsidRPr="00E903FC" w:rsidRDefault="00E903FC" w:rsidP="00E903FC">
      <w:pPr>
        <w:spacing w:after="0" w:line="240" w:lineRule="auto"/>
        <w:ind w:firstLine="709"/>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При инстанционния контрол, осъществяван от ОП-Монтана, са </w:t>
      </w:r>
      <w:r w:rsidR="00C06731">
        <w:rPr>
          <w:rFonts w:ascii="Times New Roman" w:eastAsia="Times New Roman" w:hAnsi="Times New Roman" w:cs="Times New Roman"/>
          <w:sz w:val="28"/>
          <w:szCs w:val="28"/>
        </w:rPr>
        <w:t>отменени 43 броя акта на районна</w:t>
      </w:r>
      <w:r w:rsidRPr="00E903FC">
        <w:rPr>
          <w:rFonts w:ascii="Times New Roman" w:eastAsia="Times New Roman" w:hAnsi="Times New Roman" w:cs="Times New Roman"/>
          <w:sz w:val="28"/>
          <w:szCs w:val="28"/>
        </w:rPr>
        <w:t>т</w:t>
      </w:r>
      <w:r w:rsidR="00C06731">
        <w:rPr>
          <w:rFonts w:ascii="Times New Roman" w:eastAsia="Times New Roman" w:hAnsi="Times New Roman" w:cs="Times New Roman"/>
          <w:sz w:val="28"/>
          <w:szCs w:val="28"/>
        </w:rPr>
        <w:t>а</w:t>
      </w:r>
      <w:r w:rsidRPr="00E903FC">
        <w:rPr>
          <w:rFonts w:ascii="Times New Roman" w:eastAsia="Times New Roman" w:hAnsi="Times New Roman" w:cs="Times New Roman"/>
          <w:sz w:val="28"/>
          <w:szCs w:val="28"/>
        </w:rPr>
        <w:t xml:space="preserve"> прокуратура, което съставлява 19,5%  от общия брой на решените актове. За сравнение – през 2021 г. отменените актове са 43 броя, а през 2020 г. отменените актове са 33. В процентно съотношение се наблюдава устойчивост на дейността на районната прокуратура, което намира отражение в процентното съотношение на потвърдените актове и намаляване на броя на отменените.</w:t>
      </w:r>
    </w:p>
    <w:p w14:paraId="2DB18776" w14:textId="77777777" w:rsidR="00E903FC" w:rsidRPr="00E903FC" w:rsidRDefault="00E903FC" w:rsidP="00E903FC">
      <w:pPr>
        <w:spacing w:after="0" w:line="240" w:lineRule="auto"/>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 </w:t>
      </w:r>
      <w:r w:rsidRPr="00E903FC">
        <w:rPr>
          <w:rFonts w:ascii="Times New Roman" w:eastAsia="Times New Roman" w:hAnsi="Times New Roman" w:cs="Times New Roman"/>
          <w:sz w:val="28"/>
          <w:szCs w:val="28"/>
        </w:rPr>
        <w:tab/>
        <w:t>През отчетния период са отменени 30 броя постановления за отказ да се образува досъдебно производство или 69.7% от всички отменени за отчетния период. За сравнение – през 2021 г. отменените актове са 29 броя, а през 2020 г. - 20.</w:t>
      </w:r>
    </w:p>
    <w:p w14:paraId="0EA6804E"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През отчетния период са потвърдени 78 броя постановления за отказ да се образува досъдебно производство или 44.1% спрямо потвърдените за отчетния период. За сравнение – през 2021 г. потвърдените актове са 125 броя, а през 2020 г. - 94 броя.</w:t>
      </w:r>
    </w:p>
    <w:p w14:paraId="2494D9EC"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Запазва се високият брой на потвърдени актове спрямо отменените актове на РП - Монтана от ОП-Монтана по инстанционните преписки (потвърдените постановления на районните прокуратури са 80,5% от общия брой актове по инстанционните преписки.</w:t>
      </w:r>
      <w:r w:rsidRPr="00E903FC">
        <w:rPr>
          <w:rFonts w:ascii="Times New Roman" w:eastAsia="Times New Roman" w:hAnsi="Times New Roman" w:cs="Times New Roman"/>
          <w:sz w:val="28"/>
          <w:szCs w:val="28"/>
          <w:lang w:val="en-US"/>
        </w:rPr>
        <w:t>)</w:t>
      </w:r>
      <w:r w:rsidRPr="00E903FC">
        <w:rPr>
          <w:rFonts w:ascii="Times New Roman" w:eastAsia="Times New Roman" w:hAnsi="Times New Roman" w:cs="Times New Roman"/>
          <w:sz w:val="28"/>
          <w:szCs w:val="28"/>
        </w:rPr>
        <w:t xml:space="preserve"> В сравнение  с предходните години  - 2021 г. са 85,8%, а  през 2020 г. - 85,1%, се забелязва устойчивост в дейността на районната прокуратура. Изводът от така представените съотношения е, че е подобрена правната преценка и обосноваването на актовете на районните </w:t>
      </w:r>
      <w:r w:rsidRPr="00E903FC">
        <w:rPr>
          <w:rFonts w:ascii="Times New Roman" w:eastAsia="Times New Roman" w:hAnsi="Times New Roman" w:cs="Times New Roman"/>
          <w:sz w:val="28"/>
          <w:szCs w:val="28"/>
        </w:rPr>
        <w:lastRenderedPageBreak/>
        <w:t xml:space="preserve">прокуратури, както и качеството на работата на органите, извършващи  предварителните проверки. </w:t>
      </w:r>
    </w:p>
    <w:p w14:paraId="7D79054D" w14:textId="77777777" w:rsidR="00E903FC" w:rsidRPr="00E903FC" w:rsidRDefault="00E903FC" w:rsidP="00E903FC">
      <w:pPr>
        <w:shd w:val="clear" w:color="auto" w:fill="FFFFFF"/>
        <w:tabs>
          <w:tab w:val="left" w:pos="826"/>
        </w:tabs>
        <w:autoSpaceDE w:val="0"/>
        <w:autoSpaceDN w:val="0"/>
        <w:adjustRightInd w:val="0"/>
        <w:spacing w:after="0" w:line="240" w:lineRule="auto"/>
        <w:jc w:val="both"/>
        <w:rPr>
          <w:rFonts w:ascii="Times New Roman" w:eastAsia="Calibri" w:hAnsi="Times New Roman" w:cs="Times New Roman"/>
          <w:sz w:val="28"/>
        </w:rPr>
      </w:pPr>
      <w:r w:rsidRPr="00E903FC">
        <w:rPr>
          <w:rFonts w:ascii="Times New Roman" w:eastAsia="Calibri" w:hAnsi="Times New Roman" w:cs="Times New Roman"/>
          <w:sz w:val="28"/>
        </w:rPr>
        <w:tab/>
        <w:t xml:space="preserve">Следва да се отбележи, че не малка част от преписките, приключващи с отказ да се образува досъдебно производство, касаят частно-правни спорове, чието решаване е извън правомощията на прокуратурата и влизат в компетентността на определени държавни контролни органи или съответния съд. </w:t>
      </w:r>
    </w:p>
    <w:p w14:paraId="26CD619F" w14:textId="77777777" w:rsidR="00E903FC" w:rsidRPr="00E903FC" w:rsidRDefault="00E903FC" w:rsidP="00E903FC">
      <w:pPr>
        <w:spacing w:after="0" w:line="240" w:lineRule="auto"/>
        <w:ind w:firstLine="708"/>
        <w:jc w:val="both"/>
        <w:rPr>
          <w:rFonts w:ascii="Times New Roman" w:eastAsia="Times New Roman" w:hAnsi="Times New Roman" w:cs="Times New Roman"/>
          <w:b/>
          <w:i/>
          <w:sz w:val="28"/>
          <w:szCs w:val="28"/>
          <w:u w:val="single"/>
        </w:rPr>
      </w:pPr>
      <w:r w:rsidRPr="00E903FC">
        <w:rPr>
          <w:rFonts w:ascii="Times New Roman" w:eastAsia="Times New Roman" w:hAnsi="Times New Roman" w:cs="Times New Roman"/>
          <w:b/>
          <w:i/>
          <w:sz w:val="28"/>
          <w:szCs w:val="28"/>
          <w:u w:val="single"/>
        </w:rPr>
        <w:t>Срочност на произнасяне/решаване на преписките от прокурора.</w:t>
      </w:r>
    </w:p>
    <w:p w14:paraId="3026D3F9"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 През отчетната 2022 г. до един месец са решени общо 5 161 броя преписки (при 5 659 броя преписки  за 2021 г.  и при 5 296 броя преписки за 2020 г.). Решени са 92,6% от общо наблюдаваните преписки. </w:t>
      </w:r>
    </w:p>
    <w:p w14:paraId="5C9ECEAC"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 През 2022 г. над един месец са решени 14 броя преписки /за 2021 г. 16 бр. преписки, а за 2020 г. 10 бр. преписки), които са 0,2% от общо наблюдаваните преписки. </w:t>
      </w:r>
    </w:p>
    <w:p w14:paraId="536B86CF"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През 2022 г. до един месец са решени общо 1180 броя преписки, по които е извършена проверка, които са 21.1% от всички наблюдавани преписки. За сравнение през 2021 г. до един месец са решени 1 281 броя преписки, а за 2020 г. до един месец са решени общо 1 401 броя преписки. По този показател се наблюдава намаление на показателите в дейността на прокуратурите в региона.</w:t>
      </w:r>
    </w:p>
    <w:p w14:paraId="5F1F835F"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Наблюдава се тенденция към устойчивост в работата на прокурорите относно срочността при решаването на преписки, по които е извършена проверка.</w:t>
      </w:r>
    </w:p>
    <w:p w14:paraId="56FFBAFD"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В края на отчетния период общият брой на нерешените преписки е 397 броя преписки, от които при прокурор за решаване се намират 255 броя преписки (7.1% от общо наблюдаваните), всички в законовия едномесечен срок.</w:t>
      </w:r>
    </w:p>
    <w:p w14:paraId="2BB54FD5"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За сравнение -  през 2021 г. в края на периода са останали нерешени 228 броя преписки, а през 2020 г. в края на отчетния период са останали нерешени 259 броя преписки, в законов срок за решаване. </w:t>
      </w:r>
    </w:p>
    <w:p w14:paraId="65C462A3"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Отчита се тенденция за увеличение на нерешените преписки спрямо предходните 2021 г. и 2020 г., намиращи се при прокурор за решаване в края на отчетния период. </w:t>
      </w:r>
    </w:p>
    <w:p w14:paraId="3A08F343" w14:textId="77777777" w:rsidR="00E903FC" w:rsidRPr="00E903FC" w:rsidRDefault="00E903FC" w:rsidP="00E903FC">
      <w:pPr>
        <w:spacing w:after="0" w:line="240" w:lineRule="auto"/>
        <w:ind w:firstLine="708"/>
        <w:jc w:val="both"/>
        <w:rPr>
          <w:rFonts w:ascii="Times New Roman" w:eastAsia="Calibri" w:hAnsi="Times New Roman" w:cs="Times New Roman"/>
          <w:sz w:val="28"/>
          <w:szCs w:val="28"/>
        </w:rPr>
      </w:pPr>
      <w:r w:rsidRPr="00E903FC">
        <w:rPr>
          <w:rFonts w:ascii="Times New Roman" w:eastAsia="Times New Roman" w:hAnsi="Times New Roman" w:cs="Times New Roman"/>
          <w:sz w:val="28"/>
          <w:szCs w:val="28"/>
          <w:u w:val="single"/>
        </w:rPr>
        <w:t>Констатирани проблеми</w:t>
      </w:r>
      <w:r w:rsidRPr="00E903FC">
        <w:rPr>
          <w:rFonts w:ascii="Times New Roman" w:eastAsia="Times New Roman" w:hAnsi="Times New Roman" w:cs="Times New Roman"/>
          <w:sz w:val="28"/>
          <w:szCs w:val="28"/>
        </w:rPr>
        <w:t xml:space="preserve">: </w:t>
      </w:r>
      <w:r w:rsidRPr="00E903FC">
        <w:rPr>
          <w:rFonts w:ascii="Times New Roman" w:eastAsia="Times New Roman" w:hAnsi="Times New Roman" w:cs="Times New Roman"/>
          <w:color w:val="000000"/>
          <w:sz w:val="28"/>
          <w:szCs w:val="28"/>
          <w:lang w:eastAsia="bg-BG"/>
        </w:rPr>
        <w:t>Конкретните причини за неспазването на едномесечния срок за произнасяне на наблюдаващия прокурор е голям брой разпределени преписки и досъдебни производства, включително и такива с голяма правна и фактическа сложност и необходимост от спешното им решаване. Един от наблюдаващите прокурор е ползвал болничен за гледане на близък, след което по същата причина се налага ползването на платен годишен отпуск. На друг наблюдаващ прокурор след проверка е образувано дисциплинарно производство и е наложено дисциплинарно наказание „Забележка“.</w:t>
      </w:r>
    </w:p>
    <w:p w14:paraId="04692856"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lang w:eastAsia="bg-BG"/>
        </w:rPr>
      </w:pPr>
      <w:r w:rsidRPr="00E903FC">
        <w:rPr>
          <w:rFonts w:ascii="Times New Roman" w:eastAsia="Times New Roman" w:hAnsi="Times New Roman" w:cs="Times New Roman"/>
          <w:sz w:val="28"/>
          <w:szCs w:val="28"/>
          <w:lang w:eastAsia="bg-BG"/>
        </w:rPr>
        <w:t xml:space="preserve"> Забавянето на проверките по преписките по описа на РП – Монтана от една страна се дължи на поведението на извършващите проверката служители на МВР, а от друга – поради неоткриване на лицата, подали сигнала и снемане на обяснения от същите.  </w:t>
      </w:r>
    </w:p>
    <w:p w14:paraId="513D1A4C" w14:textId="77777777" w:rsidR="00E903FC" w:rsidRPr="00E903FC" w:rsidRDefault="00E903FC" w:rsidP="00E903FC">
      <w:pPr>
        <w:spacing w:after="0" w:line="240" w:lineRule="auto"/>
        <w:ind w:firstLine="709"/>
        <w:jc w:val="both"/>
        <w:rPr>
          <w:rFonts w:ascii="Times New Roman" w:eastAsia="Times New Roman" w:hAnsi="Times New Roman" w:cs="Times New Roman"/>
          <w:sz w:val="28"/>
          <w:szCs w:val="28"/>
          <w:lang w:val="en-US"/>
        </w:rPr>
      </w:pPr>
      <w:r w:rsidRPr="00E903FC">
        <w:rPr>
          <w:rFonts w:ascii="Times New Roman" w:eastAsia="Times New Roman" w:hAnsi="Times New Roman" w:cs="Times New Roman"/>
          <w:sz w:val="28"/>
          <w:szCs w:val="28"/>
        </w:rPr>
        <w:lastRenderedPageBreak/>
        <w:t>Мерки:</w:t>
      </w:r>
      <w:r w:rsidRPr="00E903FC">
        <w:rPr>
          <w:rFonts w:ascii="Times New Roman" w:eastAsia="Times New Roman" w:hAnsi="Times New Roman" w:cs="Times New Roman"/>
          <w:i/>
          <w:sz w:val="28"/>
          <w:szCs w:val="28"/>
        </w:rPr>
        <w:t xml:space="preserve"> </w:t>
      </w:r>
      <w:r w:rsidRPr="00E903FC">
        <w:rPr>
          <w:rFonts w:ascii="Times New Roman" w:eastAsia="Times New Roman" w:hAnsi="Times New Roman" w:cs="Times New Roman"/>
          <w:sz w:val="28"/>
          <w:szCs w:val="28"/>
        </w:rPr>
        <w:t xml:space="preserve">Въпреки значителното подобрение в работата на прокурорите по преписките с възложена проверка за ефективното изпълнение на Заповед № РД-02-30/01.11.2016 г. на главния прокурор на Р. България, със заповеди на окръжния прокурор и административния ръководител на РП - Монтана е създадена организация за ежеседмично докладване от страна на изрично определен със заповед деловодител на наблюдателните материали на съответните прокурори по възложени от тях проверки с цел по-добър контрол върху дейността на проверяващите органи и своевременно изискване. </w:t>
      </w:r>
    </w:p>
    <w:p w14:paraId="3026B226" w14:textId="77777777" w:rsidR="00E903FC" w:rsidRPr="00E903FC" w:rsidRDefault="00E903FC" w:rsidP="00E903FC">
      <w:pPr>
        <w:spacing w:after="0" w:line="240" w:lineRule="auto"/>
        <w:ind w:firstLine="709"/>
        <w:jc w:val="both"/>
        <w:rPr>
          <w:rFonts w:ascii="Times New Roman" w:eastAsia="Times New Roman" w:hAnsi="Times New Roman" w:cs="Times New Roman"/>
          <w:b/>
          <w:sz w:val="28"/>
          <w:szCs w:val="28"/>
        </w:rPr>
      </w:pPr>
    </w:p>
    <w:p w14:paraId="578D1BCB" w14:textId="77777777" w:rsidR="00E903FC" w:rsidRPr="00E903FC" w:rsidRDefault="00E903FC" w:rsidP="00E903FC">
      <w:pPr>
        <w:keepNext/>
        <w:shd w:val="clear" w:color="auto" w:fill="FFFFFF"/>
        <w:autoSpaceDE w:val="0"/>
        <w:autoSpaceDN w:val="0"/>
        <w:adjustRightInd w:val="0"/>
        <w:spacing w:after="0" w:line="240" w:lineRule="auto"/>
        <w:ind w:firstLine="709"/>
        <w:jc w:val="both"/>
        <w:outlineLvl w:val="1"/>
        <w:rPr>
          <w:rFonts w:ascii="Times New Roman" w:eastAsia="Calibri" w:hAnsi="Times New Roman" w:cs="Arial"/>
          <w:b/>
          <w:iCs/>
          <w:color w:val="000000"/>
          <w:sz w:val="28"/>
          <w:lang w:eastAsia="bg-BG"/>
        </w:rPr>
      </w:pPr>
      <w:bookmarkStart w:id="22" w:name="_Toc63940894"/>
      <w:bookmarkStart w:id="23" w:name="_Toc127370244"/>
      <w:r w:rsidRPr="00E903FC">
        <w:rPr>
          <w:rFonts w:ascii="Times New Roman" w:eastAsia="Calibri" w:hAnsi="Times New Roman" w:cs="Arial"/>
          <w:b/>
          <w:iCs/>
          <w:color w:val="000000"/>
          <w:sz w:val="28"/>
          <w:lang w:eastAsia="bg-BG"/>
        </w:rPr>
        <w:t>Преписки и наказателни производства, образувани след самосезиране и по сигнали на контролните органи и материали от ДАНС.</w:t>
      </w:r>
      <w:bookmarkEnd w:id="22"/>
      <w:bookmarkEnd w:id="23"/>
    </w:p>
    <w:p w14:paraId="5B70193B" w14:textId="0145A5D3" w:rsidR="00E903FC" w:rsidRPr="00E903FC" w:rsidRDefault="00E903FC" w:rsidP="00E903FC">
      <w:pPr>
        <w:spacing w:after="0" w:line="240" w:lineRule="auto"/>
        <w:ind w:firstLine="709"/>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През отчетната 202</w:t>
      </w:r>
      <w:r w:rsidR="00E635F8">
        <w:rPr>
          <w:rFonts w:ascii="Times New Roman" w:eastAsia="Times New Roman" w:hAnsi="Times New Roman" w:cs="Times New Roman"/>
          <w:sz w:val="28"/>
          <w:szCs w:val="28"/>
        </w:rPr>
        <w:t>2</w:t>
      </w:r>
      <w:r w:rsidRPr="00E903FC">
        <w:rPr>
          <w:rFonts w:ascii="Times New Roman" w:eastAsia="Times New Roman" w:hAnsi="Times New Roman" w:cs="Times New Roman"/>
          <w:sz w:val="28"/>
          <w:szCs w:val="28"/>
        </w:rPr>
        <w:t xml:space="preserve"> г. след самосезиране са образувани 4 броя преписки, от които 1 брой преписка е решена с образуване на ДП. Съпоставено с предходната 2021 г. след самосезиране са заведени 2 броя преписки, от които 1 брой преписка е решена с образуване на ДП, а през 2020 г. - след самосезиране са заведени 13 броя преписки, от които 1 брой преписка е решена с образуване на ДП.</w:t>
      </w:r>
    </w:p>
    <w:p w14:paraId="7684C825"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През отчетната 2022 г. са наблюдавани 2 бр. ДП, образувани след самосезиране. Няма внесени прокурорски актове в съда и няма осъдени лица с влязъл в сила съдебен акт. Съпоставено с предходната 2021 г. е наблюдавано 1 бр. ДП, образувано след самосезиране, няма внесени прокурорски актове в съда и няма осъдени лица с влязъл в сила съдебен акт. През 2019 г. са наблюдавани 7 броя ДП, образувани след самосезиране. Внесени са 2 броя прокурорски актове в съда и е осъдено едно лице с влязъл в сила съдебен акт. </w:t>
      </w:r>
    </w:p>
    <w:p w14:paraId="5EFF19DE" w14:textId="4BD44B82"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През отчетната 202</w:t>
      </w:r>
      <w:r w:rsidR="009861D8">
        <w:rPr>
          <w:rFonts w:ascii="Times New Roman" w:eastAsia="Times New Roman" w:hAnsi="Times New Roman" w:cs="Times New Roman"/>
          <w:sz w:val="28"/>
          <w:szCs w:val="28"/>
        </w:rPr>
        <w:t>2</w:t>
      </w:r>
      <w:r w:rsidRPr="00E903FC">
        <w:rPr>
          <w:rFonts w:ascii="Times New Roman" w:eastAsia="Times New Roman" w:hAnsi="Times New Roman" w:cs="Times New Roman"/>
          <w:sz w:val="28"/>
          <w:szCs w:val="28"/>
        </w:rPr>
        <w:t xml:space="preserve"> г. по сигнали на контролните органи са образувани 17 броя преписки, от които 8 броя преписки са решени с образуване на досъдебно производство. За периода са наблюдавани общо 59 броя ДП. За периода са внесени 10 бр.  прокурорски акт в съда и са осъдени  13 бр. лица с влязъл в сила съдебен акт.</w:t>
      </w:r>
    </w:p>
    <w:p w14:paraId="7B903F2C"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В сравнение с предходните 2021 г. и 2020 г. е налице значително намаление на броя на преписките – 11 бр., образувани по сигнал на контролните органи (95 преписки за 2021 г. и 62 преписки за 2020 г). Налице е тенденция за значително намаление през отчетната година на наблюдаваните досъдебни производства (91 броя ДП за 2021 г. и 49 броя ДП за 2020 г</w:t>
      </w:r>
      <w:r w:rsidRPr="00E903FC">
        <w:rPr>
          <w:rFonts w:ascii="Times New Roman" w:eastAsia="Times New Roman" w:hAnsi="Times New Roman" w:cs="Times New Roman"/>
          <w:sz w:val="24"/>
          <w:szCs w:val="24"/>
        </w:rPr>
        <w:t xml:space="preserve">. </w:t>
      </w:r>
      <w:r w:rsidRPr="00E903FC">
        <w:rPr>
          <w:rFonts w:ascii="Times New Roman" w:eastAsia="Times New Roman" w:hAnsi="Times New Roman" w:cs="Times New Roman"/>
          <w:sz w:val="28"/>
          <w:szCs w:val="28"/>
        </w:rPr>
        <w:t>при</w:t>
      </w:r>
      <w:r w:rsidRPr="00E903FC">
        <w:rPr>
          <w:rFonts w:ascii="Times New Roman" w:eastAsia="Times New Roman" w:hAnsi="Times New Roman" w:cs="Times New Roman"/>
          <w:sz w:val="24"/>
          <w:szCs w:val="24"/>
        </w:rPr>
        <w:t xml:space="preserve"> </w:t>
      </w:r>
      <w:r w:rsidRPr="00E903FC">
        <w:rPr>
          <w:rFonts w:ascii="Times New Roman" w:eastAsia="Times New Roman" w:hAnsi="Times New Roman" w:cs="Times New Roman"/>
          <w:sz w:val="28"/>
          <w:szCs w:val="28"/>
        </w:rPr>
        <w:t xml:space="preserve">59 броя за 2022 г.). Налице е значително увеличение на броя на осъдените с влязъл в сила съдебен акт лица (13 лица за 2022 г. при 9 лица за 2021 г. и 0 лице за 2020 г.) Аналогична е тенденцията и при внесените в съда прокурорски актове (10 броя акт през 2022 г., при 17 брой през 2021 г. и 0 брой през 2020 г.). </w:t>
      </w:r>
    </w:p>
    <w:p w14:paraId="67D47FE8"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p>
    <w:p w14:paraId="5E3BCA1C"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u w:val="single"/>
        </w:rPr>
      </w:pPr>
      <w:r w:rsidRPr="00E903FC">
        <w:rPr>
          <w:rFonts w:ascii="Times New Roman" w:eastAsia="Times New Roman" w:hAnsi="Times New Roman" w:cs="Times New Roman"/>
          <w:sz w:val="28"/>
          <w:szCs w:val="28"/>
        </w:rPr>
        <w:t xml:space="preserve">През отчетния период няма заведени преписки по сигнали на </w:t>
      </w:r>
      <w:r w:rsidRPr="00E903FC">
        <w:rPr>
          <w:rFonts w:ascii="Times New Roman" w:eastAsia="Times New Roman" w:hAnsi="Times New Roman" w:cs="Times New Roman"/>
          <w:sz w:val="28"/>
          <w:szCs w:val="28"/>
          <w:u w:val="single"/>
        </w:rPr>
        <w:t>Сметната палата.</w:t>
      </w:r>
    </w:p>
    <w:p w14:paraId="36C5846A"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u w:val="single"/>
        </w:rPr>
      </w:pPr>
    </w:p>
    <w:p w14:paraId="5275B418"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През отчетния период по сигнали на </w:t>
      </w:r>
      <w:r w:rsidRPr="00E903FC">
        <w:rPr>
          <w:rFonts w:ascii="Times New Roman" w:eastAsia="Times New Roman" w:hAnsi="Times New Roman" w:cs="Times New Roman"/>
          <w:sz w:val="28"/>
          <w:szCs w:val="28"/>
          <w:u w:val="single"/>
        </w:rPr>
        <w:t>Националната агенция по приходите</w:t>
      </w:r>
      <w:r w:rsidRPr="00E903FC">
        <w:rPr>
          <w:rFonts w:ascii="Times New Roman" w:eastAsia="Times New Roman" w:hAnsi="Times New Roman" w:cs="Times New Roman"/>
          <w:sz w:val="28"/>
          <w:szCs w:val="28"/>
        </w:rPr>
        <w:t xml:space="preserve"> са образувани и са наблюдавани 10 броя  преписки, 7 броя преписки са решени с образуване на досъдебно производство и са </w:t>
      </w:r>
      <w:r w:rsidRPr="00E903FC">
        <w:rPr>
          <w:rFonts w:ascii="Times New Roman" w:eastAsia="Times New Roman" w:hAnsi="Times New Roman" w:cs="Times New Roman"/>
          <w:sz w:val="28"/>
          <w:szCs w:val="28"/>
        </w:rPr>
        <w:lastRenderedPageBreak/>
        <w:t xml:space="preserve">наблюдавани 58 броя досъдебни производства. За периода са внесени 10 бр.  прокурорски акт в съда и са осъдени  13 бр. лица с влязъл в сила съдебен акт. </w:t>
      </w:r>
    </w:p>
    <w:p w14:paraId="088AD18B"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В сравнение с предходните 2021 г. и 2020 г. е налице значително намаление на броя на преписките, образувани по сигнали на Националната агенция по приходите (95 броя през 2021 г. и 60 броя преписки за 2020 г. при 10 броя за 2022 г.). Налице е намаление и на броя на образуваните и наблюдавани ДП в сравнение с предходните 2021 г. и 2020 г. (7 броя ДП през 2022 г. и 43 броя ДП за 2021 г. при 48 броя за 2020 г.). Налице е единствено увеличение по отношение на внесените в съда   прокурорски актове - 10 бр. и на осъдените лица с влязъл в сила съдебен акт - 13 бр. За сравнение през предходните години – през 2021 г. са внесени 17 бр.  прокурорски акт в съда и са осъдени  9 бр. лица с влязъл в сила съдебен акт, а през 2020 г., няма внесени в съда прокурорски актове и осъдени лица. </w:t>
      </w:r>
    </w:p>
    <w:p w14:paraId="50956649"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p>
    <w:p w14:paraId="0E81DF7B"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През отчетния период не са образувани преписки по сигнали на  </w:t>
      </w:r>
      <w:r w:rsidRPr="00E903FC">
        <w:rPr>
          <w:rFonts w:ascii="Times New Roman" w:eastAsia="Times New Roman" w:hAnsi="Times New Roman" w:cs="Times New Roman"/>
          <w:sz w:val="28"/>
          <w:szCs w:val="28"/>
          <w:u w:val="single"/>
        </w:rPr>
        <w:t>Агенцията за държавна финансова инспекция.</w:t>
      </w:r>
      <w:r w:rsidRPr="00E903FC">
        <w:rPr>
          <w:rFonts w:ascii="Times New Roman" w:eastAsia="Times New Roman" w:hAnsi="Times New Roman" w:cs="Times New Roman"/>
          <w:sz w:val="28"/>
          <w:szCs w:val="28"/>
        </w:rPr>
        <w:t xml:space="preserve"> През предходната 2021 г. не са образувани преписки по сигнали на  АДФИ, а през 2020 г. са образувани 2 броя преписки по сигнали на АДФИ.</w:t>
      </w:r>
    </w:p>
    <w:p w14:paraId="276726CF"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p>
    <w:p w14:paraId="3B48A4B9"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През отчетния период, както и през предходните такива няма заведени преписки по сигнали на </w:t>
      </w:r>
      <w:r w:rsidRPr="00E903FC">
        <w:rPr>
          <w:rFonts w:ascii="Times New Roman" w:eastAsia="Times New Roman" w:hAnsi="Times New Roman" w:cs="Times New Roman"/>
          <w:sz w:val="28"/>
          <w:szCs w:val="28"/>
          <w:u w:val="single"/>
        </w:rPr>
        <w:t>Дирекция за национален строителен контрол</w:t>
      </w:r>
      <w:r w:rsidRPr="00E903FC">
        <w:rPr>
          <w:rFonts w:ascii="Times New Roman" w:eastAsia="Times New Roman" w:hAnsi="Times New Roman" w:cs="Times New Roman"/>
          <w:sz w:val="28"/>
          <w:szCs w:val="28"/>
        </w:rPr>
        <w:t xml:space="preserve">. </w:t>
      </w:r>
    </w:p>
    <w:p w14:paraId="6CE418A8"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p>
    <w:p w14:paraId="0592E1DE"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През отчетния период, както и през предходните такива няма заведени преписки по сигнали на </w:t>
      </w:r>
      <w:r w:rsidRPr="00E903FC">
        <w:rPr>
          <w:rFonts w:ascii="Times New Roman" w:eastAsia="Times New Roman" w:hAnsi="Times New Roman" w:cs="Times New Roman"/>
          <w:sz w:val="28"/>
          <w:szCs w:val="28"/>
          <w:u w:val="single"/>
        </w:rPr>
        <w:t>Агенция за следприватизационен контрол</w:t>
      </w:r>
      <w:r w:rsidRPr="00E903FC">
        <w:rPr>
          <w:rFonts w:ascii="Times New Roman" w:eastAsia="Times New Roman" w:hAnsi="Times New Roman" w:cs="Times New Roman"/>
          <w:sz w:val="28"/>
          <w:szCs w:val="28"/>
        </w:rPr>
        <w:t>.</w:t>
      </w:r>
    </w:p>
    <w:p w14:paraId="6EEFA670"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 </w:t>
      </w:r>
    </w:p>
    <w:p w14:paraId="7AD0F7A4"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През отчетния период по сигнали на </w:t>
      </w:r>
      <w:r w:rsidRPr="00E903FC">
        <w:rPr>
          <w:rFonts w:ascii="Times New Roman" w:eastAsia="Times New Roman" w:hAnsi="Times New Roman" w:cs="Times New Roman"/>
          <w:sz w:val="28"/>
          <w:szCs w:val="28"/>
          <w:u w:val="single"/>
        </w:rPr>
        <w:t>Агенция „Митници“</w:t>
      </w:r>
      <w:r w:rsidRPr="00E903FC">
        <w:rPr>
          <w:rFonts w:ascii="Times New Roman" w:eastAsia="Times New Roman" w:hAnsi="Times New Roman" w:cs="Times New Roman"/>
          <w:sz w:val="28"/>
          <w:szCs w:val="28"/>
        </w:rPr>
        <w:t xml:space="preserve"> е заведена 1 бр. преписка и е образувано 1 бр. ДП. Наблюдавано е 1 бр. ДП, като няма внесен  прокурорски акт и няма осъдено едно лице с влязъл в сила съдебен акт.</w:t>
      </w:r>
    </w:p>
    <w:p w14:paraId="3DB95094"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В сравнение с предходните години: през 2021 г. няма заведени преписки и образувани ДП. Наблюдавано е едно ДП, като няма внесен  прокурорски акт и няма осъдено едно лице с влязъл в сила съдебен акт, а през 2020 г. - няма заведени преписки и образувани ДП, наблюдавано е едно ДП, като няма внесен  прокурорски акт и няма осъдено едно лице с влязъл в сила съдебен акт. </w:t>
      </w:r>
    </w:p>
    <w:p w14:paraId="09551D4E"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p>
    <w:p w14:paraId="2151DD27"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През отчетния период по материали на </w:t>
      </w:r>
      <w:r w:rsidRPr="00E903FC">
        <w:rPr>
          <w:rFonts w:ascii="Times New Roman" w:eastAsia="Times New Roman" w:hAnsi="Times New Roman" w:cs="Times New Roman"/>
          <w:sz w:val="28"/>
          <w:szCs w:val="28"/>
          <w:u w:val="single"/>
        </w:rPr>
        <w:t>ДАНС</w:t>
      </w:r>
      <w:r w:rsidRPr="00E903FC">
        <w:rPr>
          <w:rFonts w:ascii="Times New Roman" w:eastAsia="Times New Roman" w:hAnsi="Times New Roman" w:cs="Times New Roman"/>
          <w:sz w:val="28"/>
          <w:szCs w:val="28"/>
        </w:rPr>
        <w:t xml:space="preserve"> са образувани 4 бр. преписка, 3 бр. преписки са решени с образуване на досъдебно производство, наблюдавани са 3 бр. досъдебни производства. Внесен е 1 бр. прокурорски акт в съда и е осъдено едно лице с влязъл в сила съдебен акт. </w:t>
      </w:r>
    </w:p>
    <w:p w14:paraId="5C9DF443"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При сравнение с предходните 2021 г. и 2020 г. се наблюдава намаление на преписките, образувани  и решени с образуване на досъдебно производство по материали на ДАНС (през 2021 г. по материали на </w:t>
      </w:r>
      <w:r w:rsidRPr="00E903FC">
        <w:rPr>
          <w:rFonts w:ascii="Times New Roman" w:eastAsia="Times New Roman" w:hAnsi="Times New Roman" w:cs="Times New Roman"/>
          <w:sz w:val="28"/>
          <w:szCs w:val="28"/>
          <w:u w:val="single"/>
        </w:rPr>
        <w:t>ДАНС</w:t>
      </w:r>
      <w:r w:rsidRPr="00E903FC">
        <w:rPr>
          <w:rFonts w:ascii="Times New Roman" w:eastAsia="Times New Roman" w:hAnsi="Times New Roman" w:cs="Times New Roman"/>
          <w:sz w:val="28"/>
          <w:szCs w:val="28"/>
        </w:rPr>
        <w:t xml:space="preserve"> е образувана 1 бр. преписка, няма преписки решени с образуване на досъдебно производство, наблюдавано е 1 бр. досъдебно производство от предходен период. Не са внасяни прокурорски актове в съда и няма осъдени лица с влязъл в сила </w:t>
      </w:r>
      <w:r w:rsidRPr="00E903FC">
        <w:rPr>
          <w:rFonts w:ascii="Times New Roman" w:eastAsia="Times New Roman" w:hAnsi="Times New Roman" w:cs="Times New Roman"/>
          <w:sz w:val="28"/>
          <w:szCs w:val="28"/>
        </w:rPr>
        <w:lastRenderedPageBreak/>
        <w:t xml:space="preserve">съдебен акт, а през 2020 г. няма наблюдавани и  решени с образуване на ДП преписки, наблюдавани са 7 броя ДП, вкл. такива от предходен период. Внесени са 6 броя прокурорски актове в съда и са осъдени 7 броя лица с влязъл в сила съдебен акт). Налице е тенденция за увеличаване на образуваните по материали на ДАНС преписки, на наблюдаваните досъдебни производства, както и на внесените в съда прокурорски актове и осъдените с влязъл в сила съдебен акт. </w:t>
      </w:r>
    </w:p>
    <w:p w14:paraId="32B0990A"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p>
    <w:p w14:paraId="3BEBE149"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През отчетния период, както и през предходните такива няма заведени преписки и такива, решени с образуване на ДП, както и наблюдавани досъдебни производства по сигнали на </w:t>
      </w:r>
      <w:r w:rsidRPr="00E903FC">
        <w:rPr>
          <w:rFonts w:ascii="Times New Roman" w:eastAsia="Times New Roman" w:hAnsi="Times New Roman" w:cs="Times New Roman"/>
          <w:sz w:val="28"/>
          <w:szCs w:val="28"/>
          <w:u w:val="single"/>
        </w:rPr>
        <w:t>Дирекцията за финансово разузнаване</w:t>
      </w:r>
      <w:r w:rsidRPr="00E903FC">
        <w:rPr>
          <w:rFonts w:ascii="Times New Roman" w:eastAsia="Times New Roman" w:hAnsi="Times New Roman" w:cs="Times New Roman"/>
          <w:sz w:val="28"/>
          <w:szCs w:val="28"/>
        </w:rPr>
        <w:t>.</w:t>
      </w:r>
    </w:p>
    <w:p w14:paraId="632E8063"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 </w:t>
      </w:r>
    </w:p>
    <w:p w14:paraId="0A005220" w14:textId="77777777"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През отчетния период по материали на </w:t>
      </w:r>
      <w:r w:rsidRPr="00E903FC">
        <w:rPr>
          <w:rFonts w:ascii="Times New Roman" w:eastAsia="Times New Roman" w:hAnsi="Times New Roman" w:cs="Times New Roman"/>
          <w:sz w:val="28"/>
          <w:szCs w:val="28"/>
          <w:u w:val="single"/>
        </w:rPr>
        <w:t>Дирекция „Вътрешна сигурност“ - МВР</w:t>
      </w:r>
      <w:r w:rsidRPr="00E903FC">
        <w:rPr>
          <w:rFonts w:ascii="Times New Roman" w:eastAsia="Times New Roman" w:hAnsi="Times New Roman" w:cs="Times New Roman"/>
          <w:sz w:val="28"/>
          <w:szCs w:val="28"/>
        </w:rPr>
        <w:t xml:space="preserve"> са образувани и наблюдавани 2 броя преписки, няма преписка решени с образуване на ДП, не са наблюдавани досъдебни производства, няма внесени прокурорски актове в съда и няма осъдени лица с влязъл в сила съдебен акт. </w:t>
      </w:r>
    </w:p>
    <w:p w14:paraId="495B4847" w14:textId="3C26B773" w:rsidR="00E903FC" w:rsidRPr="00E903FC" w:rsidRDefault="00E903FC" w:rsidP="00E903FC">
      <w:pPr>
        <w:spacing w:after="0" w:line="240" w:lineRule="auto"/>
        <w:ind w:firstLine="708"/>
        <w:jc w:val="both"/>
        <w:rPr>
          <w:rFonts w:ascii="Times New Roman" w:eastAsia="Times New Roman" w:hAnsi="Times New Roman" w:cs="Times New Roman"/>
          <w:sz w:val="28"/>
          <w:szCs w:val="28"/>
        </w:rPr>
      </w:pPr>
      <w:r w:rsidRPr="00E903FC">
        <w:rPr>
          <w:rFonts w:ascii="Times New Roman" w:eastAsia="Times New Roman" w:hAnsi="Times New Roman" w:cs="Times New Roman"/>
          <w:sz w:val="28"/>
          <w:szCs w:val="28"/>
        </w:rPr>
        <w:t xml:space="preserve">В сравнение с предходните </w:t>
      </w:r>
      <w:r w:rsidRPr="00FA6A8E">
        <w:rPr>
          <w:rFonts w:ascii="Times New Roman" w:eastAsia="Times New Roman" w:hAnsi="Times New Roman" w:cs="Times New Roman"/>
          <w:sz w:val="28"/>
          <w:szCs w:val="28"/>
        </w:rPr>
        <w:t>20</w:t>
      </w:r>
      <w:r w:rsidR="00FA6A8E" w:rsidRPr="00FA6A8E">
        <w:rPr>
          <w:rFonts w:ascii="Times New Roman" w:eastAsia="Times New Roman" w:hAnsi="Times New Roman" w:cs="Times New Roman"/>
          <w:sz w:val="28"/>
          <w:szCs w:val="28"/>
        </w:rPr>
        <w:t>21 г. и 2020</w:t>
      </w:r>
      <w:r w:rsidRPr="00FA6A8E">
        <w:rPr>
          <w:rFonts w:ascii="Times New Roman" w:eastAsia="Times New Roman" w:hAnsi="Times New Roman" w:cs="Times New Roman"/>
          <w:sz w:val="28"/>
          <w:szCs w:val="28"/>
        </w:rPr>
        <w:t xml:space="preserve"> г</w:t>
      </w:r>
      <w:r w:rsidRPr="00E903FC">
        <w:rPr>
          <w:rFonts w:ascii="Times New Roman" w:eastAsia="Times New Roman" w:hAnsi="Times New Roman" w:cs="Times New Roman"/>
          <w:sz w:val="28"/>
          <w:szCs w:val="28"/>
        </w:rPr>
        <w:t xml:space="preserve">. е налице тенденция за намаляване броя на преписките, образувани по материали на Дирекция „Вътрешна сигурност“ – МВР, както и на тези решени с образуване на ДП (през 2021 г. са образувани 5 броя преписки, няма преписка решени с образуване на ДП, не са наблюдавани досъдебни производства, няма внесени прокурорски актове в съда и няма осъдени лица с влязъл в сила съдебен акт, а през 2020 г. са образувани 10 броя преписки, 1 бр. преписка е решена с образуване на ДП и е наблюдавано 1 бр. ДП). Налице е тенденция за намаляване преписките, образувани по материали на Дирекция „Вътрешна сигурност“ – МВР, както и на образуваните досъдебни производства, внесените актове в съда и осъдените лица. </w:t>
      </w:r>
    </w:p>
    <w:p w14:paraId="748F4683" w14:textId="77777777" w:rsidR="007C2CE2" w:rsidRDefault="007C2CE2" w:rsidP="007C2CE2">
      <w:pPr>
        <w:spacing w:after="0" w:line="240" w:lineRule="auto"/>
        <w:ind w:firstLine="708"/>
        <w:jc w:val="both"/>
        <w:rPr>
          <w:rFonts w:ascii="Times New Roman" w:eastAsia="Times New Roman" w:hAnsi="Times New Roman" w:cs="Times New Roman"/>
          <w:sz w:val="28"/>
          <w:szCs w:val="28"/>
        </w:rPr>
      </w:pPr>
    </w:p>
    <w:p w14:paraId="15017ECA" w14:textId="77777777" w:rsidR="00E903FC" w:rsidRPr="00E903FC" w:rsidRDefault="00EA25BC" w:rsidP="00E903F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color w:val="000000"/>
          <w:sz w:val="28"/>
          <w:u w:val="single"/>
          <w:lang w:eastAsia="bg-BG"/>
        </w:rPr>
      </w:pPr>
      <w:r w:rsidRPr="00EA25BC">
        <w:rPr>
          <w:rFonts w:ascii="Times New Roman" w:eastAsia="Calibri" w:hAnsi="Times New Roman" w:cs="Arial"/>
          <w:b/>
          <w:color w:val="000000"/>
          <w:sz w:val="28"/>
          <w:lang w:eastAsia="bg-BG"/>
        </w:rPr>
        <w:tab/>
      </w:r>
      <w:bookmarkStart w:id="24" w:name="_Toc127370245"/>
      <w:r w:rsidR="00E903FC" w:rsidRPr="00E903FC">
        <w:rPr>
          <w:rFonts w:ascii="Times New Roman" w:eastAsia="Calibri" w:hAnsi="Times New Roman" w:cs="Arial"/>
          <w:b/>
          <w:color w:val="000000"/>
          <w:sz w:val="28"/>
          <w:u w:val="single"/>
          <w:lang w:eastAsia="bg-BG"/>
        </w:rPr>
        <w:t>2.  Следствен   надзор</w:t>
      </w:r>
      <w:bookmarkEnd w:id="24"/>
    </w:p>
    <w:p w14:paraId="7569C54D" w14:textId="77777777" w:rsidR="00E903FC" w:rsidRPr="00E903FC" w:rsidRDefault="00E903FC" w:rsidP="00E903F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color w:val="000000"/>
          <w:sz w:val="28"/>
          <w:u w:val="single"/>
          <w:lang w:eastAsia="bg-BG"/>
        </w:rPr>
      </w:pPr>
    </w:p>
    <w:p w14:paraId="75C30478" w14:textId="77777777" w:rsidR="00E903FC" w:rsidRPr="00E903FC" w:rsidRDefault="00E903FC" w:rsidP="00E903F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i/>
          <w:color w:val="000000"/>
          <w:sz w:val="28"/>
          <w:lang w:eastAsia="bg-BG"/>
        </w:rPr>
      </w:pPr>
      <w:bookmarkStart w:id="25" w:name="_Toc127370246"/>
      <w:r w:rsidRPr="00E903FC">
        <w:rPr>
          <w:rFonts w:ascii="Times New Roman" w:eastAsia="Calibri" w:hAnsi="Times New Roman" w:cs="Arial"/>
          <w:b/>
          <w:i/>
          <w:color w:val="000000"/>
          <w:sz w:val="28"/>
          <w:lang w:eastAsia="bg-BG"/>
        </w:rPr>
        <w:t>2.1.  Обобщени данни по видове досъдебни производства и съобразно систематиката на НК, включително по отношение пострадалите лица и ощетените юридически лица от престъпления.</w:t>
      </w:r>
      <w:bookmarkEnd w:id="25"/>
    </w:p>
    <w:p w14:paraId="558F6634" w14:textId="77777777" w:rsidR="00E903FC" w:rsidRPr="00E903FC" w:rsidRDefault="00E903FC" w:rsidP="00E903FC">
      <w:pPr>
        <w:spacing w:after="0" w:line="240" w:lineRule="auto"/>
        <w:jc w:val="both"/>
        <w:rPr>
          <w:rFonts w:ascii="Times New Roman" w:eastAsia="Calibri" w:hAnsi="Times New Roman" w:cs="Times New Roman"/>
          <w:sz w:val="28"/>
          <w:szCs w:val="28"/>
          <w:u w:val="single"/>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9"/>
        <w:gridCol w:w="1292"/>
        <w:gridCol w:w="1624"/>
        <w:gridCol w:w="1435"/>
        <w:gridCol w:w="1565"/>
        <w:gridCol w:w="1034"/>
        <w:gridCol w:w="1195"/>
      </w:tblGrid>
      <w:tr w:rsidR="00E903FC" w:rsidRPr="00E903FC" w14:paraId="52F01469" w14:textId="77777777" w:rsidTr="00E903FC">
        <w:trPr>
          <w:trHeight w:val="802"/>
          <w:jc w:val="center"/>
        </w:trPr>
        <w:tc>
          <w:tcPr>
            <w:tcW w:w="1139" w:type="dxa"/>
            <w:tcBorders>
              <w:top w:val="single" w:sz="4" w:space="0" w:color="auto"/>
              <w:left w:val="single" w:sz="4" w:space="0" w:color="auto"/>
              <w:bottom w:val="single" w:sz="4" w:space="0" w:color="auto"/>
              <w:right w:val="single" w:sz="4" w:space="0" w:color="auto"/>
            </w:tcBorders>
            <w:hideMark/>
          </w:tcPr>
          <w:p w14:paraId="7950C768" w14:textId="77777777" w:rsidR="00E903FC" w:rsidRPr="00E903FC" w:rsidRDefault="00E903FC" w:rsidP="00E903FC">
            <w:pPr>
              <w:autoSpaceDE w:val="0"/>
              <w:autoSpaceDN w:val="0"/>
              <w:adjustRightInd w:val="0"/>
              <w:jc w:val="both"/>
              <w:rPr>
                <w:rFonts w:ascii="Times New Roman" w:eastAsia="Calibri" w:hAnsi="Times New Roman" w:cs="Times New Roman"/>
                <w:i/>
                <w:sz w:val="24"/>
                <w:szCs w:val="24"/>
              </w:rPr>
            </w:pPr>
            <w:r w:rsidRPr="00E903FC">
              <w:rPr>
                <w:rFonts w:ascii="Times New Roman" w:eastAsia="Calibri" w:hAnsi="Times New Roman" w:cs="Times New Roman"/>
                <w:i/>
                <w:sz w:val="24"/>
                <w:szCs w:val="24"/>
              </w:rPr>
              <w:t>Година</w:t>
            </w:r>
          </w:p>
        </w:tc>
        <w:tc>
          <w:tcPr>
            <w:tcW w:w="1292" w:type="dxa"/>
            <w:tcBorders>
              <w:top w:val="single" w:sz="4" w:space="0" w:color="auto"/>
              <w:left w:val="single" w:sz="4" w:space="0" w:color="auto"/>
              <w:bottom w:val="single" w:sz="4" w:space="0" w:color="auto"/>
              <w:right w:val="single" w:sz="4" w:space="0" w:color="auto"/>
            </w:tcBorders>
            <w:hideMark/>
          </w:tcPr>
          <w:p w14:paraId="2AFEDDEA" w14:textId="77777777" w:rsidR="00E903FC" w:rsidRPr="00E903FC" w:rsidRDefault="00E903FC" w:rsidP="00E903FC">
            <w:pPr>
              <w:autoSpaceDE w:val="0"/>
              <w:autoSpaceDN w:val="0"/>
              <w:adjustRightInd w:val="0"/>
              <w:jc w:val="both"/>
              <w:rPr>
                <w:rFonts w:ascii="Times New Roman" w:eastAsia="Calibri" w:hAnsi="Times New Roman" w:cs="Times New Roman"/>
                <w:i/>
                <w:sz w:val="24"/>
                <w:szCs w:val="24"/>
              </w:rPr>
            </w:pPr>
            <w:r w:rsidRPr="00E903FC">
              <w:rPr>
                <w:rFonts w:ascii="Times New Roman" w:eastAsia="Calibri" w:hAnsi="Times New Roman" w:cs="Times New Roman"/>
                <w:i/>
                <w:sz w:val="24"/>
                <w:szCs w:val="24"/>
              </w:rPr>
              <w:t>Общо наблюд.</w:t>
            </w:r>
          </w:p>
        </w:tc>
        <w:tc>
          <w:tcPr>
            <w:tcW w:w="1624" w:type="dxa"/>
            <w:tcBorders>
              <w:top w:val="single" w:sz="4" w:space="0" w:color="auto"/>
              <w:left w:val="single" w:sz="4" w:space="0" w:color="auto"/>
              <w:bottom w:val="single" w:sz="4" w:space="0" w:color="auto"/>
              <w:right w:val="single" w:sz="4" w:space="0" w:color="auto"/>
            </w:tcBorders>
            <w:hideMark/>
          </w:tcPr>
          <w:p w14:paraId="0E941AAD" w14:textId="77777777" w:rsidR="00E903FC" w:rsidRPr="00E903FC" w:rsidRDefault="00E903FC" w:rsidP="00E903FC">
            <w:pPr>
              <w:autoSpaceDE w:val="0"/>
              <w:autoSpaceDN w:val="0"/>
              <w:adjustRightInd w:val="0"/>
              <w:jc w:val="both"/>
              <w:rPr>
                <w:rFonts w:ascii="Times New Roman" w:eastAsia="Calibri" w:hAnsi="Times New Roman" w:cs="Times New Roman"/>
                <w:i/>
                <w:sz w:val="24"/>
                <w:szCs w:val="24"/>
              </w:rPr>
            </w:pPr>
            <w:r w:rsidRPr="00E903FC">
              <w:rPr>
                <w:rFonts w:ascii="Times New Roman" w:eastAsia="Calibri" w:hAnsi="Times New Roman" w:cs="Times New Roman"/>
                <w:i/>
                <w:sz w:val="24"/>
                <w:szCs w:val="24"/>
              </w:rPr>
              <w:t>Новообра-зувани</w:t>
            </w:r>
          </w:p>
        </w:tc>
        <w:tc>
          <w:tcPr>
            <w:tcW w:w="1435" w:type="dxa"/>
            <w:tcBorders>
              <w:top w:val="single" w:sz="4" w:space="0" w:color="auto"/>
              <w:left w:val="single" w:sz="4" w:space="0" w:color="auto"/>
              <w:bottom w:val="single" w:sz="4" w:space="0" w:color="auto"/>
              <w:right w:val="single" w:sz="4" w:space="0" w:color="auto"/>
            </w:tcBorders>
            <w:hideMark/>
          </w:tcPr>
          <w:p w14:paraId="62D008F5" w14:textId="77777777" w:rsidR="00E903FC" w:rsidRPr="00E903FC" w:rsidRDefault="00E903FC" w:rsidP="00E903FC">
            <w:pPr>
              <w:autoSpaceDE w:val="0"/>
              <w:autoSpaceDN w:val="0"/>
              <w:adjustRightInd w:val="0"/>
              <w:jc w:val="both"/>
              <w:rPr>
                <w:rFonts w:ascii="Times New Roman" w:eastAsia="Calibri" w:hAnsi="Times New Roman" w:cs="Times New Roman"/>
                <w:i/>
                <w:sz w:val="24"/>
                <w:szCs w:val="24"/>
              </w:rPr>
            </w:pPr>
            <w:r w:rsidRPr="00E903FC">
              <w:rPr>
                <w:rFonts w:ascii="Times New Roman" w:eastAsia="Calibri" w:hAnsi="Times New Roman" w:cs="Times New Roman"/>
                <w:i/>
                <w:sz w:val="24"/>
                <w:szCs w:val="24"/>
              </w:rPr>
              <w:t xml:space="preserve">Бързи </w:t>
            </w:r>
          </w:p>
        </w:tc>
        <w:tc>
          <w:tcPr>
            <w:tcW w:w="1565" w:type="dxa"/>
            <w:tcBorders>
              <w:top w:val="single" w:sz="4" w:space="0" w:color="auto"/>
              <w:left w:val="single" w:sz="4" w:space="0" w:color="auto"/>
              <w:bottom w:val="single" w:sz="4" w:space="0" w:color="auto"/>
              <w:right w:val="single" w:sz="4" w:space="0" w:color="auto"/>
            </w:tcBorders>
            <w:hideMark/>
          </w:tcPr>
          <w:p w14:paraId="61F47BFD" w14:textId="77777777" w:rsidR="00E903FC" w:rsidRPr="00E903FC" w:rsidRDefault="00E903FC" w:rsidP="00E903FC">
            <w:pPr>
              <w:autoSpaceDE w:val="0"/>
              <w:autoSpaceDN w:val="0"/>
              <w:adjustRightInd w:val="0"/>
              <w:jc w:val="both"/>
              <w:rPr>
                <w:rFonts w:ascii="Times New Roman" w:eastAsia="Calibri" w:hAnsi="Times New Roman" w:cs="Times New Roman"/>
                <w:i/>
                <w:sz w:val="24"/>
                <w:szCs w:val="24"/>
              </w:rPr>
            </w:pPr>
            <w:r w:rsidRPr="00E903FC">
              <w:rPr>
                <w:rFonts w:ascii="Times New Roman" w:eastAsia="Calibri" w:hAnsi="Times New Roman" w:cs="Times New Roman"/>
                <w:i/>
                <w:sz w:val="24"/>
                <w:szCs w:val="24"/>
              </w:rPr>
              <w:t xml:space="preserve">Незабавни </w:t>
            </w:r>
          </w:p>
        </w:tc>
        <w:tc>
          <w:tcPr>
            <w:tcW w:w="1034" w:type="dxa"/>
            <w:tcBorders>
              <w:top w:val="single" w:sz="4" w:space="0" w:color="auto"/>
              <w:left w:val="single" w:sz="4" w:space="0" w:color="auto"/>
              <w:bottom w:val="single" w:sz="4" w:space="0" w:color="auto"/>
              <w:right w:val="single" w:sz="4" w:space="0" w:color="auto"/>
            </w:tcBorders>
            <w:hideMark/>
          </w:tcPr>
          <w:p w14:paraId="7B4582B5" w14:textId="77777777" w:rsidR="00E903FC" w:rsidRPr="00E903FC" w:rsidRDefault="00E903FC" w:rsidP="00E903FC">
            <w:pPr>
              <w:autoSpaceDE w:val="0"/>
              <w:autoSpaceDN w:val="0"/>
              <w:adjustRightInd w:val="0"/>
              <w:jc w:val="both"/>
              <w:rPr>
                <w:rFonts w:ascii="Times New Roman" w:eastAsia="Calibri" w:hAnsi="Times New Roman" w:cs="Times New Roman"/>
                <w:i/>
                <w:sz w:val="24"/>
                <w:szCs w:val="24"/>
              </w:rPr>
            </w:pPr>
            <w:r w:rsidRPr="00E903FC">
              <w:rPr>
                <w:rFonts w:ascii="Times New Roman" w:eastAsia="Calibri" w:hAnsi="Times New Roman" w:cs="Times New Roman"/>
                <w:i/>
                <w:sz w:val="24"/>
                <w:szCs w:val="24"/>
              </w:rPr>
              <w:t xml:space="preserve">Общ ред </w:t>
            </w:r>
          </w:p>
        </w:tc>
        <w:tc>
          <w:tcPr>
            <w:tcW w:w="1195" w:type="dxa"/>
            <w:tcBorders>
              <w:top w:val="single" w:sz="4" w:space="0" w:color="auto"/>
              <w:left w:val="single" w:sz="4" w:space="0" w:color="auto"/>
              <w:bottom w:val="single" w:sz="4" w:space="0" w:color="auto"/>
              <w:right w:val="single" w:sz="4" w:space="0" w:color="auto"/>
            </w:tcBorders>
          </w:tcPr>
          <w:p w14:paraId="34B445E0" w14:textId="77777777" w:rsidR="00E903FC" w:rsidRPr="00E903FC" w:rsidRDefault="00E903FC" w:rsidP="00E903FC">
            <w:pPr>
              <w:autoSpaceDE w:val="0"/>
              <w:autoSpaceDN w:val="0"/>
              <w:adjustRightInd w:val="0"/>
              <w:jc w:val="both"/>
              <w:rPr>
                <w:rFonts w:ascii="Times New Roman" w:eastAsia="Calibri" w:hAnsi="Times New Roman" w:cs="Times New Roman"/>
                <w:i/>
                <w:sz w:val="24"/>
                <w:szCs w:val="24"/>
              </w:rPr>
            </w:pPr>
            <w:r w:rsidRPr="00E903FC">
              <w:rPr>
                <w:rFonts w:ascii="Times New Roman" w:eastAsia="Calibri" w:hAnsi="Times New Roman" w:cs="Times New Roman"/>
                <w:i/>
                <w:sz w:val="24"/>
                <w:szCs w:val="24"/>
              </w:rPr>
              <w:t xml:space="preserve">Решени </w:t>
            </w:r>
          </w:p>
          <w:p w14:paraId="02E9806A" w14:textId="77777777" w:rsidR="00E903FC" w:rsidRPr="00E903FC" w:rsidRDefault="00E903FC" w:rsidP="00E903FC">
            <w:pPr>
              <w:autoSpaceDE w:val="0"/>
              <w:autoSpaceDN w:val="0"/>
              <w:adjustRightInd w:val="0"/>
              <w:jc w:val="both"/>
              <w:rPr>
                <w:rFonts w:ascii="Times New Roman" w:eastAsia="Calibri" w:hAnsi="Times New Roman" w:cs="Times New Roman"/>
                <w:i/>
                <w:sz w:val="24"/>
                <w:szCs w:val="24"/>
              </w:rPr>
            </w:pPr>
          </w:p>
        </w:tc>
      </w:tr>
      <w:tr w:rsidR="00E903FC" w:rsidRPr="00E903FC" w14:paraId="56435017" w14:textId="77777777" w:rsidTr="00FA6A8E">
        <w:trPr>
          <w:jc w:val="center"/>
        </w:trPr>
        <w:tc>
          <w:tcPr>
            <w:tcW w:w="11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4BD8EF" w14:textId="77777777" w:rsidR="00E903FC" w:rsidRPr="00E903FC" w:rsidRDefault="00E903FC" w:rsidP="00FA6A8E">
            <w:pPr>
              <w:autoSpaceDE w:val="0"/>
              <w:autoSpaceDN w:val="0"/>
              <w:adjustRightInd w:val="0"/>
              <w:jc w:val="center"/>
              <w:rPr>
                <w:rFonts w:ascii="Times New Roman" w:eastAsia="Calibri" w:hAnsi="Times New Roman" w:cs="Times New Roman"/>
                <w:b/>
                <w:sz w:val="24"/>
                <w:szCs w:val="24"/>
              </w:rPr>
            </w:pPr>
            <w:r w:rsidRPr="00E903FC">
              <w:rPr>
                <w:rFonts w:ascii="Times New Roman" w:eastAsia="Calibri" w:hAnsi="Times New Roman" w:cs="Times New Roman"/>
                <w:b/>
                <w:sz w:val="24"/>
                <w:szCs w:val="24"/>
              </w:rPr>
              <w:t>2022 г.</w:t>
            </w:r>
          </w:p>
        </w:tc>
        <w:tc>
          <w:tcPr>
            <w:tcW w:w="12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CE4307" w14:textId="77777777" w:rsidR="00E903FC" w:rsidRPr="00E903FC" w:rsidRDefault="00E903FC" w:rsidP="00FA6A8E">
            <w:pPr>
              <w:autoSpaceDE w:val="0"/>
              <w:autoSpaceDN w:val="0"/>
              <w:adjustRightInd w:val="0"/>
              <w:jc w:val="center"/>
              <w:rPr>
                <w:rFonts w:ascii="Times New Roman" w:eastAsia="Calibri" w:hAnsi="Times New Roman" w:cs="Times New Roman"/>
                <w:b/>
                <w:sz w:val="24"/>
                <w:szCs w:val="24"/>
              </w:rPr>
            </w:pPr>
            <w:r w:rsidRPr="00E903FC">
              <w:rPr>
                <w:rFonts w:ascii="Times New Roman" w:eastAsia="Calibri" w:hAnsi="Times New Roman" w:cs="Times New Roman"/>
                <w:b/>
                <w:sz w:val="24"/>
                <w:szCs w:val="24"/>
              </w:rPr>
              <w:t>4 582</w:t>
            </w:r>
          </w:p>
        </w:tc>
        <w:tc>
          <w:tcPr>
            <w:tcW w:w="16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EE6D90" w14:textId="77777777" w:rsidR="00E903FC" w:rsidRPr="00E903FC" w:rsidRDefault="00E903FC" w:rsidP="00FA6A8E">
            <w:pPr>
              <w:autoSpaceDE w:val="0"/>
              <w:autoSpaceDN w:val="0"/>
              <w:adjustRightInd w:val="0"/>
              <w:jc w:val="center"/>
              <w:rPr>
                <w:rFonts w:ascii="Times New Roman" w:eastAsia="Calibri" w:hAnsi="Times New Roman" w:cs="Times New Roman"/>
                <w:b/>
                <w:sz w:val="24"/>
                <w:szCs w:val="24"/>
              </w:rPr>
            </w:pPr>
            <w:r w:rsidRPr="00E903FC">
              <w:rPr>
                <w:rFonts w:ascii="Times New Roman" w:eastAsia="Calibri" w:hAnsi="Times New Roman" w:cs="Times New Roman"/>
                <w:b/>
                <w:sz w:val="24"/>
                <w:szCs w:val="24"/>
              </w:rPr>
              <w:t>1 806</w:t>
            </w:r>
          </w:p>
        </w:tc>
        <w:tc>
          <w:tcPr>
            <w:tcW w:w="14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EDF743" w14:textId="77777777" w:rsidR="00E903FC" w:rsidRPr="00E903FC" w:rsidRDefault="00E903FC" w:rsidP="00FA6A8E">
            <w:pPr>
              <w:autoSpaceDE w:val="0"/>
              <w:autoSpaceDN w:val="0"/>
              <w:adjustRightInd w:val="0"/>
              <w:jc w:val="center"/>
              <w:rPr>
                <w:rFonts w:ascii="Times New Roman" w:eastAsia="Calibri" w:hAnsi="Times New Roman" w:cs="Times New Roman"/>
                <w:b/>
                <w:sz w:val="24"/>
                <w:szCs w:val="24"/>
              </w:rPr>
            </w:pPr>
            <w:r w:rsidRPr="00E903FC">
              <w:rPr>
                <w:rFonts w:ascii="Times New Roman" w:eastAsia="Calibri" w:hAnsi="Times New Roman" w:cs="Times New Roman"/>
                <w:b/>
                <w:sz w:val="24"/>
                <w:szCs w:val="24"/>
              </w:rPr>
              <w:t>225</w:t>
            </w:r>
          </w:p>
        </w:tc>
        <w:tc>
          <w:tcPr>
            <w:tcW w:w="15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33D041" w14:textId="77777777" w:rsidR="00E903FC" w:rsidRPr="00E903FC" w:rsidRDefault="00E903FC" w:rsidP="00FA6A8E">
            <w:pPr>
              <w:autoSpaceDE w:val="0"/>
              <w:autoSpaceDN w:val="0"/>
              <w:adjustRightInd w:val="0"/>
              <w:jc w:val="center"/>
              <w:rPr>
                <w:rFonts w:ascii="Times New Roman" w:eastAsia="Calibri" w:hAnsi="Times New Roman" w:cs="Times New Roman"/>
                <w:b/>
                <w:sz w:val="24"/>
                <w:szCs w:val="24"/>
              </w:rPr>
            </w:pPr>
            <w:r w:rsidRPr="00E903FC">
              <w:rPr>
                <w:rFonts w:ascii="Times New Roman" w:eastAsia="Calibri" w:hAnsi="Times New Roman" w:cs="Times New Roman"/>
                <w:b/>
                <w:sz w:val="24"/>
                <w:szCs w:val="24"/>
              </w:rPr>
              <w:t>0</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C944D3" w14:textId="77777777" w:rsidR="00E903FC" w:rsidRPr="00E903FC" w:rsidRDefault="00E903FC" w:rsidP="00FA6A8E">
            <w:pPr>
              <w:autoSpaceDE w:val="0"/>
              <w:autoSpaceDN w:val="0"/>
              <w:adjustRightInd w:val="0"/>
              <w:jc w:val="center"/>
              <w:rPr>
                <w:rFonts w:ascii="Times New Roman" w:eastAsia="Calibri" w:hAnsi="Times New Roman" w:cs="Times New Roman"/>
                <w:b/>
                <w:sz w:val="24"/>
                <w:szCs w:val="24"/>
              </w:rPr>
            </w:pPr>
            <w:r w:rsidRPr="00E903FC">
              <w:rPr>
                <w:rFonts w:ascii="Times New Roman" w:eastAsia="Calibri" w:hAnsi="Times New Roman" w:cs="Times New Roman"/>
                <w:b/>
                <w:sz w:val="24"/>
                <w:szCs w:val="24"/>
              </w:rPr>
              <w:t>3 051</w:t>
            </w:r>
          </w:p>
        </w:tc>
        <w:tc>
          <w:tcPr>
            <w:tcW w:w="11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622C1E" w14:textId="77777777" w:rsidR="00E903FC" w:rsidRPr="00E903FC" w:rsidRDefault="00E903FC" w:rsidP="00FA6A8E">
            <w:pPr>
              <w:autoSpaceDE w:val="0"/>
              <w:autoSpaceDN w:val="0"/>
              <w:adjustRightInd w:val="0"/>
              <w:jc w:val="center"/>
              <w:rPr>
                <w:rFonts w:ascii="Times New Roman" w:eastAsia="Calibri" w:hAnsi="Times New Roman" w:cs="Times New Roman"/>
                <w:b/>
                <w:sz w:val="24"/>
                <w:szCs w:val="24"/>
              </w:rPr>
            </w:pPr>
            <w:r w:rsidRPr="00E903FC">
              <w:rPr>
                <w:rFonts w:ascii="Times New Roman" w:eastAsia="Calibri" w:hAnsi="Times New Roman" w:cs="Times New Roman"/>
                <w:b/>
                <w:sz w:val="24"/>
                <w:szCs w:val="24"/>
              </w:rPr>
              <w:t>3 342</w:t>
            </w:r>
          </w:p>
        </w:tc>
      </w:tr>
      <w:tr w:rsidR="00E903FC" w:rsidRPr="00E903FC" w14:paraId="3F1EFA19" w14:textId="77777777" w:rsidTr="00FA6A8E">
        <w:trPr>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647059" w14:textId="77777777" w:rsidR="00E903FC" w:rsidRPr="00E903FC" w:rsidRDefault="00E903FC" w:rsidP="00FA6A8E">
            <w:pPr>
              <w:autoSpaceDE w:val="0"/>
              <w:autoSpaceDN w:val="0"/>
              <w:adjustRightInd w:val="0"/>
              <w:jc w:val="center"/>
              <w:rPr>
                <w:rFonts w:ascii="Times New Roman" w:eastAsia="Calibri" w:hAnsi="Times New Roman" w:cs="Times New Roman"/>
                <w:sz w:val="24"/>
                <w:szCs w:val="24"/>
              </w:rPr>
            </w:pPr>
            <w:r w:rsidRPr="00E903FC">
              <w:rPr>
                <w:rFonts w:ascii="Times New Roman" w:eastAsia="Calibri" w:hAnsi="Times New Roman" w:cs="Times New Roman"/>
                <w:sz w:val="24"/>
                <w:szCs w:val="24"/>
              </w:rPr>
              <w:t>2021 г.</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36F90B" w14:textId="77777777" w:rsidR="00E903FC" w:rsidRPr="00E903FC" w:rsidRDefault="00E903FC" w:rsidP="00FA6A8E">
            <w:pPr>
              <w:autoSpaceDE w:val="0"/>
              <w:autoSpaceDN w:val="0"/>
              <w:adjustRightInd w:val="0"/>
              <w:jc w:val="center"/>
              <w:rPr>
                <w:rFonts w:ascii="Times New Roman" w:eastAsia="Calibri" w:hAnsi="Times New Roman" w:cs="Times New Roman"/>
                <w:sz w:val="24"/>
                <w:szCs w:val="24"/>
              </w:rPr>
            </w:pPr>
            <w:r w:rsidRPr="00E903FC">
              <w:rPr>
                <w:rFonts w:ascii="Times New Roman" w:eastAsia="Calibri" w:hAnsi="Times New Roman" w:cs="Times New Roman"/>
                <w:sz w:val="24"/>
                <w:szCs w:val="24"/>
              </w:rPr>
              <w:t>4 855</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FD1ECC" w14:textId="77777777" w:rsidR="00E903FC" w:rsidRPr="00E903FC" w:rsidRDefault="00E903FC" w:rsidP="00FA6A8E">
            <w:pPr>
              <w:autoSpaceDE w:val="0"/>
              <w:autoSpaceDN w:val="0"/>
              <w:adjustRightInd w:val="0"/>
              <w:jc w:val="center"/>
              <w:rPr>
                <w:rFonts w:ascii="Times New Roman" w:eastAsia="Calibri" w:hAnsi="Times New Roman" w:cs="Times New Roman"/>
                <w:sz w:val="24"/>
                <w:szCs w:val="24"/>
              </w:rPr>
            </w:pPr>
            <w:r w:rsidRPr="00E903FC">
              <w:rPr>
                <w:rFonts w:ascii="Times New Roman" w:eastAsia="Calibri" w:hAnsi="Times New Roman" w:cs="Times New Roman"/>
                <w:sz w:val="24"/>
                <w:szCs w:val="24"/>
              </w:rPr>
              <w:t>1 923</w:t>
            </w: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933F11" w14:textId="77777777" w:rsidR="00E903FC" w:rsidRPr="00E903FC" w:rsidRDefault="00E903FC" w:rsidP="00FA6A8E">
            <w:pPr>
              <w:autoSpaceDE w:val="0"/>
              <w:autoSpaceDN w:val="0"/>
              <w:adjustRightInd w:val="0"/>
              <w:jc w:val="center"/>
              <w:rPr>
                <w:rFonts w:ascii="Times New Roman" w:eastAsia="Calibri" w:hAnsi="Times New Roman" w:cs="Times New Roman"/>
                <w:sz w:val="24"/>
                <w:szCs w:val="24"/>
              </w:rPr>
            </w:pPr>
            <w:r w:rsidRPr="00E903FC">
              <w:rPr>
                <w:rFonts w:ascii="Times New Roman" w:eastAsia="Calibri" w:hAnsi="Times New Roman" w:cs="Times New Roman"/>
                <w:sz w:val="24"/>
                <w:szCs w:val="24"/>
              </w:rPr>
              <w:t>200</w:t>
            </w:r>
          </w:p>
        </w:tc>
        <w:tc>
          <w:tcPr>
            <w:tcW w:w="1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E7498B" w14:textId="77777777" w:rsidR="00E903FC" w:rsidRPr="00E903FC" w:rsidRDefault="00E903FC" w:rsidP="00FA6A8E">
            <w:pPr>
              <w:autoSpaceDE w:val="0"/>
              <w:autoSpaceDN w:val="0"/>
              <w:adjustRightInd w:val="0"/>
              <w:jc w:val="center"/>
              <w:rPr>
                <w:rFonts w:ascii="Times New Roman" w:eastAsia="Calibri" w:hAnsi="Times New Roman" w:cs="Times New Roman"/>
                <w:sz w:val="24"/>
                <w:szCs w:val="24"/>
              </w:rPr>
            </w:pPr>
            <w:r w:rsidRPr="00E903FC">
              <w:rPr>
                <w:rFonts w:ascii="Times New Roman" w:eastAsia="Calibri" w:hAnsi="Times New Roman" w:cs="Times New Roman"/>
                <w:sz w:val="24"/>
                <w:szCs w:val="24"/>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FD0F39" w14:textId="77777777" w:rsidR="00E903FC" w:rsidRPr="00E903FC" w:rsidRDefault="00E903FC" w:rsidP="00FA6A8E">
            <w:pPr>
              <w:autoSpaceDE w:val="0"/>
              <w:autoSpaceDN w:val="0"/>
              <w:adjustRightInd w:val="0"/>
              <w:jc w:val="center"/>
              <w:rPr>
                <w:rFonts w:ascii="Times New Roman" w:eastAsia="Calibri" w:hAnsi="Times New Roman" w:cs="Times New Roman"/>
                <w:sz w:val="24"/>
                <w:szCs w:val="24"/>
              </w:rPr>
            </w:pPr>
            <w:r w:rsidRPr="00E903FC">
              <w:rPr>
                <w:rFonts w:ascii="Times New Roman" w:eastAsia="Calibri" w:hAnsi="Times New Roman" w:cs="Times New Roman"/>
                <w:sz w:val="24"/>
                <w:szCs w:val="24"/>
              </w:rPr>
              <w:t>3 272</w:t>
            </w: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3DBA40" w14:textId="77777777" w:rsidR="00E903FC" w:rsidRPr="00E903FC" w:rsidRDefault="00E903FC" w:rsidP="00FA6A8E">
            <w:pPr>
              <w:autoSpaceDE w:val="0"/>
              <w:autoSpaceDN w:val="0"/>
              <w:adjustRightInd w:val="0"/>
              <w:jc w:val="center"/>
              <w:rPr>
                <w:rFonts w:ascii="Times New Roman" w:eastAsia="Calibri" w:hAnsi="Times New Roman" w:cs="Times New Roman"/>
                <w:sz w:val="24"/>
                <w:szCs w:val="24"/>
              </w:rPr>
            </w:pPr>
            <w:r w:rsidRPr="00E903FC">
              <w:rPr>
                <w:rFonts w:ascii="Times New Roman" w:eastAsia="Calibri" w:hAnsi="Times New Roman" w:cs="Times New Roman"/>
                <w:sz w:val="24"/>
                <w:szCs w:val="24"/>
              </w:rPr>
              <w:t>2 308</w:t>
            </w:r>
          </w:p>
        </w:tc>
      </w:tr>
      <w:tr w:rsidR="00E903FC" w:rsidRPr="00E903FC" w14:paraId="3B9A6626" w14:textId="77777777" w:rsidTr="00FA6A8E">
        <w:trPr>
          <w:jc w:val="center"/>
        </w:trPr>
        <w:tc>
          <w:tcPr>
            <w:tcW w:w="1139" w:type="dxa"/>
            <w:tcBorders>
              <w:top w:val="single" w:sz="4" w:space="0" w:color="auto"/>
              <w:left w:val="single" w:sz="4" w:space="0" w:color="auto"/>
              <w:bottom w:val="single" w:sz="4" w:space="0" w:color="auto"/>
              <w:right w:val="single" w:sz="4" w:space="0" w:color="auto"/>
            </w:tcBorders>
            <w:vAlign w:val="center"/>
            <w:hideMark/>
          </w:tcPr>
          <w:p w14:paraId="226D6A8C" w14:textId="77777777" w:rsidR="00E903FC" w:rsidRPr="00E903FC" w:rsidRDefault="00E903FC" w:rsidP="00FA6A8E">
            <w:pPr>
              <w:autoSpaceDE w:val="0"/>
              <w:autoSpaceDN w:val="0"/>
              <w:adjustRightInd w:val="0"/>
              <w:jc w:val="center"/>
              <w:rPr>
                <w:rFonts w:ascii="Times New Roman" w:eastAsia="Calibri" w:hAnsi="Times New Roman" w:cs="Times New Roman"/>
                <w:sz w:val="24"/>
                <w:szCs w:val="24"/>
              </w:rPr>
            </w:pPr>
            <w:r w:rsidRPr="00E903FC">
              <w:rPr>
                <w:rFonts w:ascii="Times New Roman" w:eastAsia="Calibri" w:hAnsi="Times New Roman" w:cs="Times New Roman"/>
                <w:sz w:val="24"/>
                <w:szCs w:val="24"/>
              </w:rPr>
              <w:t>2020 г.</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A9D520D" w14:textId="77777777" w:rsidR="00E903FC" w:rsidRPr="00E903FC" w:rsidRDefault="00E903FC" w:rsidP="00FA6A8E">
            <w:pPr>
              <w:autoSpaceDE w:val="0"/>
              <w:autoSpaceDN w:val="0"/>
              <w:adjustRightInd w:val="0"/>
              <w:jc w:val="center"/>
              <w:rPr>
                <w:rFonts w:ascii="Times New Roman" w:eastAsia="Calibri" w:hAnsi="Times New Roman" w:cs="Times New Roman"/>
                <w:sz w:val="24"/>
                <w:szCs w:val="24"/>
              </w:rPr>
            </w:pPr>
            <w:r w:rsidRPr="00E903FC">
              <w:rPr>
                <w:rFonts w:ascii="Times New Roman" w:eastAsia="Calibri" w:hAnsi="Times New Roman" w:cs="Times New Roman"/>
                <w:sz w:val="24"/>
                <w:szCs w:val="24"/>
              </w:rPr>
              <w:t>4 487</w:t>
            </w:r>
          </w:p>
        </w:tc>
        <w:tc>
          <w:tcPr>
            <w:tcW w:w="1624" w:type="dxa"/>
            <w:tcBorders>
              <w:top w:val="single" w:sz="4" w:space="0" w:color="auto"/>
              <w:left w:val="single" w:sz="4" w:space="0" w:color="auto"/>
              <w:bottom w:val="single" w:sz="4" w:space="0" w:color="auto"/>
              <w:right w:val="single" w:sz="4" w:space="0" w:color="auto"/>
            </w:tcBorders>
            <w:vAlign w:val="center"/>
            <w:hideMark/>
          </w:tcPr>
          <w:p w14:paraId="6061AAB7" w14:textId="77777777" w:rsidR="00E903FC" w:rsidRPr="00E903FC" w:rsidRDefault="00E903FC" w:rsidP="00FA6A8E">
            <w:pPr>
              <w:autoSpaceDE w:val="0"/>
              <w:autoSpaceDN w:val="0"/>
              <w:adjustRightInd w:val="0"/>
              <w:jc w:val="center"/>
              <w:rPr>
                <w:rFonts w:ascii="Times New Roman" w:eastAsia="Calibri" w:hAnsi="Times New Roman" w:cs="Times New Roman"/>
                <w:sz w:val="24"/>
                <w:szCs w:val="24"/>
              </w:rPr>
            </w:pPr>
            <w:r w:rsidRPr="00E903FC">
              <w:rPr>
                <w:rFonts w:ascii="Times New Roman" w:eastAsia="Calibri" w:hAnsi="Times New Roman" w:cs="Times New Roman"/>
                <w:sz w:val="24"/>
                <w:szCs w:val="24"/>
              </w:rPr>
              <w:t>2 040</w:t>
            </w:r>
          </w:p>
        </w:tc>
        <w:tc>
          <w:tcPr>
            <w:tcW w:w="1435" w:type="dxa"/>
            <w:tcBorders>
              <w:top w:val="single" w:sz="4" w:space="0" w:color="auto"/>
              <w:left w:val="single" w:sz="4" w:space="0" w:color="auto"/>
              <w:bottom w:val="single" w:sz="4" w:space="0" w:color="auto"/>
              <w:right w:val="single" w:sz="4" w:space="0" w:color="auto"/>
            </w:tcBorders>
            <w:vAlign w:val="center"/>
            <w:hideMark/>
          </w:tcPr>
          <w:p w14:paraId="1DDF2133" w14:textId="77777777" w:rsidR="00E903FC" w:rsidRPr="00E903FC" w:rsidRDefault="00E903FC" w:rsidP="00FA6A8E">
            <w:pPr>
              <w:autoSpaceDE w:val="0"/>
              <w:autoSpaceDN w:val="0"/>
              <w:adjustRightInd w:val="0"/>
              <w:jc w:val="center"/>
              <w:rPr>
                <w:rFonts w:ascii="Times New Roman" w:eastAsia="Calibri" w:hAnsi="Times New Roman" w:cs="Times New Roman"/>
                <w:sz w:val="24"/>
                <w:szCs w:val="24"/>
              </w:rPr>
            </w:pPr>
            <w:r w:rsidRPr="00E903FC">
              <w:rPr>
                <w:rFonts w:ascii="Times New Roman" w:eastAsia="Calibri" w:hAnsi="Times New Roman" w:cs="Times New Roman"/>
                <w:sz w:val="24"/>
                <w:szCs w:val="24"/>
              </w:rPr>
              <w:t>208</w:t>
            </w:r>
          </w:p>
        </w:tc>
        <w:tc>
          <w:tcPr>
            <w:tcW w:w="1565" w:type="dxa"/>
            <w:tcBorders>
              <w:top w:val="single" w:sz="4" w:space="0" w:color="auto"/>
              <w:left w:val="single" w:sz="4" w:space="0" w:color="auto"/>
              <w:bottom w:val="single" w:sz="4" w:space="0" w:color="auto"/>
              <w:right w:val="single" w:sz="4" w:space="0" w:color="auto"/>
            </w:tcBorders>
            <w:vAlign w:val="center"/>
            <w:hideMark/>
          </w:tcPr>
          <w:p w14:paraId="14095887" w14:textId="77777777" w:rsidR="00E903FC" w:rsidRPr="00E903FC" w:rsidRDefault="00E903FC" w:rsidP="00FA6A8E">
            <w:pPr>
              <w:autoSpaceDE w:val="0"/>
              <w:autoSpaceDN w:val="0"/>
              <w:adjustRightInd w:val="0"/>
              <w:jc w:val="center"/>
              <w:rPr>
                <w:rFonts w:ascii="Times New Roman" w:eastAsia="Calibri" w:hAnsi="Times New Roman" w:cs="Times New Roman"/>
                <w:sz w:val="24"/>
                <w:szCs w:val="24"/>
              </w:rPr>
            </w:pPr>
            <w:r w:rsidRPr="00E903FC">
              <w:rPr>
                <w:rFonts w:ascii="Times New Roman" w:eastAsia="Calibri" w:hAnsi="Times New Roman" w:cs="Times New Roman"/>
                <w:sz w:val="24"/>
                <w:szCs w:val="24"/>
              </w:rPr>
              <w:t>0</w:t>
            </w:r>
          </w:p>
        </w:tc>
        <w:tc>
          <w:tcPr>
            <w:tcW w:w="1034" w:type="dxa"/>
            <w:tcBorders>
              <w:top w:val="single" w:sz="4" w:space="0" w:color="auto"/>
              <w:left w:val="single" w:sz="4" w:space="0" w:color="auto"/>
              <w:bottom w:val="single" w:sz="4" w:space="0" w:color="auto"/>
              <w:right w:val="single" w:sz="4" w:space="0" w:color="auto"/>
            </w:tcBorders>
            <w:vAlign w:val="center"/>
            <w:hideMark/>
          </w:tcPr>
          <w:p w14:paraId="4595F2F5" w14:textId="77777777" w:rsidR="00E903FC" w:rsidRPr="00E903FC" w:rsidRDefault="00E903FC" w:rsidP="00FA6A8E">
            <w:pPr>
              <w:autoSpaceDE w:val="0"/>
              <w:autoSpaceDN w:val="0"/>
              <w:adjustRightInd w:val="0"/>
              <w:jc w:val="center"/>
              <w:rPr>
                <w:rFonts w:ascii="Times New Roman" w:eastAsia="Calibri" w:hAnsi="Times New Roman" w:cs="Times New Roman"/>
                <w:sz w:val="24"/>
                <w:szCs w:val="24"/>
              </w:rPr>
            </w:pPr>
            <w:r w:rsidRPr="00E903FC">
              <w:rPr>
                <w:rFonts w:ascii="Times New Roman" w:eastAsia="Calibri" w:hAnsi="Times New Roman" w:cs="Times New Roman"/>
                <w:sz w:val="24"/>
                <w:szCs w:val="24"/>
              </w:rPr>
              <w:t>3 547</w:t>
            </w:r>
          </w:p>
        </w:tc>
        <w:tc>
          <w:tcPr>
            <w:tcW w:w="1195" w:type="dxa"/>
            <w:tcBorders>
              <w:top w:val="single" w:sz="4" w:space="0" w:color="auto"/>
              <w:left w:val="single" w:sz="4" w:space="0" w:color="auto"/>
              <w:bottom w:val="single" w:sz="4" w:space="0" w:color="auto"/>
              <w:right w:val="single" w:sz="4" w:space="0" w:color="auto"/>
            </w:tcBorders>
            <w:vAlign w:val="center"/>
            <w:hideMark/>
          </w:tcPr>
          <w:p w14:paraId="24967886" w14:textId="77777777" w:rsidR="00E903FC" w:rsidRPr="00E903FC" w:rsidRDefault="00E903FC" w:rsidP="00FA6A8E">
            <w:pPr>
              <w:autoSpaceDE w:val="0"/>
              <w:autoSpaceDN w:val="0"/>
              <w:adjustRightInd w:val="0"/>
              <w:jc w:val="center"/>
              <w:rPr>
                <w:rFonts w:ascii="Times New Roman" w:eastAsia="Calibri" w:hAnsi="Times New Roman" w:cs="Times New Roman"/>
                <w:sz w:val="24"/>
                <w:szCs w:val="24"/>
              </w:rPr>
            </w:pPr>
            <w:r w:rsidRPr="00E903FC">
              <w:rPr>
                <w:rFonts w:ascii="Times New Roman" w:eastAsia="Calibri" w:hAnsi="Times New Roman" w:cs="Times New Roman"/>
                <w:sz w:val="24"/>
                <w:szCs w:val="24"/>
              </w:rPr>
              <w:t>2 761</w:t>
            </w:r>
          </w:p>
        </w:tc>
      </w:tr>
    </w:tbl>
    <w:p w14:paraId="2D4DA5DC" w14:textId="77777777" w:rsidR="00E903FC" w:rsidRPr="00E903FC" w:rsidRDefault="00E903FC" w:rsidP="00E903FC">
      <w:pPr>
        <w:spacing w:after="0" w:line="240" w:lineRule="auto"/>
        <w:jc w:val="both"/>
        <w:rPr>
          <w:rFonts w:ascii="Times New Roman" w:eastAsia="Calibri" w:hAnsi="Times New Roman" w:cs="Times New Roman"/>
          <w:sz w:val="24"/>
          <w:szCs w:val="24"/>
        </w:rPr>
      </w:pPr>
    </w:p>
    <w:p w14:paraId="16E0AB89" w14:textId="77777777" w:rsidR="00E903FC" w:rsidRPr="00E903FC" w:rsidRDefault="00E903FC" w:rsidP="00E903FC">
      <w:pPr>
        <w:spacing w:after="0" w:line="240" w:lineRule="auto"/>
        <w:jc w:val="both"/>
        <w:rPr>
          <w:rFonts w:ascii="Times New Roman" w:eastAsia="Calibri" w:hAnsi="Times New Roman" w:cs="Times New Roman"/>
          <w:sz w:val="24"/>
          <w:szCs w:val="24"/>
        </w:rPr>
      </w:pPr>
    </w:p>
    <w:p w14:paraId="44216C9A" w14:textId="77777777" w:rsidR="00E903FC" w:rsidRPr="00E903FC" w:rsidRDefault="00E903FC" w:rsidP="00E903FC">
      <w:pPr>
        <w:spacing w:after="0" w:line="240" w:lineRule="auto"/>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 xml:space="preserve">- През отчетната 2022г. са наблюдавани общо 4 582 броя досъдебни производства, включително прекратените по давност. Сравнението сочи </w:t>
      </w:r>
      <w:r w:rsidRPr="00E903FC">
        <w:rPr>
          <w:rFonts w:ascii="Times New Roman" w:eastAsia="Calibri" w:hAnsi="Times New Roman" w:cs="Times New Roman"/>
          <w:sz w:val="28"/>
          <w:szCs w:val="28"/>
        </w:rPr>
        <w:lastRenderedPageBreak/>
        <w:t>увеличение на наблюдаваните ДП спрямо 2020 г. с 95 броя  и намаление спрямо 2021 г.- с 273 броя.</w:t>
      </w:r>
    </w:p>
    <w:p w14:paraId="515034DF" w14:textId="77777777" w:rsidR="00E903FC" w:rsidRPr="00E903FC" w:rsidRDefault="00E903FC" w:rsidP="00E903FC">
      <w:pPr>
        <w:spacing w:after="0" w:line="240" w:lineRule="auto"/>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 xml:space="preserve">- </w:t>
      </w:r>
      <w:r w:rsidRPr="00E903FC">
        <w:rPr>
          <w:rFonts w:ascii="Times New Roman" w:eastAsia="Calibri" w:hAnsi="Times New Roman" w:cs="Times New Roman"/>
          <w:sz w:val="28"/>
          <w:szCs w:val="28"/>
          <w:u w:val="single"/>
        </w:rPr>
        <w:t>Наблюдаваните</w:t>
      </w:r>
      <w:r w:rsidRPr="00E903FC">
        <w:rPr>
          <w:rFonts w:ascii="Times New Roman" w:eastAsia="Calibri" w:hAnsi="Times New Roman" w:cs="Times New Roman"/>
          <w:sz w:val="28"/>
          <w:szCs w:val="28"/>
        </w:rPr>
        <w:t xml:space="preserve"> досъдебни производства, без прекратените по давност, са били 3  233 броя. </w:t>
      </w:r>
    </w:p>
    <w:p w14:paraId="0D09428E" w14:textId="77777777" w:rsidR="00E903FC" w:rsidRPr="00E903FC" w:rsidRDefault="00E903FC" w:rsidP="00E903FC">
      <w:pPr>
        <w:spacing w:after="0" w:line="240" w:lineRule="auto"/>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 xml:space="preserve">- </w:t>
      </w:r>
      <w:r w:rsidRPr="00E903FC">
        <w:rPr>
          <w:rFonts w:ascii="Times New Roman" w:eastAsia="Calibri" w:hAnsi="Times New Roman" w:cs="Times New Roman"/>
          <w:sz w:val="28"/>
          <w:szCs w:val="28"/>
          <w:u w:val="single"/>
        </w:rPr>
        <w:t>Новообразуваните</w:t>
      </w:r>
      <w:r w:rsidRPr="00E903FC">
        <w:rPr>
          <w:rFonts w:ascii="Times New Roman" w:eastAsia="Calibri" w:hAnsi="Times New Roman" w:cs="Times New Roman"/>
          <w:sz w:val="28"/>
          <w:szCs w:val="28"/>
        </w:rPr>
        <w:t xml:space="preserve"> досъдебни производства през отчетния период са 1 806 броя.</w:t>
      </w:r>
    </w:p>
    <w:p w14:paraId="374AF882" w14:textId="77777777" w:rsidR="00E903FC" w:rsidRPr="00E903FC"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Намалението по този показател е със 117 броя спрямо предходния период и с   234 броя спрямо 2020 г.</w:t>
      </w:r>
    </w:p>
    <w:p w14:paraId="522C7289" w14:textId="77777777" w:rsidR="00E903FC" w:rsidRPr="00E903FC"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 xml:space="preserve">Пострадалите физически лица по новообразуваните досъдебни производства са 1 062, а ощетените юридически лица – 138. Непълнолетните пострадали са 34 лица, а малолетните – 30 лица. Пострадалите мъже са общо 658, а пострадалите жени са общо 404. </w:t>
      </w:r>
    </w:p>
    <w:p w14:paraId="0E32CD69" w14:textId="77777777" w:rsidR="00E903FC" w:rsidRPr="00E903FC" w:rsidRDefault="00E903FC" w:rsidP="00E903FC">
      <w:pPr>
        <w:spacing w:after="0" w:line="240" w:lineRule="auto"/>
        <w:jc w:val="both"/>
        <w:rPr>
          <w:rFonts w:ascii="Times New Roman" w:eastAsia="Calibri" w:hAnsi="Times New Roman" w:cs="Times New Roman"/>
          <w:sz w:val="28"/>
          <w:szCs w:val="28"/>
        </w:rPr>
      </w:pPr>
    </w:p>
    <w:p w14:paraId="4DFEEE3D" w14:textId="77777777" w:rsidR="00E903FC" w:rsidRPr="00E903FC" w:rsidRDefault="00E903FC" w:rsidP="00FA6A8E">
      <w:pPr>
        <w:spacing w:after="0" w:line="240" w:lineRule="auto"/>
        <w:ind w:firstLine="708"/>
        <w:jc w:val="both"/>
        <w:rPr>
          <w:rFonts w:ascii="Times New Roman" w:eastAsia="Calibri" w:hAnsi="Times New Roman" w:cs="Times New Roman"/>
          <w:b/>
          <w:i/>
          <w:sz w:val="28"/>
          <w:szCs w:val="28"/>
        </w:rPr>
      </w:pPr>
      <w:r w:rsidRPr="00E903FC">
        <w:rPr>
          <w:rFonts w:ascii="Times New Roman" w:eastAsia="Calibri" w:hAnsi="Times New Roman" w:cs="Times New Roman"/>
          <w:b/>
          <w:i/>
          <w:sz w:val="28"/>
          <w:szCs w:val="28"/>
        </w:rPr>
        <w:t>По видове ДП:</w:t>
      </w:r>
    </w:p>
    <w:p w14:paraId="480683BC" w14:textId="77777777" w:rsidR="00E903FC" w:rsidRPr="00E903FC" w:rsidRDefault="00E903FC" w:rsidP="00E903FC">
      <w:pPr>
        <w:spacing w:after="0" w:line="240" w:lineRule="auto"/>
        <w:jc w:val="both"/>
        <w:rPr>
          <w:rFonts w:ascii="Times New Roman" w:eastAsia="Calibri" w:hAnsi="Times New Roman" w:cs="Times New Roman"/>
          <w:b/>
          <w:i/>
          <w:sz w:val="28"/>
          <w:szCs w:val="28"/>
        </w:rPr>
      </w:pPr>
    </w:p>
    <w:p w14:paraId="3CF89A84" w14:textId="77777777" w:rsidR="00E903FC" w:rsidRPr="00E903FC" w:rsidRDefault="00E903FC" w:rsidP="00E903FC">
      <w:pPr>
        <w:numPr>
          <w:ilvl w:val="0"/>
          <w:numId w:val="37"/>
        </w:numPr>
        <w:spacing w:after="0" w:line="240" w:lineRule="auto"/>
        <w:ind w:left="0" w:firstLine="709"/>
        <w:jc w:val="both"/>
        <w:rPr>
          <w:rFonts w:ascii="Times New Roman" w:eastAsia="Calibri" w:hAnsi="Times New Roman" w:cs="Times New Roman"/>
          <w:sz w:val="28"/>
          <w:szCs w:val="28"/>
        </w:rPr>
      </w:pPr>
      <w:r w:rsidRPr="00E903FC">
        <w:rPr>
          <w:rFonts w:ascii="Times New Roman" w:eastAsia="Calibri" w:hAnsi="Times New Roman" w:cs="Times New Roman"/>
          <w:sz w:val="28"/>
          <w:szCs w:val="28"/>
          <w:u w:val="single"/>
        </w:rPr>
        <w:t>Бързи производства</w:t>
      </w:r>
      <w:r w:rsidRPr="00E903FC">
        <w:rPr>
          <w:rFonts w:ascii="Times New Roman" w:eastAsia="Calibri" w:hAnsi="Times New Roman" w:cs="Times New Roman"/>
          <w:sz w:val="28"/>
          <w:szCs w:val="28"/>
        </w:rPr>
        <w:t>: Наблюдавани са 225 броя бързи производства, от които новообразувани са 225 броя. По тях няма разпореждане на прокурор по чл.356, ал.2 от НПК. По 43 броя БП прокурорът  е разпоредил разследване по общия ред, поради фактическа и правна сложност. При бързите производства се наблюдава  увеличение спрямо 2021г. и 2020г. Следва да се отбележи, че бързите производства  се провеждат по ДП, които не се характеризират с правна и фактическа сложност и изискват събиране на малък обем от доказателства.</w:t>
      </w:r>
    </w:p>
    <w:p w14:paraId="284C7DEA" w14:textId="77777777" w:rsidR="00E903FC" w:rsidRPr="00E903FC" w:rsidRDefault="00E903FC" w:rsidP="00E903FC">
      <w:pPr>
        <w:numPr>
          <w:ilvl w:val="0"/>
          <w:numId w:val="37"/>
        </w:numPr>
        <w:spacing w:after="0" w:line="240" w:lineRule="auto"/>
        <w:ind w:left="0" w:firstLine="709"/>
        <w:jc w:val="both"/>
        <w:rPr>
          <w:rFonts w:ascii="Times New Roman" w:eastAsia="Calibri" w:hAnsi="Times New Roman" w:cs="Times New Roman"/>
          <w:sz w:val="28"/>
          <w:szCs w:val="28"/>
        </w:rPr>
      </w:pPr>
      <w:r w:rsidRPr="00E903FC">
        <w:rPr>
          <w:rFonts w:ascii="Times New Roman" w:eastAsia="Calibri" w:hAnsi="Times New Roman" w:cs="Times New Roman"/>
          <w:sz w:val="28"/>
          <w:szCs w:val="28"/>
          <w:u w:val="single"/>
        </w:rPr>
        <w:t>Незабавни производства</w:t>
      </w:r>
      <w:r w:rsidRPr="00E903FC">
        <w:rPr>
          <w:rFonts w:ascii="Times New Roman" w:eastAsia="Calibri" w:hAnsi="Times New Roman" w:cs="Times New Roman"/>
          <w:sz w:val="28"/>
          <w:szCs w:val="28"/>
        </w:rPr>
        <w:t>: През 2022г. не са водени незабавни производства.</w:t>
      </w:r>
    </w:p>
    <w:p w14:paraId="19874A2F" w14:textId="77777777" w:rsidR="00E903FC" w:rsidRPr="00E903FC" w:rsidRDefault="00E903FC" w:rsidP="00E903FC">
      <w:pPr>
        <w:numPr>
          <w:ilvl w:val="0"/>
          <w:numId w:val="37"/>
        </w:numPr>
        <w:spacing w:after="0" w:line="240" w:lineRule="auto"/>
        <w:ind w:left="0" w:firstLine="709"/>
        <w:jc w:val="both"/>
        <w:rPr>
          <w:rFonts w:ascii="Times New Roman" w:eastAsia="Calibri" w:hAnsi="Times New Roman" w:cs="Times New Roman"/>
          <w:sz w:val="28"/>
          <w:szCs w:val="28"/>
        </w:rPr>
      </w:pPr>
      <w:r w:rsidRPr="00E903FC">
        <w:rPr>
          <w:rFonts w:ascii="Times New Roman" w:eastAsia="Calibri" w:hAnsi="Times New Roman" w:cs="Times New Roman"/>
          <w:sz w:val="28"/>
          <w:szCs w:val="28"/>
          <w:u w:val="single"/>
        </w:rPr>
        <w:t>По общия ред</w:t>
      </w:r>
      <w:r w:rsidRPr="00E903FC">
        <w:rPr>
          <w:rFonts w:ascii="Times New Roman" w:eastAsia="Calibri" w:hAnsi="Times New Roman" w:cs="Times New Roman"/>
          <w:sz w:val="28"/>
          <w:szCs w:val="28"/>
        </w:rPr>
        <w:t xml:space="preserve"> са наблюдавани 3  051 броя досъдебни производства, от които новообразувани са 1 581 броя досъдебни производства, разследвани по общия ред.</w:t>
      </w:r>
    </w:p>
    <w:p w14:paraId="7635AE2F" w14:textId="77777777" w:rsidR="00E903FC" w:rsidRPr="00E903FC" w:rsidRDefault="00E903FC" w:rsidP="00E903FC">
      <w:pPr>
        <w:spacing w:after="0" w:line="240" w:lineRule="auto"/>
        <w:jc w:val="both"/>
        <w:rPr>
          <w:rFonts w:ascii="Times New Roman" w:eastAsia="Calibri" w:hAnsi="Times New Roman" w:cs="Times New Roman"/>
          <w:b/>
          <w:i/>
          <w:sz w:val="28"/>
          <w:szCs w:val="28"/>
        </w:rPr>
      </w:pPr>
    </w:p>
    <w:p w14:paraId="04683B5C" w14:textId="77777777" w:rsidR="00E903FC" w:rsidRPr="00E903FC" w:rsidRDefault="00E903FC" w:rsidP="00E903FC">
      <w:pPr>
        <w:spacing w:after="0" w:line="240" w:lineRule="auto"/>
        <w:jc w:val="both"/>
        <w:rPr>
          <w:rFonts w:ascii="Times New Roman" w:eastAsia="Calibri" w:hAnsi="Times New Roman" w:cs="Times New Roman"/>
          <w:b/>
          <w:i/>
          <w:sz w:val="28"/>
          <w:szCs w:val="28"/>
        </w:rPr>
      </w:pPr>
    </w:p>
    <w:p w14:paraId="2DB9FCAF" w14:textId="77777777" w:rsidR="00E903FC" w:rsidRPr="00E903FC" w:rsidRDefault="00E903FC" w:rsidP="00FA6A8E">
      <w:pPr>
        <w:spacing w:after="0" w:line="240" w:lineRule="auto"/>
        <w:ind w:firstLine="708"/>
        <w:jc w:val="both"/>
        <w:rPr>
          <w:rFonts w:ascii="Times New Roman" w:eastAsia="Calibri" w:hAnsi="Times New Roman" w:cs="Times New Roman"/>
          <w:b/>
          <w:i/>
          <w:sz w:val="28"/>
          <w:szCs w:val="28"/>
        </w:rPr>
      </w:pPr>
      <w:r w:rsidRPr="00E903FC">
        <w:rPr>
          <w:rFonts w:ascii="Times New Roman" w:eastAsia="Calibri" w:hAnsi="Times New Roman" w:cs="Times New Roman"/>
          <w:b/>
          <w:i/>
          <w:sz w:val="28"/>
          <w:szCs w:val="28"/>
        </w:rPr>
        <w:t>По видове разследващи органи:</w:t>
      </w:r>
    </w:p>
    <w:p w14:paraId="531F8B42" w14:textId="77777777" w:rsidR="00E903FC" w:rsidRPr="00E903FC" w:rsidRDefault="00E903FC" w:rsidP="00E903FC">
      <w:pPr>
        <w:tabs>
          <w:tab w:val="left" w:pos="142"/>
        </w:tabs>
        <w:spacing w:after="0" w:line="240" w:lineRule="auto"/>
        <w:jc w:val="both"/>
        <w:rPr>
          <w:rFonts w:ascii="Times New Roman" w:eastAsia="Calibri" w:hAnsi="Times New Roman" w:cs="Times New Roman"/>
          <w:b/>
          <w:i/>
          <w:sz w:val="28"/>
          <w:szCs w:val="28"/>
        </w:rPr>
      </w:pPr>
    </w:p>
    <w:p w14:paraId="7C2E39F7" w14:textId="77777777" w:rsidR="00E903FC" w:rsidRPr="00E903FC" w:rsidRDefault="00E903FC" w:rsidP="00E903FC">
      <w:pPr>
        <w:numPr>
          <w:ilvl w:val="0"/>
          <w:numId w:val="37"/>
        </w:numPr>
        <w:tabs>
          <w:tab w:val="left" w:pos="142"/>
        </w:tabs>
        <w:spacing w:after="0" w:line="240" w:lineRule="auto"/>
        <w:ind w:left="0" w:firstLine="709"/>
        <w:jc w:val="both"/>
        <w:rPr>
          <w:rFonts w:ascii="Times New Roman" w:eastAsia="Calibri" w:hAnsi="Times New Roman" w:cs="Times New Roman"/>
          <w:sz w:val="28"/>
          <w:szCs w:val="28"/>
        </w:rPr>
      </w:pPr>
      <w:r w:rsidRPr="00E903FC">
        <w:rPr>
          <w:rFonts w:ascii="Times New Roman" w:eastAsia="Calibri" w:hAnsi="Times New Roman" w:cs="Times New Roman"/>
          <w:sz w:val="28"/>
          <w:szCs w:val="28"/>
          <w:u w:val="single"/>
        </w:rPr>
        <w:t>От разследващи полицаи</w:t>
      </w:r>
      <w:r w:rsidRPr="00E903FC">
        <w:rPr>
          <w:rFonts w:ascii="Times New Roman" w:eastAsia="Calibri" w:hAnsi="Times New Roman" w:cs="Times New Roman"/>
          <w:sz w:val="28"/>
          <w:szCs w:val="28"/>
        </w:rPr>
        <w:t xml:space="preserve"> през отчетния период са разследвани по общия ред  2 890 броя досъдебни производства /разследвания на производства, без прекратените по давност/, от които новообразуваните са  1 555 броя досъдебни производства. През 2021г. по общия ред са разследвани 3 051 броя  досъдебни производства, а през 2020г. от разследващи полицаи са разследвани 3 373 броя досъдебни производства. Налице е намаление спрямо 2021г. и 2020 г. съответно </w:t>
      </w:r>
      <w:r w:rsidRPr="00E903FC">
        <w:rPr>
          <w:rFonts w:ascii="Times New Roman" w:eastAsia="Calibri" w:hAnsi="Times New Roman" w:cs="Times New Roman"/>
          <w:b/>
          <w:sz w:val="28"/>
          <w:szCs w:val="28"/>
        </w:rPr>
        <w:t xml:space="preserve"> </w:t>
      </w:r>
      <w:r w:rsidRPr="00E903FC">
        <w:rPr>
          <w:rFonts w:ascii="Times New Roman" w:eastAsia="Calibri" w:hAnsi="Times New Roman" w:cs="Times New Roman"/>
          <w:sz w:val="28"/>
          <w:szCs w:val="28"/>
        </w:rPr>
        <w:t>с 161 броя  и  с 483 броя.</w:t>
      </w:r>
    </w:p>
    <w:p w14:paraId="1472B484" w14:textId="77777777" w:rsidR="00E903FC" w:rsidRPr="00E903FC" w:rsidRDefault="00E903FC" w:rsidP="00E903FC">
      <w:pPr>
        <w:numPr>
          <w:ilvl w:val="0"/>
          <w:numId w:val="37"/>
        </w:numPr>
        <w:tabs>
          <w:tab w:val="left" w:pos="142"/>
        </w:tabs>
        <w:spacing w:after="0" w:line="240" w:lineRule="auto"/>
        <w:ind w:left="0" w:firstLine="709"/>
        <w:jc w:val="both"/>
        <w:rPr>
          <w:rFonts w:ascii="Times New Roman" w:eastAsia="Calibri" w:hAnsi="Times New Roman" w:cs="Times New Roman"/>
          <w:sz w:val="28"/>
          <w:szCs w:val="28"/>
        </w:rPr>
      </w:pPr>
      <w:r w:rsidRPr="00E903FC">
        <w:rPr>
          <w:rFonts w:ascii="Times New Roman" w:eastAsia="Calibri" w:hAnsi="Times New Roman" w:cs="Times New Roman"/>
          <w:sz w:val="28"/>
          <w:szCs w:val="28"/>
          <w:u w:val="single"/>
        </w:rPr>
        <w:t>От следователи</w:t>
      </w:r>
      <w:r w:rsidRPr="00E903FC">
        <w:rPr>
          <w:rFonts w:ascii="Times New Roman" w:eastAsia="Calibri" w:hAnsi="Times New Roman" w:cs="Times New Roman"/>
          <w:sz w:val="28"/>
          <w:szCs w:val="28"/>
        </w:rPr>
        <w:t xml:space="preserve"> по общия ред са разследвани 161 броя досъдебни производства (разследвания на производства, без прекратени по давност), от които новообразувани са 26 броя досъдебни производства. През отчетния период по реда на чл.194, ал.1, т.4 от НПК на следовател са възложени 36 броя досъдебни производства. </w:t>
      </w:r>
    </w:p>
    <w:p w14:paraId="0F83E221" w14:textId="77777777" w:rsidR="00E903FC" w:rsidRPr="00E903FC" w:rsidRDefault="00E903FC" w:rsidP="00E903FC">
      <w:pPr>
        <w:spacing w:after="0" w:line="240" w:lineRule="auto"/>
        <w:ind w:firstLine="851"/>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 xml:space="preserve">През 2021г. от следователи са разследвани 151 броя досъдебни производства, а през 2020 г. - 158 броя досъдебни производства, налице е </w:t>
      </w:r>
      <w:r w:rsidRPr="00E903FC">
        <w:rPr>
          <w:rFonts w:ascii="Times New Roman" w:eastAsia="Calibri" w:hAnsi="Times New Roman" w:cs="Times New Roman"/>
          <w:sz w:val="28"/>
          <w:szCs w:val="28"/>
        </w:rPr>
        <w:lastRenderedPageBreak/>
        <w:t>тенденция към увеличаване на досъдебните производства, разследвани от следователи през 2022г, в сравнение с предходните две години.</w:t>
      </w:r>
    </w:p>
    <w:p w14:paraId="5186CBFA" w14:textId="77777777" w:rsidR="00E903FC" w:rsidRPr="00E903FC" w:rsidRDefault="00E903FC" w:rsidP="00E903FC">
      <w:pPr>
        <w:numPr>
          <w:ilvl w:val="0"/>
          <w:numId w:val="37"/>
        </w:numPr>
        <w:spacing w:after="0" w:line="240" w:lineRule="auto"/>
        <w:ind w:left="0" w:firstLine="851"/>
        <w:jc w:val="both"/>
        <w:rPr>
          <w:rFonts w:ascii="Times New Roman" w:eastAsia="Calibri" w:hAnsi="Times New Roman" w:cs="Times New Roman"/>
          <w:sz w:val="28"/>
          <w:szCs w:val="28"/>
          <w:u w:val="single"/>
        </w:rPr>
      </w:pPr>
      <w:r w:rsidRPr="00E903FC">
        <w:rPr>
          <w:rFonts w:ascii="Times New Roman" w:eastAsia="Calibri" w:hAnsi="Times New Roman" w:cs="Times New Roman"/>
          <w:sz w:val="28"/>
          <w:szCs w:val="28"/>
          <w:u w:val="single"/>
        </w:rPr>
        <w:t xml:space="preserve">От прокурор: </w:t>
      </w:r>
    </w:p>
    <w:p w14:paraId="3B4C144E" w14:textId="77777777" w:rsidR="00E903FC" w:rsidRPr="00E903FC" w:rsidRDefault="00E903FC" w:rsidP="00E903FC">
      <w:pPr>
        <w:spacing w:after="0" w:line="240" w:lineRule="auto"/>
        <w:ind w:firstLine="851"/>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 xml:space="preserve">През 2022 г. няма досъдебни производства, които да са разследвани от прокурор. </w:t>
      </w:r>
    </w:p>
    <w:p w14:paraId="70B3D00C" w14:textId="77777777" w:rsidR="00E903FC" w:rsidRPr="00E903FC" w:rsidRDefault="00E903FC" w:rsidP="00E903FC">
      <w:pPr>
        <w:numPr>
          <w:ilvl w:val="0"/>
          <w:numId w:val="37"/>
        </w:numPr>
        <w:spacing w:after="0" w:line="240" w:lineRule="auto"/>
        <w:contextualSpacing/>
        <w:jc w:val="both"/>
        <w:rPr>
          <w:rFonts w:ascii="Times New Roman" w:eastAsia="Calibri" w:hAnsi="Times New Roman" w:cs="Times New Roman"/>
          <w:sz w:val="28"/>
          <w:szCs w:val="28"/>
          <w:u w:val="single"/>
        </w:rPr>
      </w:pPr>
      <w:r w:rsidRPr="00E903FC">
        <w:rPr>
          <w:rFonts w:ascii="Times New Roman" w:eastAsia="Calibri" w:hAnsi="Times New Roman" w:cs="Times New Roman"/>
          <w:sz w:val="28"/>
          <w:szCs w:val="28"/>
          <w:u w:val="single"/>
        </w:rPr>
        <w:t>От митнически инспектор:</w:t>
      </w:r>
    </w:p>
    <w:p w14:paraId="3D4142C9" w14:textId="77777777" w:rsidR="00E903FC" w:rsidRPr="00E903FC" w:rsidRDefault="00E903FC" w:rsidP="00E903FC">
      <w:pPr>
        <w:spacing w:after="0" w:line="240" w:lineRule="auto"/>
        <w:ind w:firstLine="851"/>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 xml:space="preserve">През 2022г. няма образувани досъдебни производство, разследвани по общия ред, разследването по които да е водено от разследващ митнически инспектор. За сравнение през 2021 г. едно досъдебно производство е разследвано от разследващ митнически инспектор, а през 2020 г. едно досъдебно производство е разследвано от разследващ митнически инспектор, което е новообразувано. </w:t>
      </w:r>
    </w:p>
    <w:p w14:paraId="0BABFE8D" w14:textId="77777777" w:rsidR="00E903FC" w:rsidRPr="00E903FC" w:rsidRDefault="00E903FC" w:rsidP="00E903FC">
      <w:pPr>
        <w:spacing w:after="0" w:line="240" w:lineRule="auto"/>
        <w:ind w:firstLine="851"/>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През отчетния период няма внесени искания от прокурор по чл. 72 НПК за обезпечаване на конфискация, глоба и отнемане на вещи в полза на държавата, не са налице искания и по ЗПИПАОИ.</w:t>
      </w:r>
    </w:p>
    <w:p w14:paraId="60511F6B" w14:textId="77777777" w:rsidR="00E903FC" w:rsidRPr="00E903FC" w:rsidRDefault="00E903FC" w:rsidP="00E903FC">
      <w:pPr>
        <w:spacing w:after="0" w:line="240" w:lineRule="auto"/>
        <w:jc w:val="both"/>
        <w:rPr>
          <w:rFonts w:ascii="Times New Roman" w:eastAsia="Calibri" w:hAnsi="Times New Roman" w:cs="Times New Roman"/>
          <w:sz w:val="28"/>
          <w:szCs w:val="28"/>
        </w:rPr>
      </w:pPr>
    </w:p>
    <w:p w14:paraId="01E197D4" w14:textId="77777777" w:rsidR="00E903FC" w:rsidRPr="00E903FC" w:rsidRDefault="00E903FC" w:rsidP="00FA6A8E">
      <w:pPr>
        <w:spacing w:after="0" w:line="240" w:lineRule="auto"/>
        <w:ind w:firstLine="708"/>
        <w:jc w:val="both"/>
        <w:rPr>
          <w:rFonts w:ascii="Times New Roman" w:eastAsia="Calibri" w:hAnsi="Times New Roman" w:cs="Times New Roman"/>
          <w:b/>
          <w:i/>
          <w:sz w:val="28"/>
          <w:szCs w:val="28"/>
        </w:rPr>
      </w:pPr>
      <w:r w:rsidRPr="00E903FC">
        <w:rPr>
          <w:rFonts w:ascii="Times New Roman" w:eastAsia="Calibri" w:hAnsi="Times New Roman" w:cs="Times New Roman"/>
          <w:b/>
          <w:i/>
          <w:sz w:val="28"/>
          <w:szCs w:val="28"/>
        </w:rPr>
        <w:t>Структура на досъдебните производства, съобразно систематиката на Наказателния кодекс:</w:t>
      </w:r>
    </w:p>
    <w:p w14:paraId="468A5D88" w14:textId="77777777" w:rsidR="00E903FC" w:rsidRPr="00E903FC" w:rsidRDefault="00E903FC" w:rsidP="00E903FC">
      <w:pPr>
        <w:spacing w:after="0" w:line="240" w:lineRule="auto"/>
        <w:jc w:val="both"/>
        <w:rPr>
          <w:rFonts w:ascii="Times New Roman" w:eastAsia="Calibri" w:hAnsi="Times New Roman" w:cs="Times New Roman"/>
          <w:b/>
          <w:i/>
          <w:sz w:val="28"/>
          <w:szCs w:val="28"/>
        </w:rPr>
      </w:pPr>
    </w:p>
    <w:p w14:paraId="4533091E" w14:textId="77777777" w:rsidR="00E903FC" w:rsidRPr="00E903FC" w:rsidRDefault="00E903FC" w:rsidP="00E903FC">
      <w:pPr>
        <w:spacing w:after="0" w:line="240" w:lineRule="auto"/>
        <w:ind w:firstLine="709"/>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През отчетния период в района на Окръжна прокуратура - Монтана новообразуваните досъдебни производства са 1 806 броя.</w:t>
      </w:r>
    </w:p>
    <w:p w14:paraId="51F1A528" w14:textId="77777777" w:rsidR="00E903FC" w:rsidRPr="00E903FC" w:rsidRDefault="00E903FC" w:rsidP="00E903FC">
      <w:pPr>
        <w:spacing w:after="0" w:line="240" w:lineRule="auto"/>
        <w:ind w:firstLine="709"/>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В съда са внесени 669 броя досъдебни производства. Прокурорските актове, внесени в съда, са 678 броя, по отношение на 727  лица. Внесени са 420 обвинителни акта по отношение на 469 обвиняеми лица. Изготвени са 171 броя споразумения за 171 броя обвиняеми лица и 87 броя предложения по реда на чл.78а от НК за 87 обвиняеми лица.</w:t>
      </w:r>
    </w:p>
    <w:p w14:paraId="3E59C087" w14:textId="77777777" w:rsidR="00E903FC" w:rsidRPr="00E903FC" w:rsidRDefault="00E903FC" w:rsidP="00E903FC">
      <w:pPr>
        <w:spacing w:after="0" w:line="240" w:lineRule="auto"/>
        <w:jc w:val="both"/>
        <w:rPr>
          <w:rFonts w:ascii="Times New Roman" w:eastAsia="Calibri" w:hAnsi="Times New Roman" w:cs="Times New Roman"/>
          <w:sz w:val="28"/>
          <w:szCs w:val="28"/>
        </w:rPr>
      </w:pPr>
    </w:p>
    <w:p w14:paraId="143BE272" w14:textId="77777777" w:rsidR="00E903FC" w:rsidRPr="00E903FC" w:rsidRDefault="00E903FC" w:rsidP="00E903FC">
      <w:pPr>
        <w:spacing w:after="0" w:line="240" w:lineRule="auto"/>
        <w:jc w:val="both"/>
        <w:rPr>
          <w:rFonts w:ascii="Times New Roman" w:eastAsia="Calibri" w:hAnsi="Times New Roman" w:cs="Times New Roman"/>
          <w:sz w:val="28"/>
          <w:szCs w:val="28"/>
        </w:rPr>
      </w:pPr>
      <w:r w:rsidRPr="00E903FC">
        <w:rPr>
          <w:rFonts w:ascii="Times New Roman" w:eastAsia="Calibri" w:hAnsi="Times New Roman" w:cs="Times New Roman"/>
          <w:i/>
          <w:sz w:val="28"/>
          <w:szCs w:val="28"/>
        </w:rPr>
        <w:t xml:space="preserve">         </w:t>
      </w:r>
      <w:r w:rsidRPr="00E903FC">
        <w:rPr>
          <w:rFonts w:ascii="Times New Roman" w:eastAsia="Calibri" w:hAnsi="Times New Roman" w:cs="Times New Roman"/>
          <w:sz w:val="28"/>
          <w:szCs w:val="28"/>
        </w:rPr>
        <w:t>По глави от НК, тези данни се разпределят така:</w:t>
      </w:r>
    </w:p>
    <w:p w14:paraId="586AFC5D" w14:textId="77777777" w:rsidR="00E903FC" w:rsidRPr="00E903FC" w:rsidRDefault="00E903FC" w:rsidP="00E903FC">
      <w:pPr>
        <w:numPr>
          <w:ilvl w:val="0"/>
          <w:numId w:val="38"/>
        </w:numPr>
        <w:spacing w:after="0" w:line="240" w:lineRule="auto"/>
        <w:ind w:left="0" w:firstLine="709"/>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По Глава ІІ НК /престъпления против личността/ новообразуваните досъдебни производства са 216 броя. Внесените в съда досъдебни производства са 41 броя. В съда са внесени 46 броя прокурорски акта за 49 лица. Внесени са 33 броя обвинителни акта за 36 лица; изготвени са 9 броя споразумения за 9 лица и 4 броя предложения по чл.78а от НК за 4 лица.</w:t>
      </w:r>
    </w:p>
    <w:p w14:paraId="1B606A88" w14:textId="77777777" w:rsidR="00E903FC" w:rsidRPr="00E903FC" w:rsidRDefault="00E903FC" w:rsidP="00E903FC">
      <w:pPr>
        <w:numPr>
          <w:ilvl w:val="0"/>
          <w:numId w:val="38"/>
        </w:numPr>
        <w:spacing w:after="0" w:line="240" w:lineRule="auto"/>
        <w:ind w:left="0" w:firstLine="709"/>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 xml:space="preserve">По Глава ІІІ НК /престъпления против правата на гражданите/ новообразуваните досъдебни производства са 28 броя. В съда са внесени 7 броя досъдебни производства, от които 8 броя прокурорски акта по отношение на 9 лица. Внесени са 4 броя обвинителни акта по отношение на 5 обвиняеми лица. Внесени са 3 броя споразумения за 3 лица и 1 предложение по реда на чл.78а от  НК за 1 лице. </w:t>
      </w:r>
    </w:p>
    <w:p w14:paraId="5CE3A8B7" w14:textId="77777777" w:rsidR="00E903FC" w:rsidRPr="00E903FC" w:rsidRDefault="00E903FC" w:rsidP="00E903FC">
      <w:pPr>
        <w:numPr>
          <w:ilvl w:val="0"/>
          <w:numId w:val="38"/>
        </w:numPr>
        <w:spacing w:after="0" w:line="240" w:lineRule="auto"/>
        <w:ind w:left="0" w:firstLine="709"/>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По Глава ІV НК /престъпления против брака, семейството и младежта/ новообразуваните досъдебни производства са 53 броя. В съда са внесени 31 броя досъдебни производства с 31 броя прокурорски акта по отношение на 32 лица. Внесени са 28 броя обвинителни акта спрямо 29 лица. Внесено е 1 брой споразумение за 1 лице, внесени и 2 броя предложения по чл.78а от НК за 2 обвиняеми лица.</w:t>
      </w:r>
    </w:p>
    <w:p w14:paraId="24CC4EFF" w14:textId="77777777" w:rsidR="00E903FC" w:rsidRPr="00E903FC" w:rsidRDefault="00E903FC" w:rsidP="00E903FC">
      <w:pPr>
        <w:numPr>
          <w:ilvl w:val="0"/>
          <w:numId w:val="38"/>
        </w:numPr>
        <w:spacing w:after="0" w:line="240" w:lineRule="auto"/>
        <w:ind w:left="0" w:firstLine="709"/>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lastRenderedPageBreak/>
        <w:t>По Глава V /престъпления против собствеността/ новообразуваните досъдебни производства са 578 броя. В съда са внесени 115 броя досъдебни производства със 117 броя прокурорски акта спрямо 156 лица. Изготвени са 102 броя обвинителни акта срещу 141 обвиняеми лица, 15 споразумения за 15 обвиняеми лица. Няма внесени предложения по реда на чл.78а от НК.</w:t>
      </w:r>
    </w:p>
    <w:p w14:paraId="4CFF504C" w14:textId="77777777" w:rsidR="00E903FC" w:rsidRPr="00E903FC" w:rsidRDefault="00E903FC" w:rsidP="00E903FC">
      <w:pPr>
        <w:numPr>
          <w:ilvl w:val="0"/>
          <w:numId w:val="38"/>
        </w:numPr>
        <w:spacing w:after="0" w:line="240" w:lineRule="auto"/>
        <w:ind w:left="0" w:firstLine="709"/>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По Глава VІ /престъпления против стопанството/ новообразуваните досъдебни производства са 126 броя. В съда са внесени 68 броя досъдебни производства с 68 броя прокурорски акта срещу 69 лица. Изготвени са 48 броя обвинителни акта срещу 49 обвиняеми лица, 12 броя споразумения за 12 лица, както и 8 броя предложения по чл.78а от НК по отношение на 8 лица.</w:t>
      </w:r>
    </w:p>
    <w:p w14:paraId="79B84E45" w14:textId="77777777" w:rsidR="00E903FC" w:rsidRPr="00E903FC" w:rsidRDefault="00E903FC" w:rsidP="00E903FC">
      <w:pPr>
        <w:numPr>
          <w:ilvl w:val="0"/>
          <w:numId w:val="38"/>
        </w:numPr>
        <w:spacing w:after="0" w:line="240" w:lineRule="auto"/>
        <w:ind w:left="0" w:firstLine="993"/>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По Глава VІІ /престъпления против финансовата, данъчната и осигурителната система/ новообразуваните досъдебни производства са 15 броя. В съда  е внесено едно досъдебно производство, с един прокурорски акт срещу едно лице. Изготвен е един обвинителен акт срещу едно лице. Няма изготвени споразумения и предложения по чл.78а от НК.</w:t>
      </w:r>
    </w:p>
    <w:p w14:paraId="2E9FA507" w14:textId="77777777" w:rsidR="00E903FC" w:rsidRPr="00E903FC" w:rsidRDefault="00E903FC" w:rsidP="00E903FC">
      <w:pPr>
        <w:numPr>
          <w:ilvl w:val="0"/>
          <w:numId w:val="38"/>
        </w:numPr>
        <w:spacing w:after="0" w:line="240" w:lineRule="auto"/>
        <w:ind w:left="0" w:firstLine="993"/>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По Глава VІІІ /престъпления против дейността на държавни органи, обществени организации и лица изпълняващи публични функции/ новообразуваните досъдебни производства са 45 броя. В съда са внесени 13 броя досъдебни производства. Прокурорските актове, внесени в съда, са 13 броя по отношение на 13 лица. Изготвени са 7 броя обвинителни акта спрямо 7 обвиняеми лица. Внесени са 4 броя споразумения по отношение на 4 лица, както и 2 броя предложения по чл.78а  от НК, касаещи 2 лица.</w:t>
      </w:r>
    </w:p>
    <w:p w14:paraId="3D8AD00A" w14:textId="77777777" w:rsidR="00E903FC" w:rsidRPr="00E903FC" w:rsidRDefault="00E903FC" w:rsidP="00E903FC">
      <w:pPr>
        <w:numPr>
          <w:ilvl w:val="0"/>
          <w:numId w:val="38"/>
        </w:numPr>
        <w:spacing w:after="0" w:line="240" w:lineRule="auto"/>
        <w:ind w:left="0" w:firstLine="993"/>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По Глава ІХ /документни престъпления/ новообразуваните досъдебни производства са 83 броя. В съда са внесени 44 броя досъдебни производства, от тях 44 прокурорски акта по отношение на 46 лица. Внесени са 24 обвинителни акта спрямо 26 обвиняеми лица,  4 броя споразумения за 4 лица и 16 броя предложения по чл.78а от  НК за 16 обвиняеми лица.</w:t>
      </w:r>
    </w:p>
    <w:p w14:paraId="115BE8F3" w14:textId="77777777" w:rsidR="00E903FC" w:rsidRPr="00E903FC" w:rsidRDefault="00E903FC" w:rsidP="00E903FC">
      <w:pPr>
        <w:numPr>
          <w:ilvl w:val="0"/>
          <w:numId w:val="38"/>
        </w:numPr>
        <w:spacing w:after="0" w:line="240" w:lineRule="auto"/>
        <w:ind w:left="0" w:firstLine="993"/>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По Глава Х /престъпления против реда и общественото спокойствие/ новообразуваните досъдебни производства са 54 броя. В съда са внесени 10 броя досъдебни производства с 10 прокурорски акта спрямо 11 лица, от тях 7 броя обвинителни акта спрямо 8 обвиняеми лица, 2 споразумения за 2  лица и 1 брой  предложение по чл.78а от НК, касаещо 1 лице.</w:t>
      </w:r>
    </w:p>
    <w:p w14:paraId="0E04798A" w14:textId="77777777" w:rsidR="00E903FC" w:rsidRPr="00E903FC" w:rsidRDefault="00E903FC" w:rsidP="00E903FC">
      <w:pPr>
        <w:numPr>
          <w:ilvl w:val="0"/>
          <w:numId w:val="38"/>
        </w:numPr>
        <w:spacing w:after="0" w:line="240" w:lineRule="auto"/>
        <w:ind w:left="0" w:firstLine="993"/>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По Глава ХІ /общоопасни престъпления/ новообразуваните досъдебни производства са 608 броя. В съда са внесени 339 досъдебни производства. Внесени са 340 прокурорски акта спрямо 341 лица, със 166 броя обвинителни акта спрямо 167 обвиняеми лица, 121 броя споразумения за 121 лица и 53 броя предложения по чл.78а от НК за 53 обвиняеми лица.</w:t>
      </w:r>
    </w:p>
    <w:p w14:paraId="5CB74CA4" w14:textId="77777777" w:rsidR="00E903FC" w:rsidRPr="00E903FC" w:rsidRDefault="00E903FC" w:rsidP="00E903FC">
      <w:pPr>
        <w:spacing w:after="0" w:line="240" w:lineRule="auto"/>
        <w:ind w:firstLine="993"/>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От тези данни е видно, че най-голям е делът на общоопасните престъпления, следван от  престъпленията срещу собствеността.</w:t>
      </w:r>
    </w:p>
    <w:p w14:paraId="7F04218A" w14:textId="77777777" w:rsidR="00E903FC" w:rsidRPr="00E903FC" w:rsidRDefault="00E903FC" w:rsidP="00E903FC">
      <w:pPr>
        <w:spacing w:after="0" w:line="240" w:lineRule="auto"/>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Следват престъпленията срещу личността и стопанството, като делът на останалите престъпления, съобразно систематиката по НК, е по-малък.</w:t>
      </w:r>
    </w:p>
    <w:p w14:paraId="5C87B5E6" w14:textId="77777777" w:rsidR="00E903FC" w:rsidRPr="00E903FC" w:rsidRDefault="00E903FC" w:rsidP="00E903FC">
      <w:pPr>
        <w:spacing w:after="0" w:line="240" w:lineRule="auto"/>
        <w:jc w:val="both"/>
        <w:rPr>
          <w:rFonts w:ascii="Times New Roman" w:eastAsia="Calibri" w:hAnsi="Times New Roman" w:cs="Times New Roman"/>
          <w:sz w:val="28"/>
          <w:szCs w:val="28"/>
        </w:rPr>
      </w:pPr>
    </w:p>
    <w:p w14:paraId="5D5A21AD" w14:textId="77777777" w:rsidR="00E903FC" w:rsidRPr="00E903FC" w:rsidRDefault="00E903FC" w:rsidP="00E903FC">
      <w:pPr>
        <w:spacing w:after="0" w:line="240" w:lineRule="auto"/>
        <w:jc w:val="both"/>
        <w:rPr>
          <w:rFonts w:ascii="Times New Roman" w:eastAsia="Calibri" w:hAnsi="Times New Roman" w:cs="Times New Roman"/>
          <w:b/>
          <w:bCs/>
          <w:i/>
          <w:sz w:val="28"/>
          <w:szCs w:val="28"/>
        </w:rPr>
      </w:pPr>
    </w:p>
    <w:p w14:paraId="65CAE3FB" w14:textId="77777777" w:rsidR="00E903FC" w:rsidRPr="00E903FC" w:rsidRDefault="00E903FC" w:rsidP="00E903FC">
      <w:pPr>
        <w:spacing w:after="0" w:line="240" w:lineRule="auto"/>
        <w:jc w:val="both"/>
        <w:rPr>
          <w:rFonts w:ascii="Times New Roman" w:eastAsia="Calibri" w:hAnsi="Times New Roman" w:cs="Times New Roman"/>
          <w:b/>
          <w:bCs/>
          <w:i/>
          <w:sz w:val="28"/>
          <w:szCs w:val="28"/>
        </w:rPr>
      </w:pPr>
    </w:p>
    <w:p w14:paraId="3398F0DF" w14:textId="77777777" w:rsidR="00E903FC" w:rsidRPr="00E903FC" w:rsidRDefault="00E903FC" w:rsidP="00E903FC">
      <w:pPr>
        <w:spacing w:after="0" w:line="240" w:lineRule="auto"/>
        <w:jc w:val="both"/>
        <w:rPr>
          <w:rFonts w:ascii="Times New Roman" w:eastAsia="Calibri" w:hAnsi="Times New Roman" w:cs="Times New Roman"/>
          <w:b/>
          <w:bCs/>
          <w:i/>
          <w:sz w:val="28"/>
          <w:szCs w:val="28"/>
          <w:u w:val="single"/>
        </w:rPr>
      </w:pPr>
    </w:p>
    <w:p w14:paraId="0D5D68F1" w14:textId="77777777" w:rsidR="00E903FC" w:rsidRPr="00E903FC" w:rsidRDefault="00E903FC" w:rsidP="00E903FC">
      <w:pPr>
        <w:spacing w:after="0" w:line="240" w:lineRule="auto"/>
        <w:jc w:val="both"/>
        <w:rPr>
          <w:rFonts w:ascii="Times New Roman" w:eastAsia="Calibri" w:hAnsi="Times New Roman" w:cs="Times New Roman"/>
          <w:b/>
          <w:bCs/>
          <w:i/>
          <w:sz w:val="28"/>
          <w:szCs w:val="28"/>
          <w:u w:val="single"/>
        </w:rPr>
      </w:pPr>
    </w:p>
    <w:p w14:paraId="538F956E" w14:textId="77777777" w:rsidR="00E903FC" w:rsidRPr="00E903FC" w:rsidRDefault="00E903FC" w:rsidP="00FA6A8E">
      <w:pPr>
        <w:spacing w:after="0" w:line="240" w:lineRule="auto"/>
        <w:ind w:firstLine="708"/>
        <w:jc w:val="both"/>
        <w:rPr>
          <w:rFonts w:ascii="Times New Roman" w:eastAsia="Calibri" w:hAnsi="Times New Roman" w:cs="Times New Roman"/>
          <w:b/>
          <w:bCs/>
          <w:i/>
          <w:sz w:val="28"/>
          <w:szCs w:val="28"/>
          <w:u w:val="single"/>
        </w:rPr>
      </w:pPr>
      <w:r w:rsidRPr="00E903FC">
        <w:rPr>
          <w:rFonts w:ascii="Times New Roman" w:eastAsia="Calibri" w:hAnsi="Times New Roman" w:cs="Times New Roman"/>
          <w:b/>
          <w:bCs/>
          <w:i/>
          <w:sz w:val="28"/>
          <w:szCs w:val="28"/>
          <w:u w:val="single"/>
        </w:rPr>
        <w:t>Обобщени данни за пострадали лица и ощетени юридически лица:</w:t>
      </w:r>
    </w:p>
    <w:p w14:paraId="4664796C" w14:textId="77777777" w:rsidR="00E903FC" w:rsidRPr="00E903FC" w:rsidRDefault="00E903FC" w:rsidP="00E903FC">
      <w:pPr>
        <w:spacing w:after="0" w:line="240" w:lineRule="auto"/>
        <w:jc w:val="both"/>
        <w:rPr>
          <w:rFonts w:ascii="Times New Roman" w:eastAsia="Calibri" w:hAnsi="Times New Roman" w:cs="Times New Roman"/>
          <w:b/>
          <w:bCs/>
          <w:i/>
          <w:sz w:val="28"/>
          <w:szCs w:val="28"/>
        </w:rPr>
      </w:pPr>
    </w:p>
    <w:p w14:paraId="1793039F" w14:textId="77777777" w:rsidR="00E903FC" w:rsidRPr="00E903FC" w:rsidRDefault="00E903FC" w:rsidP="00FA6A8E">
      <w:pPr>
        <w:spacing w:after="0" w:line="240" w:lineRule="auto"/>
        <w:ind w:firstLine="708"/>
        <w:jc w:val="both"/>
        <w:rPr>
          <w:rFonts w:ascii="Times New Roman" w:eastAsia="Calibri" w:hAnsi="Times New Roman" w:cs="Times New Roman"/>
          <w:bCs/>
          <w:sz w:val="28"/>
          <w:szCs w:val="28"/>
        </w:rPr>
      </w:pPr>
      <w:r w:rsidRPr="00E903FC">
        <w:rPr>
          <w:rFonts w:ascii="Times New Roman" w:eastAsia="Calibri" w:hAnsi="Times New Roman" w:cs="Times New Roman"/>
          <w:bCs/>
          <w:sz w:val="28"/>
          <w:szCs w:val="28"/>
        </w:rPr>
        <w:t>През отчетния период по водените в прокуратурите в региона на Окръжна прокуратура-Монтана досъдебни производства са пострадали 1 062  физически лица и са ощетени общо 138  юридически лица. Броят на пострадалите непълнолетни лица е 34, а на пострадалите малолетни лица е 30. Този резултат е следствие на по-ниската степен на защита, която притежават непълнолетните и малолетните лица и по-високата степен на уязвимост. В сравнение с предходните периоди общият брой на пострадалите лица през 2022г. се е увеличил.  През 2021г. пострадалите ФЛ са били 881 броя, а през 2020 г. – 960 броя. Намалял е броят на пострадалите ЮЛ, които през 2021г. са били 168 броя. Налице е увеличаване на броят на пострадалите непълнолетни  и малолетни лица спрямо 2021г., когато те са били съответно 22 броя и 21 броя, което се явява негативна тенденция.</w:t>
      </w:r>
    </w:p>
    <w:p w14:paraId="7DFEA700" w14:textId="185D2EEF" w:rsidR="00E903FC" w:rsidRPr="00E903FC" w:rsidRDefault="00E903FC" w:rsidP="00E903FC">
      <w:pPr>
        <w:spacing w:after="0" w:line="240" w:lineRule="auto"/>
        <w:jc w:val="both"/>
        <w:rPr>
          <w:rFonts w:ascii="Times New Roman" w:eastAsia="Calibri" w:hAnsi="Times New Roman" w:cs="Times New Roman"/>
          <w:bCs/>
          <w:sz w:val="28"/>
          <w:szCs w:val="28"/>
        </w:rPr>
      </w:pPr>
      <w:r w:rsidRPr="00E903FC">
        <w:rPr>
          <w:rFonts w:ascii="Times New Roman" w:eastAsia="Calibri" w:hAnsi="Times New Roman" w:cs="Times New Roman"/>
          <w:bCs/>
          <w:sz w:val="28"/>
          <w:szCs w:val="28"/>
        </w:rPr>
        <w:t xml:space="preserve"> </w:t>
      </w:r>
      <w:r w:rsidR="00FA6A8E">
        <w:rPr>
          <w:rFonts w:ascii="Times New Roman" w:eastAsia="Calibri" w:hAnsi="Times New Roman" w:cs="Times New Roman"/>
          <w:bCs/>
          <w:sz w:val="28"/>
          <w:szCs w:val="28"/>
        </w:rPr>
        <w:tab/>
      </w:r>
      <w:r w:rsidRPr="00E903FC">
        <w:rPr>
          <w:rFonts w:ascii="Times New Roman" w:eastAsia="Calibri" w:hAnsi="Times New Roman" w:cs="Times New Roman"/>
          <w:bCs/>
          <w:sz w:val="28"/>
          <w:szCs w:val="28"/>
        </w:rPr>
        <w:t>Най-висок е броят на пострадалите лица от извършени престъпления против собствеността – 550, следван от броя на пострадалите от престъпления против личността – 251 и от общоопасни престъпления – 141.</w:t>
      </w:r>
    </w:p>
    <w:p w14:paraId="2D59ACB4" w14:textId="77777777" w:rsidR="00E903FC" w:rsidRPr="00E903FC" w:rsidRDefault="00E903FC" w:rsidP="00E903FC">
      <w:pPr>
        <w:spacing w:after="0" w:line="240" w:lineRule="auto"/>
        <w:jc w:val="both"/>
        <w:rPr>
          <w:rFonts w:ascii="Times New Roman" w:eastAsia="Calibri" w:hAnsi="Times New Roman" w:cs="Times New Roman"/>
          <w:bCs/>
          <w:sz w:val="28"/>
          <w:szCs w:val="28"/>
        </w:rPr>
      </w:pPr>
      <w:r w:rsidRPr="00E903FC">
        <w:rPr>
          <w:rFonts w:ascii="Times New Roman" w:eastAsia="Calibri" w:hAnsi="Times New Roman" w:cs="Times New Roman"/>
          <w:bCs/>
          <w:sz w:val="28"/>
          <w:szCs w:val="28"/>
        </w:rPr>
        <w:t>Всравнение с предходните две години броят на ощетените юридически лица  бележи тенденция към значително намаляване – през отчетния период те са 138 броя, при 168 броя през 2021г. и 201 броя през 2020г.</w:t>
      </w:r>
      <w:r w:rsidRPr="00E903FC">
        <w:rPr>
          <w:rFonts w:ascii="Times New Roman" w:eastAsia="Calibri" w:hAnsi="Times New Roman" w:cs="Times New Roman"/>
          <w:b/>
          <w:bCs/>
          <w:sz w:val="28"/>
          <w:szCs w:val="28"/>
        </w:rPr>
        <w:t xml:space="preserve"> </w:t>
      </w:r>
      <w:r w:rsidRPr="00E903FC">
        <w:rPr>
          <w:rFonts w:ascii="Times New Roman" w:eastAsia="Calibri" w:hAnsi="Times New Roman" w:cs="Times New Roman"/>
          <w:bCs/>
          <w:sz w:val="28"/>
          <w:szCs w:val="28"/>
        </w:rPr>
        <w:t>При тази категория най-голям е броят на ощетените юридически лица от престъпления против стопанството – 79, следван от броя на ощетените от престъпления против собствеността – 44 и други. Няма съществена разлика на този дял в сравнение с предходните отчетни периоди.</w:t>
      </w:r>
    </w:p>
    <w:p w14:paraId="6443390D" w14:textId="77777777" w:rsidR="00E903FC" w:rsidRPr="00E903FC" w:rsidRDefault="00E903FC" w:rsidP="00E903FC">
      <w:pPr>
        <w:spacing w:after="0" w:line="240" w:lineRule="auto"/>
        <w:jc w:val="both"/>
        <w:rPr>
          <w:rFonts w:ascii="Times New Roman" w:eastAsia="Calibri" w:hAnsi="Times New Roman" w:cs="Times New Roman"/>
          <w:bCs/>
          <w:sz w:val="28"/>
          <w:szCs w:val="28"/>
        </w:rPr>
      </w:pPr>
    </w:p>
    <w:p w14:paraId="22C823BD" w14:textId="77777777" w:rsidR="00E903FC" w:rsidRPr="00E903FC" w:rsidRDefault="00E903FC" w:rsidP="00FA6A8E">
      <w:pPr>
        <w:spacing w:after="0" w:line="240" w:lineRule="auto"/>
        <w:ind w:firstLine="708"/>
        <w:jc w:val="both"/>
        <w:rPr>
          <w:rFonts w:ascii="Times New Roman" w:eastAsia="Calibri" w:hAnsi="Times New Roman" w:cs="Times New Roman"/>
          <w:b/>
          <w:bCs/>
          <w:i/>
          <w:sz w:val="28"/>
          <w:szCs w:val="28"/>
          <w:u w:val="single"/>
        </w:rPr>
      </w:pPr>
      <w:r w:rsidRPr="00E903FC">
        <w:rPr>
          <w:rFonts w:ascii="Times New Roman" w:eastAsia="Calibri" w:hAnsi="Times New Roman" w:cs="Times New Roman"/>
          <w:b/>
          <w:bCs/>
          <w:i/>
          <w:sz w:val="28"/>
          <w:szCs w:val="28"/>
          <w:u w:val="single"/>
        </w:rPr>
        <w:t>Използване на СРС и резултати по наказателните дела, по които са прилагани</w:t>
      </w:r>
    </w:p>
    <w:p w14:paraId="730FCCA3" w14:textId="77777777" w:rsidR="00E903FC" w:rsidRPr="00E903FC" w:rsidRDefault="00E903FC" w:rsidP="00E903FC">
      <w:pPr>
        <w:spacing w:after="0" w:line="240" w:lineRule="auto"/>
        <w:jc w:val="both"/>
        <w:rPr>
          <w:rFonts w:ascii="Times New Roman" w:eastAsia="Calibri" w:hAnsi="Times New Roman" w:cs="Times New Roman"/>
          <w:b/>
          <w:bCs/>
          <w:i/>
          <w:sz w:val="28"/>
          <w:szCs w:val="28"/>
          <w:u w:val="single"/>
        </w:rPr>
      </w:pPr>
    </w:p>
    <w:p w14:paraId="402A909C" w14:textId="49DE574C" w:rsidR="00E903FC" w:rsidRPr="00E903FC" w:rsidRDefault="00E903FC" w:rsidP="00FA6A8E">
      <w:pPr>
        <w:spacing w:after="0" w:line="240" w:lineRule="auto"/>
        <w:ind w:firstLine="708"/>
        <w:jc w:val="both"/>
        <w:rPr>
          <w:rFonts w:ascii="Times New Roman" w:eastAsia="Calibri" w:hAnsi="Times New Roman" w:cs="Times New Roman"/>
          <w:bCs/>
          <w:sz w:val="28"/>
          <w:szCs w:val="28"/>
        </w:rPr>
      </w:pPr>
      <w:r w:rsidRPr="00E903FC">
        <w:rPr>
          <w:rFonts w:ascii="Times New Roman" w:eastAsia="Calibri" w:hAnsi="Times New Roman" w:cs="Times New Roman"/>
          <w:bCs/>
          <w:sz w:val="28"/>
          <w:szCs w:val="28"/>
        </w:rPr>
        <w:t xml:space="preserve"> 2022</w:t>
      </w:r>
      <w:r w:rsidR="00FA6A8E">
        <w:rPr>
          <w:rFonts w:ascii="Times New Roman" w:eastAsia="Calibri" w:hAnsi="Times New Roman" w:cs="Times New Roman"/>
          <w:bCs/>
          <w:sz w:val="28"/>
          <w:szCs w:val="28"/>
        </w:rPr>
        <w:t xml:space="preserve"> </w:t>
      </w:r>
      <w:r w:rsidRPr="00E903FC">
        <w:rPr>
          <w:rFonts w:ascii="Times New Roman" w:eastAsia="Calibri" w:hAnsi="Times New Roman" w:cs="Times New Roman"/>
          <w:bCs/>
          <w:sz w:val="28"/>
          <w:szCs w:val="28"/>
        </w:rPr>
        <w:t>г. е изготвено едно искане от прокурор  за използване на СРС, което е уважено от ОС-Монтана и към края на отчетния период е действащо. През 2021г. в окръжния съд не са внасяни искания за използване на СРС.</w:t>
      </w:r>
    </w:p>
    <w:p w14:paraId="3BFA9334" w14:textId="77777777" w:rsidR="00E903FC" w:rsidRPr="00E903FC" w:rsidRDefault="00E903FC" w:rsidP="00E903FC">
      <w:pPr>
        <w:spacing w:after="0" w:line="240" w:lineRule="auto"/>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През 2020г. също не са внасяни искания за използване на СРС и не са създавани протоколи за унищожаване на събрани материали от прилагането на СРС на основание чл.31 ал.3 ЗСРС.</w:t>
      </w:r>
    </w:p>
    <w:p w14:paraId="16EE0643" w14:textId="77777777" w:rsidR="00E903FC" w:rsidRPr="00E903FC" w:rsidRDefault="00E903FC" w:rsidP="00E903FC">
      <w:pPr>
        <w:spacing w:after="0" w:line="240" w:lineRule="auto"/>
        <w:jc w:val="both"/>
        <w:rPr>
          <w:rFonts w:ascii="Times New Roman" w:eastAsia="Calibri" w:hAnsi="Times New Roman" w:cs="Times New Roman"/>
          <w:sz w:val="28"/>
          <w:szCs w:val="28"/>
        </w:rPr>
      </w:pPr>
    </w:p>
    <w:p w14:paraId="4473000C" w14:textId="77777777" w:rsidR="00E903FC" w:rsidRPr="00E903FC" w:rsidRDefault="00E903FC" w:rsidP="00E903FC">
      <w:pPr>
        <w:spacing w:after="0" w:line="240" w:lineRule="auto"/>
        <w:jc w:val="both"/>
        <w:rPr>
          <w:rFonts w:ascii="Times New Roman" w:eastAsia="Calibri" w:hAnsi="Times New Roman" w:cs="Times New Roman"/>
          <w:sz w:val="28"/>
          <w:szCs w:val="28"/>
        </w:rPr>
      </w:pPr>
    </w:p>
    <w:p w14:paraId="0AD59FAF" w14:textId="77777777" w:rsidR="00E903FC" w:rsidRPr="00E903FC" w:rsidRDefault="00E903FC" w:rsidP="00E903FC">
      <w:pPr>
        <w:spacing w:after="0" w:line="240" w:lineRule="auto"/>
        <w:jc w:val="both"/>
        <w:rPr>
          <w:rFonts w:ascii="Times New Roman" w:eastAsia="Calibri" w:hAnsi="Times New Roman" w:cs="Times New Roman"/>
          <w:b/>
          <w:i/>
          <w:sz w:val="28"/>
          <w:szCs w:val="28"/>
          <w:u w:val="single"/>
        </w:rPr>
      </w:pPr>
    </w:p>
    <w:p w14:paraId="405BAF73" w14:textId="77777777" w:rsidR="00E903FC" w:rsidRPr="00E903FC" w:rsidRDefault="00E903FC" w:rsidP="00FA6A8E">
      <w:pPr>
        <w:spacing w:after="0" w:line="240" w:lineRule="auto"/>
        <w:ind w:firstLine="708"/>
        <w:jc w:val="both"/>
        <w:rPr>
          <w:rFonts w:ascii="Times New Roman" w:eastAsia="Calibri" w:hAnsi="Times New Roman" w:cs="Times New Roman"/>
          <w:b/>
          <w:i/>
          <w:sz w:val="28"/>
          <w:szCs w:val="28"/>
          <w:u w:val="single"/>
        </w:rPr>
      </w:pPr>
      <w:r w:rsidRPr="00E903FC">
        <w:rPr>
          <w:rFonts w:ascii="Times New Roman" w:eastAsia="Calibri" w:hAnsi="Times New Roman" w:cs="Times New Roman"/>
          <w:b/>
          <w:i/>
          <w:sz w:val="28"/>
          <w:szCs w:val="28"/>
          <w:u w:val="single"/>
        </w:rPr>
        <w:t>Дейност по мерките за неотклонение:</w:t>
      </w:r>
    </w:p>
    <w:p w14:paraId="1866B56F" w14:textId="77777777" w:rsidR="00E903FC" w:rsidRPr="00E903FC" w:rsidRDefault="00E903FC" w:rsidP="00E903FC">
      <w:pPr>
        <w:spacing w:after="0" w:line="240" w:lineRule="auto"/>
        <w:jc w:val="both"/>
        <w:rPr>
          <w:rFonts w:ascii="Times New Roman" w:eastAsia="Calibri" w:hAnsi="Times New Roman" w:cs="Times New Roman"/>
          <w:b/>
          <w:i/>
          <w:sz w:val="28"/>
          <w:szCs w:val="28"/>
          <w:u w:val="single"/>
        </w:rPr>
      </w:pPr>
    </w:p>
    <w:p w14:paraId="55D6523B" w14:textId="057C765E" w:rsidR="00E903FC" w:rsidRPr="00FA6A8E"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През отчетния период в съда са внесени 40 броя искания от прокурор по чл. 64 от НПК за вземане на мярка за неотклонение „задържане под стража“.</w:t>
      </w:r>
      <w:r w:rsidR="00FA6A8E">
        <w:rPr>
          <w:rFonts w:ascii="Times New Roman" w:eastAsia="Calibri" w:hAnsi="Times New Roman" w:cs="Times New Roman"/>
          <w:sz w:val="28"/>
          <w:szCs w:val="28"/>
        </w:rPr>
        <w:t xml:space="preserve"> </w:t>
      </w:r>
      <w:r w:rsidRPr="00E903FC">
        <w:rPr>
          <w:rFonts w:ascii="Times New Roman" w:eastAsia="Calibri" w:hAnsi="Times New Roman" w:cs="Times New Roman"/>
          <w:color w:val="000000"/>
          <w:sz w:val="28"/>
          <w:szCs w:val="28"/>
        </w:rPr>
        <w:t xml:space="preserve">От тях от съдилищата са уважени 32 броя искания, 7 искания не са уважени, като по 2 от тях е наложена мярка за неотклонение „домашен арест“, а по 5 е </w:t>
      </w:r>
      <w:r w:rsidRPr="00E903FC">
        <w:rPr>
          <w:rFonts w:ascii="Times New Roman" w:eastAsia="Calibri" w:hAnsi="Times New Roman" w:cs="Times New Roman"/>
          <w:color w:val="000000"/>
          <w:sz w:val="28"/>
          <w:szCs w:val="28"/>
        </w:rPr>
        <w:lastRenderedPageBreak/>
        <w:t xml:space="preserve">наложена друг вид мярка за неотклонение. Едно искане е внесено в съда, но не е разгледано. Уважените от съдилищата искания на прокурорите представляват </w:t>
      </w:r>
      <w:r w:rsidRPr="00E903FC">
        <w:rPr>
          <w:rFonts w:ascii="Times New Roman" w:eastAsia="Calibri" w:hAnsi="Times New Roman" w:cs="Times New Roman"/>
          <w:sz w:val="28"/>
          <w:szCs w:val="28"/>
        </w:rPr>
        <w:t xml:space="preserve">80 % </w:t>
      </w:r>
      <w:r w:rsidRPr="00E903FC">
        <w:rPr>
          <w:rFonts w:ascii="Times New Roman" w:eastAsia="Calibri" w:hAnsi="Times New Roman" w:cs="Times New Roman"/>
          <w:color w:val="000000"/>
          <w:sz w:val="28"/>
          <w:szCs w:val="28"/>
        </w:rPr>
        <w:t>от общия брой искания, като този дял е значителен и води до извод за добра правна преценка от страна на прокурора за обществената опасност на деянието и дееца. Няма случаи, при които по внесени искания от прокурор по чл. 64 от НПК, съдът да е оставил обвиняемо лице без мярка за неотклонение, което води до извод, че разминаванията между съда и прокуратурата са единствено в оценката на реалната опасност, но не и в достатъчността на доказателствата.</w:t>
      </w:r>
      <w:r w:rsidRPr="00E903FC">
        <w:rPr>
          <w:rFonts w:ascii="Times New Roman" w:eastAsia="Calibri" w:hAnsi="Times New Roman" w:cs="Times New Roman"/>
          <w:color w:val="000000"/>
          <w:sz w:val="28"/>
        </w:rPr>
        <w:t xml:space="preserve"> Големият брой уважени искания е показател за тяхната обоснованост и законосъобразност, за вярна и обективна преценка от страна на наблюдаващия прокурор относно наличието на предпоставките за вземане на мярка за неотклонение „задържане под стража”.</w:t>
      </w:r>
    </w:p>
    <w:p w14:paraId="1A1D895D" w14:textId="12D59F16" w:rsidR="00E903FC" w:rsidRPr="00E903FC" w:rsidRDefault="00FA6A8E" w:rsidP="00E903FC">
      <w:pPr>
        <w:shd w:val="clear" w:color="auto" w:fill="FFFFFF"/>
        <w:tabs>
          <w:tab w:val="left" w:pos="826"/>
        </w:tabs>
        <w:autoSpaceDE w:val="0"/>
        <w:autoSpaceDN w:val="0"/>
        <w:adjustRightInd w:val="0"/>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sz w:val="28"/>
          <w:szCs w:val="28"/>
        </w:rPr>
        <w:tab/>
      </w:r>
      <w:r w:rsidR="00E903FC" w:rsidRPr="00E903FC">
        <w:rPr>
          <w:rFonts w:ascii="Times New Roman" w:eastAsia="Calibri" w:hAnsi="Times New Roman" w:cs="Times New Roman"/>
          <w:sz w:val="28"/>
          <w:szCs w:val="28"/>
        </w:rPr>
        <w:t>Няма подавани протести по чл. 65, ал.7 от НПК срещу изменена мярка „задържане под стража“.</w:t>
      </w:r>
    </w:p>
    <w:p w14:paraId="7A2B65C9" w14:textId="77777777" w:rsidR="00E903FC" w:rsidRPr="00E903FC"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През отчетния период мярка за неотклонение „задържане под стража“ е била наложена по отношение на 32 обвиняеми лица, а на 2 обвиняеми лица – „домашен арест“.</w:t>
      </w:r>
    </w:p>
    <w:p w14:paraId="6DECC847" w14:textId="77777777" w:rsidR="00E903FC" w:rsidRPr="00E903FC"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 xml:space="preserve">В края на отчетния период 11 обвиняеми лица са с наложена мярка за неотклонение „задържане под стража“ по неприключени досъдебни производства, от които 7 са до два месеца и 4  са задържани до 8 месеца. </w:t>
      </w:r>
    </w:p>
    <w:p w14:paraId="2FCC3A2A" w14:textId="77777777" w:rsidR="00E903FC" w:rsidRPr="00E903FC"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 xml:space="preserve">Прокурорите в региона са участвали в 50 броя съдебни заседания по мерки за неотклонение. </w:t>
      </w:r>
    </w:p>
    <w:p w14:paraId="48E0262A" w14:textId="77777777" w:rsidR="00E903FC" w:rsidRPr="00E903FC"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През отчетния период от прокурор по реда на чл. 63, ал. 6 от НПК са изменени 2 броя мерки „задържане под стража“ и  16 броя мерки за неотклонение по чл. 234, ал.8 от НПК.</w:t>
      </w:r>
    </w:p>
    <w:p w14:paraId="5A24E8FB" w14:textId="77777777" w:rsidR="00E903FC" w:rsidRPr="00E903FC" w:rsidRDefault="00E903FC" w:rsidP="00E903FC">
      <w:pPr>
        <w:spacing w:after="0" w:line="240" w:lineRule="auto"/>
        <w:jc w:val="both"/>
        <w:rPr>
          <w:rFonts w:ascii="Times New Roman" w:eastAsia="Calibri" w:hAnsi="Times New Roman" w:cs="Times New Roman"/>
          <w:sz w:val="28"/>
          <w:szCs w:val="28"/>
        </w:rPr>
      </w:pPr>
    </w:p>
    <w:p w14:paraId="550AC936" w14:textId="60C3A56A" w:rsidR="00E903FC" w:rsidRPr="00E903FC" w:rsidRDefault="00FA6A8E" w:rsidP="00E903F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i/>
          <w:color w:val="000000"/>
          <w:sz w:val="28"/>
          <w:lang w:eastAsia="bg-BG"/>
        </w:rPr>
      </w:pPr>
      <w:r>
        <w:rPr>
          <w:rFonts w:ascii="Times New Roman" w:eastAsia="Calibri" w:hAnsi="Times New Roman" w:cs="Arial"/>
          <w:b/>
          <w:i/>
          <w:color w:val="000000"/>
          <w:sz w:val="28"/>
          <w:lang w:eastAsia="bg-BG"/>
        </w:rPr>
        <w:tab/>
      </w:r>
      <w:bookmarkStart w:id="26" w:name="_Toc127370247"/>
      <w:r w:rsidR="00E903FC" w:rsidRPr="00E903FC">
        <w:rPr>
          <w:rFonts w:ascii="Times New Roman" w:eastAsia="Calibri" w:hAnsi="Times New Roman" w:cs="Arial"/>
          <w:b/>
          <w:i/>
          <w:color w:val="000000"/>
          <w:sz w:val="28"/>
          <w:lang w:eastAsia="bg-BG"/>
        </w:rPr>
        <w:t>2.2. Срочност на разследването:</w:t>
      </w:r>
      <w:bookmarkEnd w:id="26"/>
    </w:p>
    <w:p w14:paraId="19D60944" w14:textId="77777777" w:rsidR="00E903FC" w:rsidRPr="00E903FC" w:rsidRDefault="00E903FC" w:rsidP="00E903F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i/>
          <w:color w:val="000000"/>
          <w:sz w:val="28"/>
          <w:lang w:eastAsia="bg-BG"/>
        </w:rPr>
      </w:pPr>
    </w:p>
    <w:p w14:paraId="432E37B7" w14:textId="7398BC3C" w:rsidR="00E903FC" w:rsidRPr="00E903FC"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През</w:t>
      </w:r>
      <w:r w:rsidR="006045F4">
        <w:rPr>
          <w:rFonts w:ascii="Times New Roman" w:eastAsia="Calibri" w:hAnsi="Times New Roman" w:cs="Times New Roman"/>
          <w:sz w:val="28"/>
          <w:szCs w:val="28"/>
        </w:rPr>
        <w:t xml:space="preserve"> отчетната 2022 г. в прокуратурите</w:t>
      </w:r>
      <w:r w:rsidRPr="00E903FC">
        <w:rPr>
          <w:rFonts w:ascii="Times New Roman" w:eastAsia="Calibri" w:hAnsi="Times New Roman" w:cs="Times New Roman"/>
          <w:sz w:val="28"/>
          <w:szCs w:val="28"/>
        </w:rPr>
        <w:t xml:space="preserve"> от района на Окръжна прокуратура- Монтана са приключени 2 040 броя досъдебни производства. В законовия срок са приключени 2 040 броя досъдебни производства. Няма приключени ДП извън законовия срок. </w:t>
      </w:r>
    </w:p>
    <w:p w14:paraId="5F1C424B" w14:textId="55A6115C" w:rsidR="00E903FC" w:rsidRPr="00E903FC"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Неприключени са 1 101 броя досъдебни производства. През 2021 г. неприключилите ДП са били  1 130 броя, а през 2020г. - 1 286 броя.</w:t>
      </w:r>
    </w:p>
    <w:p w14:paraId="5A2816C7" w14:textId="74BD7FC8" w:rsidR="00E903FC" w:rsidRPr="00E903FC"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От решените общо 3 342 броя досъдебни производства до 1 месец са решени от прокурор 3 198 броя досъдебни производства, над един месец без удължен срок от административния ръководител- няма, до два месеца с удължен срок от административния ръководител са решени 140 броя досъдебни производства и над 2 месеца - 4 броя.</w:t>
      </w:r>
    </w:p>
    <w:p w14:paraId="4EFEC0D6" w14:textId="7CCCF236" w:rsidR="00E903FC" w:rsidRPr="00E903FC"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Нерешени в края на периода са останали 110 досъдебни производства, от които в рамките на до един месец - 98 броя;  над един месец без удължен срок от административния ръководител- няма , до 2 месеца с удължен срок от административния ръководител - 12 броя. Няма такива над два месеца.</w:t>
      </w:r>
    </w:p>
    <w:p w14:paraId="1E38A4D7" w14:textId="5D750856" w:rsidR="00E903FC" w:rsidRPr="00E903FC"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 xml:space="preserve">Продължителността  на досъдебната фаза, считано от образуване на досъдебното производство до решаването му от прокурор по същество с прекратяване или внасяне в съда, е, както следва: </w:t>
      </w:r>
    </w:p>
    <w:p w14:paraId="7E189070" w14:textId="77777777" w:rsidR="00E903FC" w:rsidRPr="00E903FC"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lastRenderedPageBreak/>
        <w:t xml:space="preserve">Общият брой на прекратените и внесени в съда досъдебни производства  през 2021 г. е 1 425 броя,  от които 887 досъдебни производства са приключени в срок до 8 месеца, 210 досъдебни производства са приключени в срок до 1 година и 190 броя досъдебни производства са приключени в срок над 1 година. 138 броя досъдебни производства са приключени в срок над 2 години. </w:t>
      </w:r>
    </w:p>
    <w:p w14:paraId="0F6A0BB5" w14:textId="77777777" w:rsidR="00E903FC" w:rsidRPr="00E903FC" w:rsidRDefault="00E903FC" w:rsidP="00FA6A8E">
      <w:pPr>
        <w:spacing w:after="0" w:line="240" w:lineRule="auto"/>
        <w:ind w:firstLine="708"/>
        <w:jc w:val="both"/>
        <w:rPr>
          <w:rFonts w:ascii="Times New Roman" w:eastAsia="Calibri" w:hAnsi="Times New Roman" w:cs="Times New Roman"/>
          <w:sz w:val="28"/>
          <w:szCs w:val="28"/>
          <w:lang w:val="en-US"/>
        </w:rPr>
      </w:pPr>
      <w:r w:rsidRPr="00E903FC">
        <w:rPr>
          <w:rFonts w:ascii="Times New Roman" w:eastAsia="Calibri" w:hAnsi="Times New Roman" w:cs="Times New Roman"/>
          <w:sz w:val="28"/>
          <w:szCs w:val="28"/>
        </w:rPr>
        <w:t>Следователно, може да се направи извод, че се подобрява качеството на прокурорската дейност по отношение на бързината за разследване, приключване и решаване на досъдебните производства, като се утвърждава тази положителна тенденция.</w:t>
      </w:r>
    </w:p>
    <w:p w14:paraId="724FCB55" w14:textId="77777777" w:rsidR="00E903FC" w:rsidRPr="00E903FC" w:rsidRDefault="00E903FC" w:rsidP="00E903FC">
      <w:pPr>
        <w:spacing w:after="0" w:line="240" w:lineRule="auto"/>
        <w:jc w:val="both"/>
        <w:rPr>
          <w:rFonts w:ascii="Times New Roman" w:eastAsia="Calibri" w:hAnsi="Times New Roman" w:cs="Arial"/>
          <w:b/>
          <w:i/>
          <w:color w:val="000000"/>
          <w:sz w:val="28"/>
          <w:lang w:eastAsia="bg-BG"/>
        </w:rPr>
      </w:pPr>
      <w:r w:rsidRPr="00E903FC">
        <w:rPr>
          <w:rFonts w:ascii="Times New Roman" w:eastAsia="Calibri" w:hAnsi="Times New Roman" w:cs="Arial"/>
          <w:b/>
          <w:i/>
          <w:color w:val="000000"/>
          <w:sz w:val="28"/>
          <w:lang w:val="en-US" w:eastAsia="bg-BG"/>
        </w:rPr>
        <w:t xml:space="preserve"> </w:t>
      </w:r>
    </w:p>
    <w:p w14:paraId="7A387F00" w14:textId="77777777" w:rsidR="00E903FC" w:rsidRPr="00E903FC" w:rsidRDefault="00E903FC" w:rsidP="00E903F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i/>
          <w:color w:val="000000"/>
          <w:sz w:val="28"/>
          <w:lang w:eastAsia="bg-BG"/>
        </w:rPr>
      </w:pPr>
      <w:bookmarkStart w:id="27" w:name="_Toc127370248"/>
      <w:r w:rsidRPr="00E903FC">
        <w:rPr>
          <w:rFonts w:ascii="Times New Roman" w:eastAsia="Calibri" w:hAnsi="Times New Roman" w:cs="Arial"/>
          <w:b/>
          <w:i/>
          <w:color w:val="000000"/>
          <w:sz w:val="28"/>
          <w:lang w:eastAsia="bg-BG"/>
        </w:rPr>
        <w:t>2.3. Решени досъдебни производства. Видове решения.</w:t>
      </w:r>
      <w:bookmarkEnd w:id="27"/>
      <w:r w:rsidRPr="00E903FC">
        <w:rPr>
          <w:rFonts w:ascii="Times New Roman" w:eastAsia="Calibri" w:hAnsi="Times New Roman" w:cs="Arial"/>
          <w:b/>
          <w:i/>
          <w:color w:val="000000"/>
          <w:sz w:val="28"/>
          <w:lang w:eastAsia="bg-BG"/>
        </w:rPr>
        <w:t xml:space="preserve"> </w:t>
      </w:r>
    </w:p>
    <w:p w14:paraId="646D1E68" w14:textId="77777777" w:rsidR="00E903FC" w:rsidRPr="00E903FC" w:rsidRDefault="00E903FC" w:rsidP="00E903F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i/>
          <w:color w:val="000000"/>
          <w:sz w:val="28"/>
          <w:lang w:eastAsia="bg-BG"/>
        </w:rPr>
      </w:pPr>
    </w:p>
    <w:p w14:paraId="49345BEA" w14:textId="66746A46" w:rsidR="00E903FC" w:rsidRPr="00E903FC" w:rsidRDefault="00FA6A8E" w:rsidP="00E903FC">
      <w:pPr>
        <w:shd w:val="clear" w:color="auto" w:fill="FFFFFF"/>
        <w:tabs>
          <w:tab w:val="left" w:pos="826"/>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E903FC" w:rsidRPr="00E903FC">
        <w:rPr>
          <w:rFonts w:ascii="Times New Roman" w:eastAsia="Calibri" w:hAnsi="Times New Roman" w:cs="Times New Roman"/>
          <w:color w:val="000000"/>
          <w:sz w:val="28"/>
          <w:szCs w:val="28"/>
          <w:u w:val="single"/>
        </w:rPr>
        <w:t>Решени</w:t>
      </w:r>
      <w:r w:rsidR="00E903FC" w:rsidRPr="00E903FC">
        <w:rPr>
          <w:rFonts w:ascii="Times New Roman" w:eastAsia="Calibri" w:hAnsi="Times New Roman" w:cs="Times New Roman"/>
          <w:color w:val="000000"/>
          <w:sz w:val="28"/>
          <w:szCs w:val="28"/>
        </w:rPr>
        <w:t xml:space="preserve"> са общо 3 342 броя досъдебни производства, от които до 1 месец са решени от прокурор   3 198 броя досъдебни производства, като през 2021г. решените са общо 2 308 броя досъдебни производства, от които до 1 месец са решени от прокурор   2 163 броя досъдебни производства, през 2020г. са решени общо 2 761 броя досъдебни производства, от които до 1 месец са решени от прокурор 2 581 броя досъдебни производства.</w:t>
      </w:r>
    </w:p>
    <w:p w14:paraId="78B6FB91" w14:textId="25559261" w:rsidR="00E903FC" w:rsidRPr="00E903FC"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u w:val="single"/>
        </w:rPr>
        <w:t>Нерешени</w:t>
      </w:r>
      <w:r w:rsidRPr="00E903FC">
        <w:rPr>
          <w:rFonts w:ascii="Times New Roman" w:eastAsia="Calibri" w:hAnsi="Times New Roman" w:cs="Times New Roman"/>
          <w:sz w:val="28"/>
          <w:szCs w:val="28"/>
        </w:rPr>
        <w:t xml:space="preserve"> са  110 броя досъдебни производства в края на периода. През 2021г. нерешените са 105 досъдебни производства, а през 2020г. тези производства са 100 броя.</w:t>
      </w:r>
    </w:p>
    <w:p w14:paraId="1EDDE888" w14:textId="77777777" w:rsidR="00E903FC" w:rsidRPr="00E903FC" w:rsidRDefault="00E903FC" w:rsidP="00E903FC">
      <w:pPr>
        <w:spacing w:after="0" w:line="240" w:lineRule="auto"/>
        <w:jc w:val="both"/>
        <w:rPr>
          <w:rFonts w:ascii="Times New Roman" w:eastAsia="Calibri" w:hAnsi="Times New Roman" w:cs="Times New Roman"/>
          <w:sz w:val="28"/>
          <w:szCs w:val="28"/>
        </w:rPr>
      </w:pPr>
    </w:p>
    <w:p w14:paraId="422E70D0" w14:textId="77777777" w:rsidR="00E903FC" w:rsidRPr="00E903FC" w:rsidRDefault="00E903FC" w:rsidP="00FA6A8E">
      <w:pPr>
        <w:spacing w:after="0" w:line="240" w:lineRule="auto"/>
        <w:ind w:firstLine="708"/>
        <w:jc w:val="both"/>
        <w:rPr>
          <w:rFonts w:ascii="Times New Roman" w:eastAsia="Calibri" w:hAnsi="Times New Roman" w:cs="Times New Roman"/>
          <w:i/>
          <w:sz w:val="24"/>
          <w:szCs w:val="24"/>
        </w:rPr>
      </w:pPr>
      <w:r w:rsidRPr="00E903FC">
        <w:rPr>
          <w:rFonts w:ascii="Times New Roman" w:eastAsia="Calibri" w:hAnsi="Times New Roman" w:cs="Times New Roman"/>
          <w:i/>
          <w:sz w:val="24"/>
          <w:szCs w:val="24"/>
        </w:rPr>
        <w:t>Видове решения по досъдебните производства:</w:t>
      </w:r>
    </w:p>
    <w:tbl>
      <w:tblPr>
        <w:tblpPr w:leftFromText="141" w:rightFromText="141" w:bottomFromText="200" w:vertAnchor="text" w:tblpXSpec="center" w:tblpY="1"/>
        <w:tblOverlap w:val="neve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6"/>
        <w:gridCol w:w="1578"/>
        <w:gridCol w:w="1558"/>
        <w:gridCol w:w="1700"/>
        <w:gridCol w:w="1458"/>
        <w:gridCol w:w="1485"/>
      </w:tblGrid>
      <w:tr w:rsidR="00E903FC" w:rsidRPr="00E903FC" w14:paraId="16403EBF" w14:textId="77777777" w:rsidTr="00E903FC">
        <w:tc>
          <w:tcPr>
            <w:tcW w:w="1086" w:type="dxa"/>
            <w:tcBorders>
              <w:top w:val="single" w:sz="4" w:space="0" w:color="auto"/>
              <w:left w:val="single" w:sz="4" w:space="0" w:color="auto"/>
              <w:bottom w:val="single" w:sz="4" w:space="0" w:color="auto"/>
              <w:right w:val="single" w:sz="4" w:space="0" w:color="auto"/>
            </w:tcBorders>
            <w:hideMark/>
          </w:tcPr>
          <w:p w14:paraId="0AAAB960"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Година</w:t>
            </w:r>
          </w:p>
        </w:tc>
        <w:tc>
          <w:tcPr>
            <w:tcW w:w="1578" w:type="dxa"/>
            <w:tcBorders>
              <w:top w:val="single" w:sz="4" w:space="0" w:color="auto"/>
              <w:left w:val="single" w:sz="4" w:space="0" w:color="auto"/>
              <w:bottom w:val="single" w:sz="4" w:space="0" w:color="auto"/>
              <w:right w:val="single" w:sz="4" w:space="0" w:color="auto"/>
            </w:tcBorders>
            <w:hideMark/>
          </w:tcPr>
          <w:p w14:paraId="52965B3C" w14:textId="77777777" w:rsidR="00E903FC" w:rsidRPr="00E903FC" w:rsidRDefault="00E903FC" w:rsidP="00E903FC">
            <w:pPr>
              <w:spacing w:after="0" w:line="240" w:lineRule="auto"/>
              <w:rPr>
                <w:rFonts w:ascii="Times New Roman" w:eastAsia="PMingLiU" w:hAnsi="Times New Roman" w:cs="Times New Roman"/>
                <w:sz w:val="24"/>
                <w:szCs w:val="24"/>
                <w:lang w:eastAsia="zh-TW"/>
              </w:rPr>
            </w:pPr>
            <w:r w:rsidRPr="00E903FC">
              <w:rPr>
                <w:rFonts w:ascii="Times New Roman" w:eastAsia="Calibri" w:hAnsi="Times New Roman" w:cs="Times New Roman"/>
                <w:sz w:val="24"/>
                <w:szCs w:val="24"/>
              </w:rPr>
              <w:t>Общо наблюд</w:t>
            </w:r>
            <w:r w:rsidRPr="00E903FC">
              <w:rPr>
                <w:rFonts w:ascii="Times New Roman" w:eastAsia="PMingLiU" w:hAnsi="Times New Roman" w:cs="Times New Roman"/>
                <w:sz w:val="24"/>
                <w:szCs w:val="24"/>
                <w:lang w:eastAsia="zh-TW"/>
              </w:rPr>
              <w:t>авани</w:t>
            </w:r>
          </w:p>
        </w:tc>
        <w:tc>
          <w:tcPr>
            <w:tcW w:w="1558" w:type="dxa"/>
            <w:tcBorders>
              <w:top w:val="single" w:sz="4" w:space="0" w:color="auto"/>
              <w:left w:val="single" w:sz="4" w:space="0" w:color="auto"/>
              <w:bottom w:val="single" w:sz="4" w:space="0" w:color="auto"/>
              <w:right w:val="single" w:sz="4" w:space="0" w:color="auto"/>
            </w:tcBorders>
            <w:hideMark/>
          </w:tcPr>
          <w:p w14:paraId="6D36F1F3"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Общо решени</w:t>
            </w:r>
          </w:p>
        </w:tc>
        <w:tc>
          <w:tcPr>
            <w:tcW w:w="1700" w:type="dxa"/>
            <w:tcBorders>
              <w:top w:val="single" w:sz="4" w:space="0" w:color="auto"/>
              <w:left w:val="single" w:sz="4" w:space="0" w:color="auto"/>
              <w:bottom w:val="single" w:sz="4" w:space="0" w:color="auto"/>
              <w:right w:val="single" w:sz="4" w:space="0" w:color="auto"/>
            </w:tcBorders>
            <w:hideMark/>
          </w:tcPr>
          <w:p w14:paraId="6FECD95B"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 xml:space="preserve">Прекратени </w:t>
            </w:r>
          </w:p>
          <w:p w14:paraId="6C5B6F6B"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вкл. по давност</w:t>
            </w:r>
          </w:p>
        </w:tc>
        <w:tc>
          <w:tcPr>
            <w:tcW w:w="1458" w:type="dxa"/>
            <w:tcBorders>
              <w:top w:val="single" w:sz="4" w:space="0" w:color="auto"/>
              <w:left w:val="single" w:sz="4" w:space="0" w:color="auto"/>
              <w:bottom w:val="single" w:sz="4" w:space="0" w:color="auto"/>
              <w:right w:val="single" w:sz="4" w:space="0" w:color="auto"/>
            </w:tcBorders>
            <w:hideMark/>
          </w:tcPr>
          <w:p w14:paraId="0ACE435A"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Общо спрени</w:t>
            </w:r>
          </w:p>
        </w:tc>
        <w:tc>
          <w:tcPr>
            <w:tcW w:w="1485" w:type="dxa"/>
            <w:tcBorders>
              <w:top w:val="single" w:sz="4" w:space="0" w:color="auto"/>
              <w:left w:val="single" w:sz="4" w:space="0" w:color="auto"/>
              <w:bottom w:val="single" w:sz="4" w:space="0" w:color="auto"/>
              <w:right w:val="single" w:sz="4" w:space="0" w:color="auto"/>
            </w:tcBorders>
            <w:hideMark/>
          </w:tcPr>
          <w:p w14:paraId="25FA8154"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Внесени в съда ДП</w:t>
            </w:r>
          </w:p>
        </w:tc>
      </w:tr>
      <w:tr w:rsidR="00E903FC" w:rsidRPr="00E903FC" w14:paraId="18A7C2BD" w14:textId="77777777" w:rsidTr="00E903FC">
        <w:tc>
          <w:tcPr>
            <w:tcW w:w="1086" w:type="dxa"/>
            <w:tcBorders>
              <w:top w:val="single" w:sz="4" w:space="0" w:color="auto"/>
              <w:left w:val="single" w:sz="4" w:space="0" w:color="auto"/>
              <w:bottom w:val="single" w:sz="4" w:space="0" w:color="auto"/>
              <w:right w:val="single" w:sz="4" w:space="0" w:color="auto"/>
            </w:tcBorders>
            <w:shd w:val="clear" w:color="auto" w:fill="D9D9D9"/>
            <w:hideMark/>
          </w:tcPr>
          <w:p w14:paraId="39B3E6F3" w14:textId="77777777" w:rsidR="00E903FC" w:rsidRPr="00E903FC" w:rsidRDefault="00E903FC" w:rsidP="00E903FC">
            <w:pPr>
              <w:autoSpaceDE w:val="0"/>
              <w:autoSpaceDN w:val="0"/>
              <w:adjustRightInd w:val="0"/>
              <w:jc w:val="both"/>
              <w:rPr>
                <w:rFonts w:ascii="Times New Roman" w:eastAsia="Calibri" w:hAnsi="Times New Roman" w:cs="Times New Roman"/>
                <w:b/>
                <w:sz w:val="24"/>
                <w:szCs w:val="24"/>
              </w:rPr>
            </w:pPr>
            <w:r w:rsidRPr="00E903FC">
              <w:rPr>
                <w:rFonts w:ascii="Times New Roman" w:eastAsia="Calibri" w:hAnsi="Times New Roman" w:cs="Times New Roman"/>
                <w:b/>
                <w:sz w:val="24"/>
                <w:szCs w:val="24"/>
              </w:rPr>
              <w:t>2022</w:t>
            </w:r>
          </w:p>
        </w:tc>
        <w:tc>
          <w:tcPr>
            <w:tcW w:w="1578" w:type="dxa"/>
            <w:tcBorders>
              <w:top w:val="single" w:sz="4" w:space="0" w:color="auto"/>
              <w:left w:val="single" w:sz="4" w:space="0" w:color="auto"/>
              <w:bottom w:val="single" w:sz="4" w:space="0" w:color="auto"/>
              <w:right w:val="single" w:sz="4" w:space="0" w:color="auto"/>
            </w:tcBorders>
            <w:shd w:val="clear" w:color="auto" w:fill="D9D9D9"/>
            <w:hideMark/>
          </w:tcPr>
          <w:p w14:paraId="45AFCFA5" w14:textId="77777777" w:rsidR="00E903FC" w:rsidRPr="00E903FC" w:rsidRDefault="00E903FC" w:rsidP="00E903FC">
            <w:pPr>
              <w:autoSpaceDE w:val="0"/>
              <w:autoSpaceDN w:val="0"/>
              <w:adjustRightInd w:val="0"/>
              <w:jc w:val="both"/>
              <w:rPr>
                <w:rFonts w:ascii="Times New Roman" w:eastAsia="Calibri" w:hAnsi="Times New Roman" w:cs="Times New Roman"/>
                <w:b/>
                <w:sz w:val="24"/>
                <w:szCs w:val="24"/>
              </w:rPr>
            </w:pPr>
            <w:r w:rsidRPr="00E903FC">
              <w:rPr>
                <w:rFonts w:ascii="Times New Roman" w:eastAsia="Calibri" w:hAnsi="Times New Roman" w:cs="Times New Roman"/>
                <w:b/>
                <w:sz w:val="24"/>
                <w:szCs w:val="24"/>
              </w:rPr>
              <w:t>4 582</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14:paraId="04BDBED8" w14:textId="77777777" w:rsidR="00E903FC" w:rsidRPr="00E903FC" w:rsidRDefault="00E903FC" w:rsidP="00E903FC">
            <w:pPr>
              <w:autoSpaceDE w:val="0"/>
              <w:autoSpaceDN w:val="0"/>
              <w:adjustRightInd w:val="0"/>
              <w:jc w:val="both"/>
              <w:rPr>
                <w:rFonts w:ascii="Times New Roman" w:eastAsia="Calibri" w:hAnsi="Times New Roman" w:cs="Times New Roman"/>
                <w:b/>
                <w:sz w:val="24"/>
                <w:szCs w:val="24"/>
              </w:rPr>
            </w:pPr>
            <w:r w:rsidRPr="00E903FC">
              <w:rPr>
                <w:rFonts w:ascii="Times New Roman" w:eastAsia="Calibri" w:hAnsi="Times New Roman" w:cs="Times New Roman"/>
                <w:b/>
                <w:sz w:val="24"/>
                <w:szCs w:val="24"/>
              </w:rPr>
              <w:t>3 342</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14:paraId="7E4F0608" w14:textId="77777777" w:rsidR="00E903FC" w:rsidRPr="00E903FC" w:rsidRDefault="00E903FC" w:rsidP="00E903FC">
            <w:pPr>
              <w:autoSpaceDE w:val="0"/>
              <w:autoSpaceDN w:val="0"/>
              <w:adjustRightInd w:val="0"/>
              <w:jc w:val="both"/>
              <w:rPr>
                <w:rFonts w:ascii="Times New Roman" w:eastAsia="Calibri" w:hAnsi="Times New Roman" w:cs="Times New Roman"/>
                <w:b/>
                <w:sz w:val="24"/>
                <w:szCs w:val="24"/>
              </w:rPr>
            </w:pPr>
            <w:r w:rsidRPr="00E903FC">
              <w:rPr>
                <w:rFonts w:ascii="Times New Roman" w:eastAsia="Calibri" w:hAnsi="Times New Roman" w:cs="Times New Roman"/>
                <w:b/>
                <w:sz w:val="24"/>
                <w:szCs w:val="24"/>
              </w:rPr>
              <w:t>2 105</w:t>
            </w:r>
          </w:p>
        </w:tc>
        <w:tc>
          <w:tcPr>
            <w:tcW w:w="1458" w:type="dxa"/>
            <w:tcBorders>
              <w:top w:val="single" w:sz="4" w:space="0" w:color="auto"/>
              <w:left w:val="single" w:sz="4" w:space="0" w:color="auto"/>
              <w:bottom w:val="single" w:sz="4" w:space="0" w:color="auto"/>
              <w:right w:val="single" w:sz="4" w:space="0" w:color="auto"/>
            </w:tcBorders>
            <w:shd w:val="clear" w:color="auto" w:fill="D9D9D9"/>
            <w:hideMark/>
          </w:tcPr>
          <w:p w14:paraId="38A76F7F" w14:textId="77777777" w:rsidR="00E903FC" w:rsidRPr="00E903FC" w:rsidRDefault="00E903FC" w:rsidP="00E903FC">
            <w:pPr>
              <w:autoSpaceDE w:val="0"/>
              <w:autoSpaceDN w:val="0"/>
              <w:adjustRightInd w:val="0"/>
              <w:jc w:val="both"/>
              <w:rPr>
                <w:rFonts w:ascii="Times New Roman" w:eastAsia="Calibri" w:hAnsi="Times New Roman" w:cs="Times New Roman"/>
                <w:b/>
                <w:sz w:val="24"/>
                <w:szCs w:val="24"/>
              </w:rPr>
            </w:pPr>
            <w:r w:rsidRPr="00E903FC">
              <w:rPr>
                <w:rFonts w:ascii="Times New Roman" w:eastAsia="Calibri" w:hAnsi="Times New Roman" w:cs="Times New Roman"/>
                <w:b/>
                <w:sz w:val="24"/>
                <w:szCs w:val="24"/>
              </w:rPr>
              <w:t>516</w:t>
            </w:r>
          </w:p>
        </w:tc>
        <w:tc>
          <w:tcPr>
            <w:tcW w:w="1485" w:type="dxa"/>
            <w:tcBorders>
              <w:top w:val="single" w:sz="4" w:space="0" w:color="auto"/>
              <w:left w:val="single" w:sz="4" w:space="0" w:color="auto"/>
              <w:bottom w:val="single" w:sz="4" w:space="0" w:color="auto"/>
              <w:right w:val="single" w:sz="4" w:space="0" w:color="auto"/>
            </w:tcBorders>
            <w:shd w:val="clear" w:color="auto" w:fill="D9D9D9"/>
            <w:hideMark/>
          </w:tcPr>
          <w:p w14:paraId="0A6D2817" w14:textId="77777777" w:rsidR="00E903FC" w:rsidRPr="00E903FC" w:rsidRDefault="00E903FC" w:rsidP="00E903FC">
            <w:pPr>
              <w:autoSpaceDE w:val="0"/>
              <w:autoSpaceDN w:val="0"/>
              <w:adjustRightInd w:val="0"/>
              <w:jc w:val="both"/>
              <w:rPr>
                <w:rFonts w:ascii="Times New Roman" w:eastAsia="Calibri" w:hAnsi="Times New Roman" w:cs="Times New Roman"/>
                <w:b/>
                <w:sz w:val="24"/>
                <w:szCs w:val="24"/>
              </w:rPr>
            </w:pPr>
            <w:r w:rsidRPr="00E903FC">
              <w:rPr>
                <w:rFonts w:ascii="Times New Roman" w:eastAsia="Calibri" w:hAnsi="Times New Roman" w:cs="Times New Roman"/>
                <w:b/>
                <w:sz w:val="24"/>
                <w:szCs w:val="24"/>
              </w:rPr>
              <w:t>669</w:t>
            </w:r>
          </w:p>
        </w:tc>
      </w:tr>
      <w:tr w:rsidR="00E903FC" w:rsidRPr="00E903FC" w14:paraId="73EBA06C" w14:textId="77777777" w:rsidTr="00E903F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E691F7"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2021</w:t>
            </w:r>
          </w:p>
        </w:tc>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7AB19C"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4 855</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FC7155"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2 308</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94A48C"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2 287</w:t>
            </w:r>
          </w:p>
        </w:tc>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793A17"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600</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B67D25"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696</w:t>
            </w:r>
          </w:p>
        </w:tc>
      </w:tr>
      <w:tr w:rsidR="00E903FC" w:rsidRPr="00E903FC" w14:paraId="68FB2BF6" w14:textId="77777777" w:rsidTr="00E903FC">
        <w:tc>
          <w:tcPr>
            <w:tcW w:w="1086" w:type="dxa"/>
            <w:tcBorders>
              <w:top w:val="single" w:sz="4" w:space="0" w:color="auto"/>
              <w:left w:val="single" w:sz="4" w:space="0" w:color="auto"/>
              <w:bottom w:val="single" w:sz="4" w:space="0" w:color="auto"/>
              <w:right w:val="single" w:sz="4" w:space="0" w:color="auto"/>
            </w:tcBorders>
            <w:hideMark/>
          </w:tcPr>
          <w:p w14:paraId="317640FA"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 xml:space="preserve">2020 </w:t>
            </w:r>
          </w:p>
        </w:tc>
        <w:tc>
          <w:tcPr>
            <w:tcW w:w="1578" w:type="dxa"/>
            <w:tcBorders>
              <w:top w:val="single" w:sz="4" w:space="0" w:color="auto"/>
              <w:left w:val="single" w:sz="4" w:space="0" w:color="auto"/>
              <w:bottom w:val="single" w:sz="4" w:space="0" w:color="auto"/>
              <w:right w:val="single" w:sz="4" w:space="0" w:color="auto"/>
            </w:tcBorders>
            <w:hideMark/>
          </w:tcPr>
          <w:p w14:paraId="20A791DC"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4 487</w:t>
            </w:r>
          </w:p>
        </w:tc>
        <w:tc>
          <w:tcPr>
            <w:tcW w:w="1558" w:type="dxa"/>
            <w:tcBorders>
              <w:top w:val="single" w:sz="4" w:space="0" w:color="auto"/>
              <w:left w:val="single" w:sz="4" w:space="0" w:color="auto"/>
              <w:bottom w:val="single" w:sz="4" w:space="0" w:color="auto"/>
              <w:right w:val="single" w:sz="4" w:space="0" w:color="auto"/>
            </w:tcBorders>
            <w:hideMark/>
          </w:tcPr>
          <w:p w14:paraId="579372FF"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2 761</w:t>
            </w:r>
          </w:p>
        </w:tc>
        <w:tc>
          <w:tcPr>
            <w:tcW w:w="1700" w:type="dxa"/>
            <w:tcBorders>
              <w:top w:val="single" w:sz="4" w:space="0" w:color="auto"/>
              <w:left w:val="single" w:sz="4" w:space="0" w:color="auto"/>
              <w:bottom w:val="single" w:sz="4" w:space="0" w:color="auto"/>
              <w:right w:val="single" w:sz="4" w:space="0" w:color="auto"/>
            </w:tcBorders>
            <w:hideMark/>
          </w:tcPr>
          <w:p w14:paraId="4EAF84D1"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1 608</w:t>
            </w:r>
          </w:p>
        </w:tc>
        <w:tc>
          <w:tcPr>
            <w:tcW w:w="1458" w:type="dxa"/>
            <w:tcBorders>
              <w:top w:val="single" w:sz="4" w:space="0" w:color="auto"/>
              <w:left w:val="single" w:sz="4" w:space="0" w:color="auto"/>
              <w:bottom w:val="single" w:sz="4" w:space="0" w:color="auto"/>
              <w:right w:val="single" w:sz="4" w:space="0" w:color="auto"/>
            </w:tcBorders>
            <w:hideMark/>
          </w:tcPr>
          <w:p w14:paraId="3E871A25"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625</w:t>
            </w:r>
          </w:p>
        </w:tc>
        <w:tc>
          <w:tcPr>
            <w:tcW w:w="1485" w:type="dxa"/>
            <w:tcBorders>
              <w:top w:val="single" w:sz="4" w:space="0" w:color="auto"/>
              <w:left w:val="single" w:sz="4" w:space="0" w:color="auto"/>
              <w:bottom w:val="single" w:sz="4" w:space="0" w:color="auto"/>
              <w:right w:val="single" w:sz="4" w:space="0" w:color="auto"/>
            </w:tcBorders>
            <w:hideMark/>
          </w:tcPr>
          <w:p w14:paraId="6002DD93" w14:textId="77777777" w:rsidR="00E903FC" w:rsidRPr="00E903FC" w:rsidRDefault="00E903FC" w:rsidP="00E903FC">
            <w:pPr>
              <w:autoSpaceDE w:val="0"/>
              <w:autoSpaceDN w:val="0"/>
              <w:adjustRightInd w:val="0"/>
              <w:jc w:val="both"/>
              <w:rPr>
                <w:rFonts w:ascii="Times New Roman" w:eastAsia="Calibri" w:hAnsi="Times New Roman" w:cs="Times New Roman"/>
                <w:sz w:val="24"/>
                <w:szCs w:val="24"/>
              </w:rPr>
            </w:pPr>
            <w:r w:rsidRPr="00E903FC">
              <w:rPr>
                <w:rFonts w:ascii="Times New Roman" w:eastAsia="Calibri" w:hAnsi="Times New Roman" w:cs="Times New Roman"/>
                <w:sz w:val="24"/>
                <w:szCs w:val="24"/>
              </w:rPr>
              <w:t>772</w:t>
            </w:r>
          </w:p>
        </w:tc>
      </w:tr>
    </w:tbl>
    <w:p w14:paraId="06D27B39" w14:textId="77777777" w:rsidR="00E903FC" w:rsidRPr="00E903FC" w:rsidRDefault="00E903FC" w:rsidP="00E903FC">
      <w:pPr>
        <w:spacing w:after="0" w:line="240" w:lineRule="auto"/>
        <w:jc w:val="both"/>
        <w:rPr>
          <w:rFonts w:ascii="Times New Roman" w:eastAsia="Calibri" w:hAnsi="Times New Roman" w:cs="Times New Roman"/>
          <w:sz w:val="28"/>
          <w:szCs w:val="28"/>
        </w:rPr>
      </w:pPr>
    </w:p>
    <w:p w14:paraId="53CE010A" w14:textId="77777777" w:rsidR="00E903FC" w:rsidRPr="00E903FC"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Продължителността  на досъдебната фаза, считано от образуване на досъдебното производство до решаването му от прокурор по същество с прекратяване или внасяне в съда, е:</w:t>
      </w:r>
    </w:p>
    <w:p w14:paraId="210AB37A" w14:textId="6AD781AD" w:rsidR="00E903FC" w:rsidRPr="00E903FC"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u w:val="single"/>
        </w:rPr>
        <w:t>Общият брой</w:t>
      </w:r>
      <w:r w:rsidRPr="00E903FC">
        <w:rPr>
          <w:rFonts w:ascii="Times New Roman" w:eastAsia="Calibri" w:hAnsi="Times New Roman" w:cs="Times New Roman"/>
          <w:sz w:val="28"/>
          <w:szCs w:val="28"/>
        </w:rPr>
        <w:t xml:space="preserve"> на прекратените и внесени в съда досъдебни производства през 2022 г. е 1 425 броя, от които 887 досъдебни производства са приключени в срок до 8 месеца, 210 са приключени в срок до 1 година и 190 ДП са приключени в срок над 1 година. Над 2 години са приключени 138 броя досъдебни производства. Общият брой на прекратените досъдебни производства е намалял спрямо 2021г. Намалял е и  броят на внесените в съда в сравнение с предходните два отчетни периода. </w:t>
      </w:r>
    </w:p>
    <w:p w14:paraId="329416CE" w14:textId="6896AEB3" w:rsidR="00E903FC" w:rsidRPr="00E903FC"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 xml:space="preserve">През отчетния период </w:t>
      </w:r>
      <w:r w:rsidRPr="00E903FC">
        <w:rPr>
          <w:rFonts w:ascii="Times New Roman" w:eastAsia="Calibri" w:hAnsi="Times New Roman" w:cs="Times New Roman"/>
          <w:sz w:val="28"/>
          <w:szCs w:val="28"/>
          <w:u w:val="single"/>
        </w:rPr>
        <w:t>по давност са прекратени</w:t>
      </w:r>
      <w:r w:rsidRPr="00E903FC">
        <w:rPr>
          <w:rFonts w:ascii="Times New Roman" w:eastAsia="Calibri" w:hAnsi="Times New Roman" w:cs="Times New Roman"/>
          <w:sz w:val="28"/>
          <w:szCs w:val="28"/>
        </w:rPr>
        <w:t xml:space="preserve"> 1 349 броя досъдебни производства, като няма такива, по които има лица, привлечени като обвиняеми. </w:t>
      </w:r>
    </w:p>
    <w:p w14:paraId="763B9B40" w14:textId="0DB88FBC" w:rsidR="00E903FC" w:rsidRPr="00E903FC"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u w:val="single"/>
        </w:rPr>
        <w:lastRenderedPageBreak/>
        <w:t>Извън тези по давност са прекратени</w:t>
      </w:r>
      <w:r w:rsidRPr="00E903FC">
        <w:rPr>
          <w:rFonts w:ascii="Times New Roman" w:eastAsia="Calibri" w:hAnsi="Times New Roman" w:cs="Times New Roman"/>
          <w:sz w:val="28"/>
          <w:szCs w:val="28"/>
        </w:rPr>
        <w:t xml:space="preserve"> 756 досъдебни производства, от които срещу лица, привлечени като обвиняеми - 71 броя досъдебни производства и без привлечени обвиняеми лица - 685 броя досъдебни производства. Анализът на тези стойности сочи, че срещу известни извършители са прекратени немалка част от общо прекратените ДП. Причината за това се дължи на несъбиране на необходимия обем от доказателства за ангажиране на наказателна отговорност спрямо определено лице.</w:t>
      </w:r>
    </w:p>
    <w:p w14:paraId="67BFCBDA" w14:textId="77777777" w:rsidR="00E903FC" w:rsidRPr="00E903FC"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Другата причина се съдържа в естеството на някои от съставите в НК, които дават привилегия на дееца при извършване на определени действия от негова страна и водят до задължение за прокурора да прекрати производството. Такива са случаите на чл. 183 от НК (когато деецът плати дължимата издръжка); по чл. 323, ал.3 от НК (когато самоуправството бъде отстранено); по чл. 343, ал. 1, б. „а“ и “б“ от НК (когато пострадалият поиска прекратяване); в случаите по чл. 9, ал. 2 от НК (когато деянието е малозначително или неговата обществена опасност е незначителна) и други.</w:t>
      </w:r>
    </w:p>
    <w:p w14:paraId="43FC4FB9" w14:textId="78C82623" w:rsidR="00E903FC" w:rsidRPr="00E903FC"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През отчетния период няма прекратени досъдебни производства, внесени в съда по искане на обвиняемия /</w:t>
      </w:r>
      <w:r w:rsidRPr="00E903FC">
        <w:rPr>
          <w:rFonts w:ascii="Times New Roman" w:eastAsia="Calibri" w:hAnsi="Times New Roman" w:cs="Times New Roman"/>
          <w:sz w:val="28"/>
          <w:szCs w:val="28"/>
          <w:u w:val="single"/>
        </w:rPr>
        <w:t>процедура по чл. 368-369 от НПК</w:t>
      </w:r>
      <w:r w:rsidRPr="00E903FC">
        <w:rPr>
          <w:rFonts w:ascii="Times New Roman" w:eastAsia="Calibri" w:hAnsi="Times New Roman" w:cs="Times New Roman"/>
          <w:sz w:val="28"/>
          <w:szCs w:val="28"/>
        </w:rPr>
        <w:t>/.</w:t>
      </w:r>
    </w:p>
    <w:p w14:paraId="418B4AC4" w14:textId="722FF5ED" w:rsidR="00E903FC" w:rsidRPr="00E903FC"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u w:val="single"/>
        </w:rPr>
        <w:t>Спрени</w:t>
      </w:r>
      <w:r w:rsidRPr="00E903FC">
        <w:rPr>
          <w:rFonts w:ascii="Times New Roman" w:eastAsia="Calibri" w:hAnsi="Times New Roman" w:cs="Times New Roman"/>
          <w:sz w:val="28"/>
          <w:szCs w:val="28"/>
        </w:rPr>
        <w:t xml:space="preserve"> са 516 броя досъдебни производства, от които 431 броя – поради неразкриване на извършителя и 85 броя - на други процесуални основания. </w:t>
      </w:r>
    </w:p>
    <w:p w14:paraId="17C023E3" w14:textId="199714CB" w:rsidR="00E903FC" w:rsidRPr="00E903FC"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u w:val="single"/>
        </w:rPr>
        <w:t>Възобновени</w:t>
      </w:r>
      <w:r w:rsidRPr="00E903FC">
        <w:rPr>
          <w:rFonts w:ascii="Times New Roman" w:eastAsia="Calibri" w:hAnsi="Times New Roman" w:cs="Times New Roman"/>
          <w:sz w:val="28"/>
          <w:szCs w:val="28"/>
        </w:rPr>
        <w:t xml:space="preserve"> са 206 броя досъдебни производства. Те имат дял от 40 % към общия брой на спрените ДП, което е много добра тенденция.</w:t>
      </w:r>
    </w:p>
    <w:p w14:paraId="412D7768" w14:textId="6DDBF1F4" w:rsidR="00E903FC" w:rsidRPr="00E903FC"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u w:val="single"/>
        </w:rPr>
        <w:t>Внесени в съда ДП</w:t>
      </w:r>
      <w:r w:rsidRPr="00E903FC">
        <w:rPr>
          <w:rFonts w:ascii="Times New Roman" w:eastAsia="Calibri" w:hAnsi="Times New Roman" w:cs="Times New Roman"/>
          <w:sz w:val="28"/>
          <w:szCs w:val="28"/>
        </w:rPr>
        <w:t>: В съда са внесени 669 броя досъдебни производства, с 678 прокурорски акта по отношение на 727 лица.</w:t>
      </w:r>
    </w:p>
    <w:p w14:paraId="084AB69D" w14:textId="77777777" w:rsidR="00E903FC" w:rsidRPr="00E903FC" w:rsidRDefault="00E903FC" w:rsidP="00E903FC">
      <w:pPr>
        <w:spacing w:after="0" w:line="240" w:lineRule="auto"/>
        <w:jc w:val="both"/>
        <w:rPr>
          <w:rFonts w:ascii="Times New Roman" w:eastAsia="Calibri" w:hAnsi="Times New Roman" w:cs="Times New Roman"/>
          <w:sz w:val="28"/>
          <w:szCs w:val="28"/>
        </w:rPr>
      </w:pPr>
    </w:p>
    <w:p w14:paraId="4C0F1538" w14:textId="77777777" w:rsidR="00E903FC" w:rsidRPr="00E903FC" w:rsidRDefault="00E903FC" w:rsidP="00E903FC">
      <w:pPr>
        <w:spacing w:after="0" w:line="240" w:lineRule="auto"/>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Следващата таблица показва цифровите стойности на внесените в съда ДП:</w:t>
      </w:r>
    </w:p>
    <w:p w14:paraId="76C47F4E" w14:textId="77777777" w:rsidR="00E903FC" w:rsidRPr="00E903FC" w:rsidRDefault="00E903FC" w:rsidP="00E903FC">
      <w:pPr>
        <w:spacing w:after="0" w:line="240" w:lineRule="auto"/>
        <w:rPr>
          <w:rFonts w:ascii="Times New Roman" w:eastAsia="Calibri" w:hAnsi="Times New Roman" w:cs="Times New Roman"/>
          <w:sz w:val="24"/>
          <w:szCs w:val="24"/>
        </w:rPr>
      </w:pPr>
    </w:p>
    <w:tbl>
      <w:tblPr>
        <w:tblpPr w:leftFromText="141" w:rightFromText="141" w:bottomFromText="200" w:vertAnchor="text" w:tblpXSpec="center" w:tblpY="1"/>
        <w:tblOverlap w:val="neve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
        <w:gridCol w:w="1081"/>
        <w:gridCol w:w="1533"/>
        <w:gridCol w:w="1246"/>
        <w:gridCol w:w="1599"/>
        <w:gridCol w:w="1692"/>
        <w:gridCol w:w="1614"/>
      </w:tblGrid>
      <w:tr w:rsidR="00E903FC" w:rsidRPr="00E903FC" w14:paraId="27E7F95A" w14:textId="77777777" w:rsidTr="00E903FC">
        <w:tc>
          <w:tcPr>
            <w:tcW w:w="961" w:type="dxa"/>
            <w:tcBorders>
              <w:top w:val="single" w:sz="4" w:space="0" w:color="auto"/>
              <w:left w:val="single" w:sz="4" w:space="0" w:color="auto"/>
              <w:bottom w:val="single" w:sz="4" w:space="0" w:color="auto"/>
              <w:right w:val="single" w:sz="4" w:space="0" w:color="auto"/>
            </w:tcBorders>
            <w:hideMark/>
          </w:tcPr>
          <w:p w14:paraId="6B54DA5B"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Година</w:t>
            </w:r>
          </w:p>
        </w:tc>
        <w:tc>
          <w:tcPr>
            <w:tcW w:w="1081" w:type="dxa"/>
            <w:tcBorders>
              <w:top w:val="single" w:sz="4" w:space="0" w:color="auto"/>
              <w:left w:val="single" w:sz="4" w:space="0" w:color="auto"/>
              <w:bottom w:val="single" w:sz="4" w:space="0" w:color="auto"/>
              <w:right w:val="single" w:sz="4" w:space="0" w:color="auto"/>
            </w:tcBorders>
            <w:hideMark/>
          </w:tcPr>
          <w:p w14:paraId="3149BB30"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Внесени в съда ДП</w:t>
            </w:r>
          </w:p>
        </w:tc>
        <w:tc>
          <w:tcPr>
            <w:tcW w:w="1533" w:type="dxa"/>
            <w:tcBorders>
              <w:top w:val="single" w:sz="4" w:space="0" w:color="auto"/>
              <w:left w:val="single" w:sz="4" w:space="0" w:color="auto"/>
              <w:bottom w:val="single" w:sz="4" w:space="0" w:color="auto"/>
              <w:right w:val="single" w:sz="4" w:space="0" w:color="auto"/>
            </w:tcBorders>
            <w:hideMark/>
          </w:tcPr>
          <w:p w14:paraId="749EEA17"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Внесени в съда прокурорски акта</w:t>
            </w:r>
          </w:p>
        </w:tc>
        <w:tc>
          <w:tcPr>
            <w:tcW w:w="1246" w:type="dxa"/>
            <w:tcBorders>
              <w:top w:val="single" w:sz="4" w:space="0" w:color="auto"/>
              <w:left w:val="single" w:sz="4" w:space="0" w:color="auto"/>
              <w:bottom w:val="single" w:sz="4" w:space="0" w:color="auto"/>
              <w:right w:val="single" w:sz="4" w:space="0" w:color="auto"/>
            </w:tcBorders>
            <w:hideMark/>
          </w:tcPr>
          <w:p w14:paraId="0F876367"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Лица по внесените акта</w:t>
            </w:r>
          </w:p>
        </w:tc>
        <w:tc>
          <w:tcPr>
            <w:tcW w:w="1599" w:type="dxa"/>
            <w:tcBorders>
              <w:top w:val="single" w:sz="4" w:space="0" w:color="auto"/>
              <w:left w:val="single" w:sz="4" w:space="0" w:color="auto"/>
              <w:bottom w:val="single" w:sz="4" w:space="0" w:color="auto"/>
              <w:right w:val="single" w:sz="4" w:space="0" w:color="auto"/>
            </w:tcBorders>
            <w:hideMark/>
          </w:tcPr>
          <w:p w14:paraId="57FD2163"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Обвинителни акта</w:t>
            </w:r>
          </w:p>
        </w:tc>
        <w:tc>
          <w:tcPr>
            <w:tcW w:w="1692" w:type="dxa"/>
            <w:tcBorders>
              <w:top w:val="single" w:sz="4" w:space="0" w:color="auto"/>
              <w:left w:val="single" w:sz="4" w:space="0" w:color="auto"/>
              <w:bottom w:val="single" w:sz="4" w:space="0" w:color="auto"/>
              <w:right w:val="single" w:sz="4" w:space="0" w:color="auto"/>
            </w:tcBorders>
            <w:hideMark/>
          </w:tcPr>
          <w:p w14:paraId="24F6AAEF"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 xml:space="preserve">Споразумения </w:t>
            </w:r>
          </w:p>
        </w:tc>
        <w:tc>
          <w:tcPr>
            <w:tcW w:w="1614" w:type="dxa"/>
            <w:tcBorders>
              <w:top w:val="single" w:sz="4" w:space="0" w:color="auto"/>
              <w:left w:val="single" w:sz="4" w:space="0" w:color="auto"/>
              <w:bottom w:val="single" w:sz="4" w:space="0" w:color="auto"/>
              <w:right w:val="single" w:sz="4" w:space="0" w:color="auto"/>
            </w:tcBorders>
            <w:hideMark/>
          </w:tcPr>
          <w:p w14:paraId="26084FBE"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Предложение по чл.78а НК</w:t>
            </w:r>
          </w:p>
        </w:tc>
      </w:tr>
      <w:tr w:rsidR="00E903FC" w:rsidRPr="00E903FC" w14:paraId="34240440" w14:textId="77777777" w:rsidTr="00E903FC">
        <w:tc>
          <w:tcPr>
            <w:tcW w:w="961" w:type="dxa"/>
            <w:tcBorders>
              <w:top w:val="single" w:sz="4" w:space="0" w:color="auto"/>
              <w:left w:val="single" w:sz="4" w:space="0" w:color="auto"/>
              <w:bottom w:val="single" w:sz="4" w:space="0" w:color="auto"/>
              <w:right w:val="single" w:sz="4" w:space="0" w:color="auto"/>
            </w:tcBorders>
            <w:shd w:val="clear" w:color="auto" w:fill="D9D9D9"/>
            <w:hideMark/>
          </w:tcPr>
          <w:p w14:paraId="0955B68F" w14:textId="77777777" w:rsidR="00E903FC" w:rsidRPr="00E903FC" w:rsidRDefault="00E903FC" w:rsidP="00E903FC">
            <w:pPr>
              <w:spacing w:after="0" w:line="240" w:lineRule="auto"/>
              <w:rPr>
                <w:rFonts w:ascii="Times New Roman" w:eastAsia="Calibri" w:hAnsi="Times New Roman" w:cs="Times New Roman"/>
                <w:b/>
                <w:sz w:val="24"/>
                <w:szCs w:val="24"/>
              </w:rPr>
            </w:pPr>
            <w:r w:rsidRPr="00E903FC">
              <w:rPr>
                <w:rFonts w:ascii="Times New Roman" w:eastAsia="Calibri" w:hAnsi="Times New Roman" w:cs="Times New Roman"/>
                <w:b/>
                <w:sz w:val="24"/>
                <w:szCs w:val="24"/>
              </w:rPr>
              <w:t>2022</w:t>
            </w:r>
          </w:p>
        </w:tc>
        <w:tc>
          <w:tcPr>
            <w:tcW w:w="1081" w:type="dxa"/>
            <w:tcBorders>
              <w:top w:val="single" w:sz="4" w:space="0" w:color="auto"/>
              <w:left w:val="single" w:sz="4" w:space="0" w:color="auto"/>
              <w:bottom w:val="single" w:sz="4" w:space="0" w:color="auto"/>
              <w:right w:val="single" w:sz="4" w:space="0" w:color="auto"/>
            </w:tcBorders>
            <w:shd w:val="clear" w:color="auto" w:fill="D9D9D9"/>
            <w:hideMark/>
          </w:tcPr>
          <w:p w14:paraId="38493CA7" w14:textId="77777777" w:rsidR="00E903FC" w:rsidRPr="00E903FC" w:rsidRDefault="00E903FC" w:rsidP="00E903FC">
            <w:pPr>
              <w:spacing w:after="0" w:line="240" w:lineRule="auto"/>
              <w:rPr>
                <w:rFonts w:ascii="Times New Roman" w:eastAsia="Calibri" w:hAnsi="Times New Roman" w:cs="Times New Roman"/>
                <w:b/>
                <w:sz w:val="24"/>
                <w:szCs w:val="24"/>
              </w:rPr>
            </w:pPr>
            <w:r w:rsidRPr="00E903FC">
              <w:rPr>
                <w:rFonts w:ascii="Times New Roman" w:eastAsia="Calibri" w:hAnsi="Times New Roman" w:cs="Times New Roman"/>
                <w:b/>
                <w:sz w:val="24"/>
                <w:szCs w:val="24"/>
              </w:rPr>
              <w:t>669</w:t>
            </w:r>
          </w:p>
        </w:tc>
        <w:tc>
          <w:tcPr>
            <w:tcW w:w="1533" w:type="dxa"/>
            <w:tcBorders>
              <w:top w:val="single" w:sz="4" w:space="0" w:color="auto"/>
              <w:left w:val="single" w:sz="4" w:space="0" w:color="auto"/>
              <w:bottom w:val="single" w:sz="4" w:space="0" w:color="auto"/>
              <w:right w:val="single" w:sz="4" w:space="0" w:color="auto"/>
            </w:tcBorders>
            <w:shd w:val="clear" w:color="auto" w:fill="D9D9D9"/>
            <w:hideMark/>
          </w:tcPr>
          <w:p w14:paraId="6CA8AF0D" w14:textId="77777777" w:rsidR="00E903FC" w:rsidRPr="00E903FC" w:rsidRDefault="00E903FC" w:rsidP="00E903FC">
            <w:pPr>
              <w:spacing w:after="0" w:line="240" w:lineRule="auto"/>
              <w:rPr>
                <w:rFonts w:ascii="Times New Roman" w:eastAsia="Calibri" w:hAnsi="Times New Roman" w:cs="Times New Roman"/>
                <w:b/>
                <w:sz w:val="24"/>
                <w:szCs w:val="24"/>
              </w:rPr>
            </w:pPr>
            <w:r w:rsidRPr="00E903FC">
              <w:rPr>
                <w:rFonts w:ascii="Times New Roman" w:eastAsia="Calibri" w:hAnsi="Times New Roman" w:cs="Times New Roman"/>
                <w:b/>
                <w:sz w:val="24"/>
                <w:szCs w:val="24"/>
              </w:rPr>
              <w:t>678</w:t>
            </w:r>
          </w:p>
        </w:tc>
        <w:tc>
          <w:tcPr>
            <w:tcW w:w="1246" w:type="dxa"/>
            <w:tcBorders>
              <w:top w:val="single" w:sz="4" w:space="0" w:color="auto"/>
              <w:left w:val="single" w:sz="4" w:space="0" w:color="auto"/>
              <w:bottom w:val="single" w:sz="4" w:space="0" w:color="auto"/>
              <w:right w:val="single" w:sz="4" w:space="0" w:color="auto"/>
            </w:tcBorders>
            <w:shd w:val="clear" w:color="auto" w:fill="D9D9D9"/>
            <w:hideMark/>
          </w:tcPr>
          <w:p w14:paraId="1E508481" w14:textId="77777777" w:rsidR="00E903FC" w:rsidRPr="00E903FC" w:rsidRDefault="00E903FC" w:rsidP="00E903FC">
            <w:pPr>
              <w:spacing w:after="0" w:line="240" w:lineRule="auto"/>
              <w:rPr>
                <w:rFonts w:ascii="Times New Roman" w:eastAsia="Calibri" w:hAnsi="Times New Roman" w:cs="Times New Roman"/>
                <w:b/>
                <w:sz w:val="24"/>
                <w:szCs w:val="24"/>
              </w:rPr>
            </w:pPr>
            <w:r w:rsidRPr="00E903FC">
              <w:rPr>
                <w:rFonts w:ascii="Times New Roman" w:eastAsia="Calibri" w:hAnsi="Times New Roman" w:cs="Times New Roman"/>
                <w:b/>
                <w:sz w:val="24"/>
                <w:szCs w:val="24"/>
              </w:rPr>
              <w:t>727</w:t>
            </w:r>
          </w:p>
        </w:tc>
        <w:tc>
          <w:tcPr>
            <w:tcW w:w="1599" w:type="dxa"/>
            <w:tcBorders>
              <w:top w:val="single" w:sz="4" w:space="0" w:color="auto"/>
              <w:left w:val="single" w:sz="4" w:space="0" w:color="auto"/>
              <w:bottom w:val="single" w:sz="4" w:space="0" w:color="auto"/>
              <w:right w:val="single" w:sz="4" w:space="0" w:color="auto"/>
            </w:tcBorders>
            <w:shd w:val="clear" w:color="auto" w:fill="D9D9D9"/>
            <w:hideMark/>
          </w:tcPr>
          <w:p w14:paraId="11F8093B" w14:textId="77777777" w:rsidR="00E903FC" w:rsidRPr="00E903FC" w:rsidRDefault="00E903FC" w:rsidP="00E903FC">
            <w:pPr>
              <w:spacing w:after="0" w:line="240" w:lineRule="auto"/>
              <w:rPr>
                <w:rFonts w:ascii="Times New Roman" w:eastAsia="Calibri" w:hAnsi="Times New Roman" w:cs="Times New Roman"/>
                <w:b/>
                <w:sz w:val="24"/>
                <w:szCs w:val="24"/>
              </w:rPr>
            </w:pPr>
            <w:r w:rsidRPr="00E903FC">
              <w:rPr>
                <w:rFonts w:ascii="Times New Roman" w:eastAsia="Calibri" w:hAnsi="Times New Roman" w:cs="Times New Roman"/>
                <w:b/>
                <w:sz w:val="24"/>
                <w:szCs w:val="24"/>
              </w:rPr>
              <w:t>420</w:t>
            </w:r>
          </w:p>
        </w:tc>
        <w:tc>
          <w:tcPr>
            <w:tcW w:w="1692" w:type="dxa"/>
            <w:tcBorders>
              <w:top w:val="single" w:sz="4" w:space="0" w:color="auto"/>
              <w:left w:val="single" w:sz="4" w:space="0" w:color="auto"/>
              <w:bottom w:val="single" w:sz="4" w:space="0" w:color="auto"/>
              <w:right w:val="single" w:sz="4" w:space="0" w:color="auto"/>
            </w:tcBorders>
            <w:shd w:val="clear" w:color="auto" w:fill="D9D9D9"/>
            <w:hideMark/>
          </w:tcPr>
          <w:p w14:paraId="7386D108" w14:textId="77777777" w:rsidR="00E903FC" w:rsidRPr="00E903FC" w:rsidRDefault="00E903FC" w:rsidP="00E903FC">
            <w:pPr>
              <w:spacing w:after="0" w:line="240" w:lineRule="auto"/>
              <w:rPr>
                <w:rFonts w:ascii="Times New Roman" w:eastAsia="Calibri" w:hAnsi="Times New Roman" w:cs="Times New Roman"/>
                <w:b/>
                <w:sz w:val="24"/>
                <w:szCs w:val="24"/>
              </w:rPr>
            </w:pPr>
            <w:r w:rsidRPr="00E903FC">
              <w:rPr>
                <w:rFonts w:ascii="Times New Roman" w:eastAsia="Calibri" w:hAnsi="Times New Roman" w:cs="Times New Roman"/>
                <w:b/>
                <w:sz w:val="24"/>
                <w:szCs w:val="24"/>
              </w:rPr>
              <w:t>171</w:t>
            </w:r>
          </w:p>
        </w:tc>
        <w:tc>
          <w:tcPr>
            <w:tcW w:w="1614" w:type="dxa"/>
            <w:tcBorders>
              <w:top w:val="single" w:sz="4" w:space="0" w:color="auto"/>
              <w:left w:val="single" w:sz="4" w:space="0" w:color="auto"/>
              <w:bottom w:val="single" w:sz="4" w:space="0" w:color="auto"/>
              <w:right w:val="single" w:sz="4" w:space="0" w:color="auto"/>
            </w:tcBorders>
            <w:shd w:val="clear" w:color="auto" w:fill="D9D9D9"/>
            <w:hideMark/>
          </w:tcPr>
          <w:p w14:paraId="160E0D61" w14:textId="77777777" w:rsidR="00E903FC" w:rsidRPr="00E903FC" w:rsidRDefault="00E903FC" w:rsidP="00E903FC">
            <w:pPr>
              <w:spacing w:after="0" w:line="240" w:lineRule="auto"/>
              <w:rPr>
                <w:rFonts w:ascii="Times New Roman" w:eastAsia="Calibri" w:hAnsi="Times New Roman" w:cs="Times New Roman"/>
                <w:b/>
                <w:sz w:val="24"/>
                <w:szCs w:val="24"/>
              </w:rPr>
            </w:pPr>
            <w:r w:rsidRPr="00E903FC">
              <w:rPr>
                <w:rFonts w:ascii="Times New Roman" w:eastAsia="Calibri" w:hAnsi="Times New Roman" w:cs="Times New Roman"/>
                <w:b/>
                <w:sz w:val="24"/>
                <w:szCs w:val="24"/>
              </w:rPr>
              <w:t>87</w:t>
            </w:r>
          </w:p>
        </w:tc>
      </w:tr>
      <w:tr w:rsidR="00E903FC" w:rsidRPr="00E903FC" w14:paraId="1BFFD94C" w14:textId="77777777" w:rsidTr="00E903F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C3E610"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2021</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5DD359"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696</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81C784"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704</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CFBFAF"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746</w:t>
            </w:r>
          </w:p>
        </w:tc>
        <w:tc>
          <w:tcPr>
            <w:tcW w:w="1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F98745"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385</w:t>
            </w: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C75515"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181</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17D980"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138</w:t>
            </w:r>
          </w:p>
        </w:tc>
      </w:tr>
      <w:tr w:rsidR="00E903FC" w:rsidRPr="00E903FC" w14:paraId="455FC6ED" w14:textId="77777777" w:rsidTr="00E903FC">
        <w:tc>
          <w:tcPr>
            <w:tcW w:w="961" w:type="dxa"/>
            <w:tcBorders>
              <w:top w:val="single" w:sz="4" w:space="0" w:color="auto"/>
              <w:left w:val="single" w:sz="4" w:space="0" w:color="auto"/>
              <w:bottom w:val="single" w:sz="4" w:space="0" w:color="auto"/>
              <w:right w:val="single" w:sz="4" w:space="0" w:color="auto"/>
            </w:tcBorders>
            <w:hideMark/>
          </w:tcPr>
          <w:p w14:paraId="413FEB43"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2020</w:t>
            </w:r>
          </w:p>
        </w:tc>
        <w:tc>
          <w:tcPr>
            <w:tcW w:w="1081" w:type="dxa"/>
            <w:tcBorders>
              <w:top w:val="single" w:sz="4" w:space="0" w:color="auto"/>
              <w:left w:val="single" w:sz="4" w:space="0" w:color="auto"/>
              <w:bottom w:val="single" w:sz="4" w:space="0" w:color="auto"/>
              <w:right w:val="single" w:sz="4" w:space="0" w:color="auto"/>
            </w:tcBorders>
            <w:hideMark/>
          </w:tcPr>
          <w:p w14:paraId="4C313B16"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772</w:t>
            </w:r>
          </w:p>
        </w:tc>
        <w:tc>
          <w:tcPr>
            <w:tcW w:w="1533" w:type="dxa"/>
            <w:tcBorders>
              <w:top w:val="single" w:sz="4" w:space="0" w:color="auto"/>
              <w:left w:val="single" w:sz="4" w:space="0" w:color="auto"/>
              <w:bottom w:val="single" w:sz="4" w:space="0" w:color="auto"/>
              <w:right w:val="single" w:sz="4" w:space="0" w:color="auto"/>
            </w:tcBorders>
            <w:hideMark/>
          </w:tcPr>
          <w:p w14:paraId="17B49B5A"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775</w:t>
            </w:r>
          </w:p>
        </w:tc>
        <w:tc>
          <w:tcPr>
            <w:tcW w:w="1246" w:type="dxa"/>
            <w:tcBorders>
              <w:top w:val="single" w:sz="4" w:space="0" w:color="auto"/>
              <w:left w:val="single" w:sz="4" w:space="0" w:color="auto"/>
              <w:bottom w:val="single" w:sz="4" w:space="0" w:color="auto"/>
              <w:right w:val="single" w:sz="4" w:space="0" w:color="auto"/>
            </w:tcBorders>
            <w:hideMark/>
          </w:tcPr>
          <w:p w14:paraId="06B895CE"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843</w:t>
            </w:r>
          </w:p>
        </w:tc>
        <w:tc>
          <w:tcPr>
            <w:tcW w:w="1599" w:type="dxa"/>
            <w:tcBorders>
              <w:top w:val="single" w:sz="4" w:space="0" w:color="auto"/>
              <w:left w:val="single" w:sz="4" w:space="0" w:color="auto"/>
              <w:bottom w:val="single" w:sz="4" w:space="0" w:color="auto"/>
              <w:right w:val="single" w:sz="4" w:space="0" w:color="auto"/>
            </w:tcBorders>
            <w:hideMark/>
          </w:tcPr>
          <w:p w14:paraId="7257A599"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402</w:t>
            </w:r>
          </w:p>
        </w:tc>
        <w:tc>
          <w:tcPr>
            <w:tcW w:w="1692" w:type="dxa"/>
            <w:tcBorders>
              <w:top w:val="single" w:sz="4" w:space="0" w:color="auto"/>
              <w:left w:val="single" w:sz="4" w:space="0" w:color="auto"/>
              <w:bottom w:val="single" w:sz="4" w:space="0" w:color="auto"/>
              <w:right w:val="single" w:sz="4" w:space="0" w:color="auto"/>
            </w:tcBorders>
            <w:hideMark/>
          </w:tcPr>
          <w:p w14:paraId="2778CD67"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191</w:t>
            </w:r>
          </w:p>
        </w:tc>
        <w:tc>
          <w:tcPr>
            <w:tcW w:w="1614" w:type="dxa"/>
            <w:tcBorders>
              <w:top w:val="single" w:sz="4" w:space="0" w:color="auto"/>
              <w:left w:val="single" w:sz="4" w:space="0" w:color="auto"/>
              <w:bottom w:val="single" w:sz="4" w:space="0" w:color="auto"/>
              <w:right w:val="single" w:sz="4" w:space="0" w:color="auto"/>
            </w:tcBorders>
            <w:hideMark/>
          </w:tcPr>
          <w:p w14:paraId="606CB4C5" w14:textId="77777777" w:rsidR="00E903FC" w:rsidRPr="00E903FC" w:rsidRDefault="00E903FC" w:rsidP="00E903FC">
            <w:pPr>
              <w:spacing w:after="0" w:line="240" w:lineRule="auto"/>
              <w:rPr>
                <w:rFonts w:ascii="Times New Roman" w:eastAsia="Calibri" w:hAnsi="Times New Roman" w:cs="Times New Roman"/>
                <w:sz w:val="24"/>
                <w:szCs w:val="24"/>
              </w:rPr>
            </w:pPr>
            <w:r w:rsidRPr="00E903FC">
              <w:rPr>
                <w:rFonts w:ascii="Times New Roman" w:eastAsia="Calibri" w:hAnsi="Times New Roman" w:cs="Times New Roman"/>
                <w:sz w:val="24"/>
                <w:szCs w:val="24"/>
              </w:rPr>
              <w:t>182</w:t>
            </w:r>
          </w:p>
        </w:tc>
      </w:tr>
    </w:tbl>
    <w:p w14:paraId="63A938F2" w14:textId="77777777" w:rsidR="00E903FC" w:rsidRPr="00E903FC"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При анализа на тези стойности се наблюдава общо намаляване на показателите спрямо 2021г. и спрямо 2020г., с изключение на обвинителните актове, броят на които се е увеличил през 2022г.</w:t>
      </w:r>
    </w:p>
    <w:p w14:paraId="6DFA84E3" w14:textId="77777777" w:rsidR="00E903FC" w:rsidRPr="00E903FC" w:rsidRDefault="00E903FC" w:rsidP="00E903FC">
      <w:pPr>
        <w:numPr>
          <w:ilvl w:val="0"/>
          <w:numId w:val="37"/>
        </w:numPr>
        <w:spacing w:after="0" w:line="240" w:lineRule="auto"/>
        <w:ind w:left="0" w:firstLine="709"/>
        <w:jc w:val="both"/>
        <w:rPr>
          <w:rFonts w:ascii="Times New Roman" w:eastAsia="Calibri" w:hAnsi="Times New Roman" w:cs="Times New Roman"/>
          <w:sz w:val="28"/>
          <w:szCs w:val="28"/>
        </w:rPr>
      </w:pPr>
      <w:r w:rsidRPr="00E903FC">
        <w:rPr>
          <w:rFonts w:ascii="Times New Roman" w:eastAsia="Calibri" w:hAnsi="Times New Roman" w:cs="Times New Roman"/>
          <w:sz w:val="28"/>
          <w:szCs w:val="28"/>
          <w:u w:val="single"/>
        </w:rPr>
        <w:t xml:space="preserve">Споразумението </w:t>
      </w:r>
      <w:r w:rsidRPr="00E903FC">
        <w:rPr>
          <w:rFonts w:ascii="Times New Roman" w:eastAsia="Calibri" w:hAnsi="Times New Roman" w:cs="Times New Roman"/>
          <w:sz w:val="28"/>
          <w:szCs w:val="28"/>
        </w:rPr>
        <w:t xml:space="preserve"> -  171 броя за 2022 г. (при 181 броя за 2021 г. и  191 броя за 2020 г.) се утвърждава, като основен способ за решаване на делата и постигане на осъдителна присъда. То има своите положителни черти – бързина на производството, стабилитет на съдебния акт, възстановяване на имуществените вреди на пострадалите лица. </w:t>
      </w:r>
    </w:p>
    <w:p w14:paraId="3EC8E4A9" w14:textId="77777777" w:rsidR="00E903FC" w:rsidRPr="00E903FC" w:rsidRDefault="00E903FC" w:rsidP="00E903FC">
      <w:pPr>
        <w:numPr>
          <w:ilvl w:val="0"/>
          <w:numId w:val="37"/>
        </w:numPr>
        <w:spacing w:after="0" w:line="240" w:lineRule="auto"/>
        <w:ind w:left="0" w:firstLine="709"/>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 xml:space="preserve">При </w:t>
      </w:r>
      <w:r w:rsidRPr="00E903FC">
        <w:rPr>
          <w:rFonts w:ascii="Times New Roman" w:eastAsia="Calibri" w:hAnsi="Times New Roman" w:cs="Times New Roman"/>
          <w:sz w:val="28"/>
          <w:szCs w:val="28"/>
          <w:u w:val="single"/>
        </w:rPr>
        <w:t>обвинителните актове</w:t>
      </w:r>
      <w:r w:rsidRPr="00E903FC">
        <w:rPr>
          <w:rFonts w:ascii="Times New Roman" w:eastAsia="Calibri" w:hAnsi="Times New Roman" w:cs="Times New Roman"/>
          <w:sz w:val="28"/>
          <w:szCs w:val="28"/>
        </w:rPr>
        <w:t xml:space="preserve"> се наблюдава увеличаване спрямо 2021г. и  2020 г. Внесените 420 броя обвинителни акта са по отношение на 469 обвиняеми лица, и по прокуратури се разпределят, както следва: Окръжна </w:t>
      </w:r>
      <w:r w:rsidRPr="00E903FC">
        <w:rPr>
          <w:rFonts w:ascii="Times New Roman" w:eastAsia="Calibri" w:hAnsi="Times New Roman" w:cs="Times New Roman"/>
          <w:sz w:val="28"/>
          <w:szCs w:val="28"/>
        </w:rPr>
        <w:lastRenderedPageBreak/>
        <w:t>прокуратура - Монтана - 16 броя ОА, Районна прокуратура - Монтана - 404 броя ОА.</w:t>
      </w:r>
    </w:p>
    <w:p w14:paraId="3BF90C53" w14:textId="77777777" w:rsidR="00E903FC" w:rsidRPr="00E903FC" w:rsidRDefault="00E903FC" w:rsidP="00E903FC">
      <w:pPr>
        <w:numPr>
          <w:ilvl w:val="0"/>
          <w:numId w:val="37"/>
        </w:numPr>
        <w:spacing w:after="0" w:line="240" w:lineRule="auto"/>
        <w:ind w:left="0" w:firstLine="709"/>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 xml:space="preserve">Внесени са 87 броя </w:t>
      </w:r>
      <w:r w:rsidRPr="00E903FC">
        <w:rPr>
          <w:rFonts w:ascii="Times New Roman" w:eastAsia="Calibri" w:hAnsi="Times New Roman" w:cs="Times New Roman"/>
          <w:sz w:val="28"/>
          <w:szCs w:val="28"/>
          <w:u w:val="single"/>
        </w:rPr>
        <w:t>предложения по чл. 78а от НК</w:t>
      </w:r>
      <w:r w:rsidRPr="00E903FC">
        <w:rPr>
          <w:rFonts w:ascii="Times New Roman" w:eastAsia="Calibri" w:hAnsi="Times New Roman" w:cs="Times New Roman"/>
          <w:sz w:val="28"/>
          <w:szCs w:val="28"/>
        </w:rPr>
        <w:t xml:space="preserve"> по отношение на 87 лица. През 2021 г. са внесени 138 броя предложения по чл.78а от НК,  а през 2020г. – 182 броя. Налице е тенденция към намаляване на изготвените в внесени в съда  предложения по чл.78а от НК.</w:t>
      </w:r>
    </w:p>
    <w:p w14:paraId="5C5A9954" w14:textId="77777777" w:rsidR="00E903FC" w:rsidRPr="00E903FC" w:rsidRDefault="00E903FC" w:rsidP="00E903FC">
      <w:pPr>
        <w:spacing w:after="0" w:line="240" w:lineRule="auto"/>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 xml:space="preserve"> </w:t>
      </w:r>
      <w:r w:rsidRPr="00E903FC">
        <w:rPr>
          <w:rFonts w:ascii="Times New Roman" w:eastAsia="Calibri" w:hAnsi="Times New Roman" w:cs="Times New Roman"/>
          <w:sz w:val="28"/>
          <w:szCs w:val="28"/>
        </w:rPr>
        <w:tab/>
      </w:r>
    </w:p>
    <w:p w14:paraId="1AB908CE" w14:textId="77777777" w:rsidR="00E903FC" w:rsidRPr="00E903FC" w:rsidRDefault="00E903FC" w:rsidP="00FA6A8E">
      <w:pPr>
        <w:spacing w:after="0" w:line="240" w:lineRule="auto"/>
        <w:ind w:firstLine="708"/>
        <w:jc w:val="both"/>
        <w:rPr>
          <w:rFonts w:ascii="Times New Roman" w:eastAsia="Calibri" w:hAnsi="Times New Roman" w:cs="Times New Roman"/>
          <w:b/>
          <w:smallCaps/>
          <w:sz w:val="28"/>
          <w:szCs w:val="28"/>
        </w:rPr>
      </w:pPr>
      <w:r w:rsidRPr="00E903FC">
        <w:rPr>
          <w:rFonts w:ascii="Times New Roman" w:eastAsia="Calibri" w:hAnsi="Times New Roman" w:cs="Times New Roman"/>
          <w:b/>
          <w:smallCaps/>
          <w:sz w:val="28"/>
          <w:szCs w:val="28"/>
        </w:rPr>
        <w:t>Обобщаващи изводи за досъдебните производства:</w:t>
      </w:r>
    </w:p>
    <w:p w14:paraId="47937FC8" w14:textId="77777777" w:rsidR="00E903FC" w:rsidRPr="00E903FC" w:rsidRDefault="00E903FC" w:rsidP="00E903FC">
      <w:pPr>
        <w:spacing w:after="0" w:line="240" w:lineRule="auto"/>
        <w:jc w:val="both"/>
        <w:rPr>
          <w:rFonts w:ascii="Times New Roman" w:eastAsia="Calibri" w:hAnsi="Times New Roman" w:cs="Times New Roman"/>
          <w:i/>
          <w:sz w:val="28"/>
          <w:szCs w:val="28"/>
        </w:rPr>
      </w:pPr>
    </w:p>
    <w:p w14:paraId="0099F74C" w14:textId="77777777" w:rsidR="00E903FC" w:rsidRPr="00E903FC" w:rsidRDefault="00E903FC" w:rsidP="00FA6A8E">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Сравнителните данни сочат, че е налице увеличаване на някои от съпоставяните основни показатели за 2022 г. в сравнение с 2021г. и с 2020г., а при други се забелязва известно намаляване.</w:t>
      </w:r>
    </w:p>
    <w:p w14:paraId="744FFDF7" w14:textId="03794A84" w:rsidR="00E903FC" w:rsidRPr="00FC76F9" w:rsidRDefault="00E903FC" w:rsidP="00FC76F9">
      <w:pPr>
        <w:pStyle w:val="a9"/>
        <w:numPr>
          <w:ilvl w:val="0"/>
          <w:numId w:val="48"/>
        </w:numPr>
        <w:spacing w:after="0" w:line="240" w:lineRule="auto"/>
        <w:ind w:left="0" w:firstLine="360"/>
        <w:jc w:val="both"/>
        <w:rPr>
          <w:rFonts w:ascii="Times New Roman" w:hAnsi="Times New Roman"/>
          <w:i/>
          <w:sz w:val="28"/>
          <w:szCs w:val="28"/>
        </w:rPr>
      </w:pPr>
      <w:r w:rsidRPr="00FC76F9">
        <w:rPr>
          <w:rFonts w:ascii="Times New Roman" w:hAnsi="Times New Roman"/>
          <w:sz w:val="28"/>
          <w:szCs w:val="28"/>
        </w:rPr>
        <w:t>При наблюдаваните досъдебни производства е налице намаляване спрямо 2021г. и  увеличаване спрямо 2020г, а именно:</w:t>
      </w:r>
      <w:r w:rsidR="00FA6A8E" w:rsidRPr="00FC76F9">
        <w:rPr>
          <w:rFonts w:ascii="Times New Roman" w:hAnsi="Times New Roman"/>
          <w:sz w:val="28"/>
          <w:szCs w:val="28"/>
        </w:rPr>
        <w:t xml:space="preserve"> </w:t>
      </w:r>
      <w:r w:rsidRPr="00FC76F9">
        <w:rPr>
          <w:rFonts w:ascii="Times New Roman" w:hAnsi="Times New Roman"/>
          <w:b/>
          <w:sz w:val="28"/>
          <w:szCs w:val="28"/>
        </w:rPr>
        <w:t xml:space="preserve">4 582 броя за 2022г. </w:t>
      </w:r>
      <w:r w:rsidRPr="00FC76F9">
        <w:rPr>
          <w:rFonts w:ascii="Times New Roman" w:hAnsi="Times New Roman"/>
          <w:sz w:val="28"/>
          <w:szCs w:val="28"/>
        </w:rPr>
        <w:t xml:space="preserve">при 4 855 броя за 2021г. и </w:t>
      </w:r>
      <w:r w:rsidRPr="00FC76F9">
        <w:rPr>
          <w:rFonts w:ascii="Times New Roman" w:hAnsi="Times New Roman"/>
          <w:b/>
          <w:sz w:val="28"/>
          <w:szCs w:val="28"/>
        </w:rPr>
        <w:t xml:space="preserve"> </w:t>
      </w:r>
      <w:r w:rsidRPr="00FC76F9">
        <w:rPr>
          <w:rFonts w:ascii="Times New Roman" w:hAnsi="Times New Roman"/>
          <w:sz w:val="28"/>
          <w:szCs w:val="28"/>
        </w:rPr>
        <w:t>4 487 броя за 2020 г..;</w:t>
      </w:r>
      <w:r w:rsidRPr="00FC76F9">
        <w:rPr>
          <w:rFonts w:ascii="Times New Roman" w:hAnsi="Times New Roman"/>
          <w:i/>
          <w:sz w:val="28"/>
          <w:szCs w:val="28"/>
        </w:rPr>
        <w:t xml:space="preserve">  </w:t>
      </w:r>
    </w:p>
    <w:p w14:paraId="07F9416D" w14:textId="42F5230C" w:rsidR="00E903FC" w:rsidRPr="00FC76F9" w:rsidRDefault="00E903FC" w:rsidP="00FC76F9">
      <w:pPr>
        <w:pStyle w:val="a9"/>
        <w:numPr>
          <w:ilvl w:val="0"/>
          <w:numId w:val="48"/>
        </w:numPr>
        <w:shd w:val="clear" w:color="auto" w:fill="FFFFFF"/>
        <w:spacing w:after="0" w:line="240" w:lineRule="auto"/>
        <w:ind w:left="0" w:firstLine="360"/>
        <w:contextualSpacing/>
        <w:jc w:val="both"/>
        <w:rPr>
          <w:rFonts w:ascii="Times New Roman" w:hAnsi="Times New Roman"/>
          <w:sz w:val="28"/>
          <w:szCs w:val="28"/>
        </w:rPr>
      </w:pPr>
      <w:r w:rsidRPr="00FC76F9">
        <w:rPr>
          <w:rFonts w:ascii="Times New Roman" w:hAnsi="Times New Roman"/>
          <w:sz w:val="28"/>
          <w:szCs w:val="28"/>
        </w:rPr>
        <w:t>При приключените досъдебни производства се наблюдава намаление спрямо 2021г. и спрямо 2020г.:</w:t>
      </w:r>
      <w:r w:rsidR="00FA6A8E" w:rsidRPr="00FC76F9">
        <w:rPr>
          <w:rFonts w:ascii="Times New Roman" w:hAnsi="Times New Roman"/>
          <w:sz w:val="28"/>
          <w:szCs w:val="28"/>
        </w:rPr>
        <w:t xml:space="preserve"> </w:t>
      </w:r>
      <w:r w:rsidRPr="00FC76F9">
        <w:rPr>
          <w:rFonts w:ascii="Times New Roman" w:hAnsi="Times New Roman"/>
          <w:b/>
          <w:sz w:val="28"/>
          <w:szCs w:val="28"/>
          <w:shd w:val="clear" w:color="auto" w:fill="FFFFFF"/>
        </w:rPr>
        <w:t xml:space="preserve">2 040 броя за 2022г. </w:t>
      </w:r>
      <w:r w:rsidRPr="00FC76F9">
        <w:rPr>
          <w:rFonts w:ascii="Times New Roman" w:hAnsi="Times New Roman"/>
          <w:sz w:val="28"/>
          <w:szCs w:val="28"/>
          <w:shd w:val="clear" w:color="auto" w:fill="FFFFFF"/>
        </w:rPr>
        <w:t>при 2 282 броя за 2021г. при 2 273 броя за 2020 г.</w:t>
      </w:r>
      <w:r w:rsidRPr="00FC76F9">
        <w:rPr>
          <w:rFonts w:ascii="Times New Roman" w:hAnsi="Times New Roman"/>
          <w:sz w:val="28"/>
          <w:szCs w:val="28"/>
        </w:rPr>
        <w:t xml:space="preserve">;  </w:t>
      </w:r>
    </w:p>
    <w:p w14:paraId="0CA5816E" w14:textId="65931414" w:rsidR="00E903FC" w:rsidRPr="00FC76F9" w:rsidRDefault="00E903FC" w:rsidP="00FC76F9">
      <w:pPr>
        <w:pStyle w:val="a9"/>
        <w:numPr>
          <w:ilvl w:val="0"/>
          <w:numId w:val="48"/>
        </w:numPr>
        <w:spacing w:after="0" w:line="240" w:lineRule="auto"/>
        <w:ind w:left="0" w:firstLine="360"/>
        <w:contextualSpacing/>
        <w:jc w:val="both"/>
        <w:rPr>
          <w:rFonts w:ascii="Times New Roman" w:hAnsi="Times New Roman"/>
          <w:b/>
          <w:sz w:val="28"/>
          <w:szCs w:val="28"/>
        </w:rPr>
      </w:pPr>
      <w:r w:rsidRPr="00FC76F9">
        <w:rPr>
          <w:rFonts w:ascii="Times New Roman" w:hAnsi="Times New Roman"/>
          <w:sz w:val="28"/>
          <w:szCs w:val="28"/>
        </w:rPr>
        <w:t>При решените досъдебни производства е налице увеличение спрямо предходните два периода:</w:t>
      </w:r>
      <w:r w:rsidR="00FA6A8E" w:rsidRPr="00FC76F9">
        <w:rPr>
          <w:rFonts w:ascii="Times New Roman" w:hAnsi="Times New Roman"/>
          <w:sz w:val="28"/>
          <w:szCs w:val="28"/>
        </w:rPr>
        <w:t xml:space="preserve"> </w:t>
      </w:r>
      <w:r w:rsidRPr="00FC76F9">
        <w:rPr>
          <w:rFonts w:ascii="Times New Roman" w:hAnsi="Times New Roman"/>
          <w:b/>
          <w:sz w:val="28"/>
          <w:szCs w:val="28"/>
        </w:rPr>
        <w:t xml:space="preserve">3 342 броя за 2022г. </w:t>
      </w:r>
      <w:r w:rsidRPr="00FC76F9">
        <w:rPr>
          <w:rFonts w:ascii="Times New Roman" w:hAnsi="Times New Roman"/>
          <w:sz w:val="28"/>
          <w:szCs w:val="28"/>
        </w:rPr>
        <w:t>при 2 308 броя за 2021г. и 2 761 броя за 2020г.</w:t>
      </w:r>
      <w:r w:rsidRPr="00FC76F9">
        <w:rPr>
          <w:rFonts w:ascii="Times New Roman" w:hAnsi="Times New Roman"/>
          <w:b/>
          <w:sz w:val="28"/>
          <w:szCs w:val="28"/>
        </w:rPr>
        <w:t xml:space="preserve"> </w:t>
      </w:r>
    </w:p>
    <w:p w14:paraId="257F74A5" w14:textId="0D6F792A" w:rsidR="00E903FC" w:rsidRPr="00FC76F9" w:rsidRDefault="00E903FC" w:rsidP="00FC76F9">
      <w:pPr>
        <w:pStyle w:val="a9"/>
        <w:numPr>
          <w:ilvl w:val="0"/>
          <w:numId w:val="48"/>
        </w:numPr>
        <w:spacing w:after="0" w:line="240" w:lineRule="auto"/>
        <w:ind w:left="0" w:firstLine="360"/>
        <w:jc w:val="both"/>
        <w:rPr>
          <w:rFonts w:ascii="Times New Roman" w:hAnsi="Times New Roman"/>
          <w:sz w:val="28"/>
          <w:szCs w:val="28"/>
        </w:rPr>
      </w:pPr>
      <w:r w:rsidRPr="00FC76F9">
        <w:rPr>
          <w:rFonts w:ascii="Times New Roman" w:hAnsi="Times New Roman"/>
          <w:sz w:val="28"/>
          <w:szCs w:val="28"/>
        </w:rPr>
        <w:t>При прекратените досъдебни производства се наблюдава  тенденция на намаляване спрямо 2021г. и увеличаване  спрямо  2020г.:</w:t>
      </w:r>
      <w:r w:rsidR="00FA6A8E" w:rsidRPr="00FC76F9">
        <w:rPr>
          <w:rFonts w:ascii="Times New Roman" w:hAnsi="Times New Roman"/>
          <w:sz w:val="28"/>
          <w:szCs w:val="28"/>
        </w:rPr>
        <w:t xml:space="preserve"> </w:t>
      </w:r>
      <w:r w:rsidRPr="00FC76F9">
        <w:rPr>
          <w:rFonts w:ascii="Times New Roman" w:hAnsi="Times New Roman"/>
          <w:b/>
          <w:sz w:val="28"/>
          <w:szCs w:val="28"/>
        </w:rPr>
        <w:t xml:space="preserve">2 105 броя за 2022г. </w:t>
      </w:r>
      <w:r w:rsidRPr="00FC76F9">
        <w:rPr>
          <w:rFonts w:ascii="Times New Roman" w:hAnsi="Times New Roman"/>
          <w:sz w:val="28"/>
          <w:szCs w:val="28"/>
        </w:rPr>
        <w:t>при 2 287 броя за 2021г. и</w:t>
      </w:r>
      <w:r w:rsidRPr="00FC76F9">
        <w:rPr>
          <w:rFonts w:ascii="Times New Roman" w:hAnsi="Times New Roman"/>
          <w:b/>
          <w:sz w:val="28"/>
          <w:szCs w:val="28"/>
        </w:rPr>
        <w:t xml:space="preserve"> </w:t>
      </w:r>
      <w:r w:rsidRPr="00FC76F9">
        <w:rPr>
          <w:rFonts w:ascii="Times New Roman" w:hAnsi="Times New Roman"/>
          <w:sz w:val="28"/>
          <w:szCs w:val="28"/>
        </w:rPr>
        <w:t>1 608 броя  за 2020 г.</w:t>
      </w:r>
      <w:r w:rsidRPr="00FC76F9">
        <w:rPr>
          <w:rFonts w:ascii="Times New Roman" w:hAnsi="Times New Roman"/>
          <w:sz w:val="28"/>
          <w:szCs w:val="28"/>
          <w:lang w:val="en-US"/>
        </w:rPr>
        <w:t>)</w:t>
      </w:r>
      <w:r w:rsidRPr="00FC76F9">
        <w:rPr>
          <w:rFonts w:ascii="Times New Roman" w:hAnsi="Times New Roman"/>
          <w:sz w:val="28"/>
          <w:szCs w:val="28"/>
        </w:rPr>
        <w:t xml:space="preserve">;  </w:t>
      </w:r>
    </w:p>
    <w:p w14:paraId="656340F2" w14:textId="6C6372FA" w:rsidR="00E903FC" w:rsidRPr="00FC76F9" w:rsidRDefault="00E903FC" w:rsidP="00FC76F9">
      <w:pPr>
        <w:pStyle w:val="a9"/>
        <w:numPr>
          <w:ilvl w:val="0"/>
          <w:numId w:val="48"/>
        </w:numPr>
        <w:spacing w:after="0" w:line="240" w:lineRule="auto"/>
        <w:ind w:left="0" w:firstLine="360"/>
        <w:jc w:val="both"/>
        <w:rPr>
          <w:rFonts w:ascii="Times New Roman" w:hAnsi="Times New Roman"/>
          <w:sz w:val="28"/>
          <w:szCs w:val="28"/>
        </w:rPr>
      </w:pPr>
      <w:r w:rsidRPr="00FC76F9">
        <w:rPr>
          <w:rFonts w:ascii="Times New Roman" w:hAnsi="Times New Roman"/>
          <w:sz w:val="28"/>
          <w:szCs w:val="28"/>
        </w:rPr>
        <w:t>При спрените досъдебни производства е налице тенденция за намаляване в срав</w:t>
      </w:r>
      <w:r w:rsidR="00FA6A8E" w:rsidRPr="00FC76F9">
        <w:rPr>
          <w:rFonts w:ascii="Times New Roman" w:hAnsi="Times New Roman"/>
          <w:sz w:val="28"/>
          <w:szCs w:val="28"/>
        </w:rPr>
        <w:t xml:space="preserve">нение с предходните две години: </w:t>
      </w:r>
      <w:r w:rsidRPr="00FC76F9">
        <w:rPr>
          <w:rFonts w:ascii="Times New Roman" w:hAnsi="Times New Roman"/>
          <w:b/>
          <w:sz w:val="28"/>
          <w:szCs w:val="28"/>
        </w:rPr>
        <w:t xml:space="preserve">516 броя за 2022г. </w:t>
      </w:r>
      <w:r w:rsidRPr="00FC76F9">
        <w:rPr>
          <w:rFonts w:ascii="Times New Roman" w:hAnsi="Times New Roman"/>
          <w:sz w:val="28"/>
          <w:szCs w:val="28"/>
        </w:rPr>
        <w:t>при 600 броя за 2021г. и</w:t>
      </w:r>
      <w:r w:rsidRPr="00FC76F9">
        <w:rPr>
          <w:rFonts w:ascii="Times New Roman" w:hAnsi="Times New Roman"/>
          <w:b/>
          <w:sz w:val="28"/>
          <w:szCs w:val="28"/>
        </w:rPr>
        <w:t xml:space="preserve">  </w:t>
      </w:r>
      <w:r w:rsidR="00FC76F9" w:rsidRPr="00FC76F9">
        <w:rPr>
          <w:rFonts w:ascii="Times New Roman" w:hAnsi="Times New Roman"/>
          <w:sz w:val="28"/>
          <w:szCs w:val="28"/>
        </w:rPr>
        <w:t xml:space="preserve">625 броя за 2020 г.; </w:t>
      </w:r>
      <w:r w:rsidRPr="00FC76F9">
        <w:rPr>
          <w:rFonts w:ascii="Times New Roman" w:hAnsi="Times New Roman"/>
          <w:sz w:val="28"/>
          <w:szCs w:val="28"/>
        </w:rPr>
        <w:t xml:space="preserve">Най-много спрени досъдебни производства се отчитат през 2020 г. - 625 броя. </w:t>
      </w:r>
    </w:p>
    <w:p w14:paraId="2365D99A" w14:textId="78A68D2F" w:rsidR="00E903FC" w:rsidRPr="00FC76F9" w:rsidRDefault="00E903FC" w:rsidP="00FC76F9">
      <w:pPr>
        <w:pStyle w:val="a9"/>
        <w:numPr>
          <w:ilvl w:val="0"/>
          <w:numId w:val="48"/>
        </w:numPr>
        <w:spacing w:after="0" w:line="240" w:lineRule="auto"/>
        <w:ind w:left="0" w:firstLine="360"/>
        <w:jc w:val="both"/>
        <w:rPr>
          <w:rFonts w:ascii="Times New Roman" w:hAnsi="Times New Roman"/>
          <w:i/>
          <w:sz w:val="28"/>
          <w:szCs w:val="28"/>
        </w:rPr>
      </w:pPr>
      <w:r w:rsidRPr="00FC76F9">
        <w:rPr>
          <w:rFonts w:ascii="Times New Roman" w:hAnsi="Times New Roman"/>
          <w:sz w:val="28"/>
          <w:szCs w:val="28"/>
        </w:rPr>
        <w:t>Внесените в съда досъдебни производства са намалели спрямо 2021г. и  спрямо 2020 г.:</w:t>
      </w:r>
      <w:r w:rsidR="00FC76F9" w:rsidRPr="00FC76F9">
        <w:rPr>
          <w:rFonts w:ascii="Times New Roman" w:hAnsi="Times New Roman"/>
          <w:sz w:val="28"/>
          <w:szCs w:val="28"/>
        </w:rPr>
        <w:t xml:space="preserve"> </w:t>
      </w:r>
      <w:r w:rsidRPr="00FC76F9">
        <w:rPr>
          <w:rFonts w:ascii="Times New Roman" w:hAnsi="Times New Roman"/>
          <w:b/>
          <w:sz w:val="28"/>
          <w:szCs w:val="28"/>
        </w:rPr>
        <w:t>669 броя за 2022г.</w:t>
      </w:r>
      <w:r w:rsidRPr="00FC76F9">
        <w:rPr>
          <w:rFonts w:ascii="Times New Roman" w:hAnsi="Times New Roman"/>
          <w:b/>
          <w:sz w:val="28"/>
          <w:szCs w:val="28"/>
          <w:lang w:val="en-US"/>
        </w:rPr>
        <w:t xml:space="preserve"> </w:t>
      </w:r>
      <w:r w:rsidRPr="00FC76F9">
        <w:rPr>
          <w:rFonts w:ascii="Times New Roman" w:hAnsi="Times New Roman"/>
          <w:sz w:val="28"/>
          <w:szCs w:val="28"/>
          <w:lang w:val="en-US"/>
        </w:rPr>
        <w:t>(14</w:t>
      </w:r>
      <w:r w:rsidRPr="00FC76F9">
        <w:rPr>
          <w:rFonts w:ascii="Times New Roman" w:hAnsi="Times New Roman"/>
          <w:sz w:val="28"/>
          <w:szCs w:val="28"/>
        </w:rPr>
        <w:t>.6 % от наблюдаваните</w:t>
      </w:r>
      <w:r w:rsidRPr="00FC76F9">
        <w:rPr>
          <w:rFonts w:ascii="Times New Roman" w:hAnsi="Times New Roman"/>
          <w:sz w:val="28"/>
          <w:szCs w:val="28"/>
          <w:lang w:val="en-US"/>
        </w:rPr>
        <w:t>)</w:t>
      </w:r>
      <w:r w:rsidRPr="00FC76F9">
        <w:rPr>
          <w:rFonts w:ascii="Times New Roman" w:hAnsi="Times New Roman"/>
          <w:sz w:val="28"/>
          <w:szCs w:val="28"/>
        </w:rPr>
        <w:t>, при 696 броя за 2021 г.</w:t>
      </w:r>
      <w:r w:rsidRPr="00FC76F9">
        <w:rPr>
          <w:rFonts w:ascii="Times New Roman" w:hAnsi="Times New Roman"/>
          <w:b/>
          <w:sz w:val="28"/>
          <w:szCs w:val="28"/>
        </w:rPr>
        <w:t xml:space="preserve">  </w:t>
      </w:r>
      <w:r w:rsidRPr="00FC76F9">
        <w:rPr>
          <w:rFonts w:ascii="Times New Roman" w:hAnsi="Times New Roman"/>
          <w:sz w:val="28"/>
          <w:szCs w:val="28"/>
        </w:rPr>
        <w:t>при 772 броя за 2020г.</w:t>
      </w:r>
      <w:r w:rsidR="00FC76F9" w:rsidRPr="00FC76F9">
        <w:rPr>
          <w:rFonts w:ascii="Times New Roman" w:hAnsi="Times New Roman"/>
          <w:i/>
          <w:sz w:val="28"/>
          <w:szCs w:val="28"/>
        </w:rPr>
        <w:t xml:space="preserve"> ;  </w:t>
      </w:r>
      <w:r w:rsidRPr="00FC76F9">
        <w:rPr>
          <w:rFonts w:ascii="Times New Roman" w:hAnsi="Times New Roman"/>
          <w:sz w:val="28"/>
          <w:szCs w:val="28"/>
        </w:rPr>
        <w:t>При обвинителните актове е налице увеличение спрямо 2021 г. и 2020 г. Подобна тенденция се наблюдава и по отношение на обвиняемите лица:</w:t>
      </w:r>
    </w:p>
    <w:p w14:paraId="1559A14B" w14:textId="77777777" w:rsidR="00E903FC" w:rsidRPr="00FC76F9" w:rsidRDefault="00E903FC" w:rsidP="00FC76F9">
      <w:pPr>
        <w:pStyle w:val="a9"/>
        <w:numPr>
          <w:ilvl w:val="0"/>
          <w:numId w:val="49"/>
        </w:numPr>
        <w:spacing w:after="0" w:line="240" w:lineRule="auto"/>
        <w:ind w:left="0" w:firstLine="360"/>
        <w:jc w:val="both"/>
        <w:rPr>
          <w:rFonts w:ascii="Times New Roman" w:hAnsi="Times New Roman"/>
          <w:i/>
          <w:sz w:val="28"/>
          <w:szCs w:val="28"/>
        </w:rPr>
      </w:pPr>
      <w:r w:rsidRPr="00FC76F9">
        <w:rPr>
          <w:rFonts w:ascii="Times New Roman" w:hAnsi="Times New Roman"/>
          <w:b/>
          <w:i/>
          <w:sz w:val="28"/>
          <w:szCs w:val="28"/>
        </w:rPr>
        <w:t xml:space="preserve">През 2022г. са внесени 420 броя обвинителни актове, </w:t>
      </w:r>
      <w:r w:rsidRPr="00FC76F9">
        <w:rPr>
          <w:rFonts w:ascii="Times New Roman" w:hAnsi="Times New Roman"/>
          <w:sz w:val="28"/>
          <w:szCs w:val="28"/>
        </w:rPr>
        <w:t>за 2021г. – 385 броя, а за 2020г. са внесени 402 броя обвинителни актове,  като абсолютни стойности и е налице</w:t>
      </w:r>
      <w:r w:rsidRPr="00FC76F9">
        <w:rPr>
          <w:rFonts w:ascii="Times New Roman" w:hAnsi="Times New Roman"/>
          <w:i/>
          <w:sz w:val="28"/>
          <w:szCs w:val="28"/>
        </w:rPr>
        <w:t xml:space="preserve"> </w:t>
      </w:r>
      <w:r w:rsidRPr="00FC76F9">
        <w:rPr>
          <w:rFonts w:ascii="Times New Roman" w:hAnsi="Times New Roman"/>
          <w:sz w:val="28"/>
          <w:szCs w:val="28"/>
        </w:rPr>
        <w:t>тенденцията към увеличаване на броя на обвинителните актове и обвиняемите лица спрямо две години.</w:t>
      </w:r>
      <w:r w:rsidRPr="00FC76F9">
        <w:rPr>
          <w:rFonts w:ascii="Times New Roman" w:hAnsi="Times New Roman"/>
          <w:i/>
          <w:sz w:val="28"/>
          <w:szCs w:val="28"/>
        </w:rPr>
        <w:t xml:space="preserve"> </w:t>
      </w:r>
    </w:p>
    <w:p w14:paraId="1220FC91" w14:textId="5BB852A5" w:rsidR="00E903FC" w:rsidRPr="00FC76F9" w:rsidRDefault="00E903FC" w:rsidP="00FC76F9">
      <w:pPr>
        <w:pStyle w:val="a9"/>
        <w:numPr>
          <w:ilvl w:val="0"/>
          <w:numId w:val="49"/>
        </w:numPr>
        <w:spacing w:after="0" w:line="240" w:lineRule="auto"/>
        <w:ind w:left="0" w:firstLine="360"/>
        <w:contextualSpacing/>
        <w:jc w:val="both"/>
        <w:rPr>
          <w:rFonts w:ascii="Times New Roman" w:hAnsi="Times New Roman"/>
          <w:sz w:val="28"/>
          <w:szCs w:val="28"/>
        </w:rPr>
      </w:pPr>
      <w:r w:rsidRPr="00FC76F9">
        <w:rPr>
          <w:rFonts w:ascii="Times New Roman" w:hAnsi="Times New Roman"/>
          <w:sz w:val="28"/>
          <w:szCs w:val="28"/>
        </w:rPr>
        <w:t>При предложенията по чл. 78а НК е налице тенденция на значително намаляване спрямо 2021 г. и спрямо 2020 г.:</w:t>
      </w:r>
      <w:r w:rsidR="00FC76F9" w:rsidRPr="00FC76F9">
        <w:rPr>
          <w:rFonts w:ascii="Times New Roman" w:hAnsi="Times New Roman"/>
          <w:sz w:val="28"/>
          <w:szCs w:val="28"/>
        </w:rPr>
        <w:t xml:space="preserve"> </w:t>
      </w:r>
      <w:r w:rsidRPr="00FC76F9">
        <w:rPr>
          <w:rFonts w:ascii="Times New Roman" w:hAnsi="Times New Roman"/>
          <w:b/>
          <w:sz w:val="28"/>
          <w:szCs w:val="28"/>
        </w:rPr>
        <w:t>87 броя предложения /</w:t>
      </w:r>
      <w:r w:rsidRPr="00FC76F9">
        <w:rPr>
          <w:rFonts w:ascii="Times New Roman" w:hAnsi="Times New Roman"/>
          <w:sz w:val="28"/>
          <w:szCs w:val="28"/>
        </w:rPr>
        <w:t>2.6% от решените ДП/</w:t>
      </w:r>
      <w:r w:rsidRPr="00FC76F9">
        <w:rPr>
          <w:rFonts w:ascii="Times New Roman" w:hAnsi="Times New Roman"/>
          <w:b/>
          <w:sz w:val="28"/>
          <w:szCs w:val="28"/>
        </w:rPr>
        <w:t xml:space="preserve"> </w:t>
      </w:r>
      <w:r w:rsidRPr="00FC76F9">
        <w:rPr>
          <w:rFonts w:ascii="Times New Roman" w:hAnsi="Times New Roman"/>
          <w:sz w:val="28"/>
          <w:szCs w:val="28"/>
        </w:rPr>
        <w:t xml:space="preserve">при 138 броя  за 2021г. </w:t>
      </w:r>
      <w:r w:rsidRPr="00FC76F9">
        <w:rPr>
          <w:rFonts w:ascii="Times New Roman" w:hAnsi="Times New Roman"/>
          <w:sz w:val="28"/>
          <w:szCs w:val="28"/>
          <w:lang w:val="en-US"/>
        </w:rPr>
        <w:t>(</w:t>
      </w:r>
      <w:r w:rsidRPr="00FC76F9">
        <w:rPr>
          <w:rFonts w:ascii="Times New Roman" w:hAnsi="Times New Roman"/>
          <w:sz w:val="28"/>
          <w:szCs w:val="28"/>
        </w:rPr>
        <w:t>6% от решените ДП</w:t>
      </w:r>
      <w:r w:rsidRPr="00FC76F9">
        <w:rPr>
          <w:rFonts w:ascii="Times New Roman" w:hAnsi="Times New Roman"/>
          <w:b/>
          <w:sz w:val="28"/>
          <w:szCs w:val="28"/>
          <w:lang w:val="en-US"/>
        </w:rPr>
        <w:t>)</w:t>
      </w:r>
      <w:r w:rsidRPr="00FC76F9">
        <w:rPr>
          <w:rFonts w:ascii="Times New Roman" w:hAnsi="Times New Roman"/>
          <w:b/>
          <w:sz w:val="28"/>
          <w:szCs w:val="28"/>
        </w:rPr>
        <w:t xml:space="preserve">, </w:t>
      </w:r>
      <w:r w:rsidRPr="00FC76F9">
        <w:rPr>
          <w:rFonts w:ascii="Times New Roman" w:hAnsi="Times New Roman"/>
          <w:sz w:val="28"/>
          <w:szCs w:val="28"/>
        </w:rPr>
        <w:t>при 182 броя за 2020 г. (6.5% от решените ДП);</w:t>
      </w:r>
    </w:p>
    <w:p w14:paraId="168606E4" w14:textId="3EBA9104" w:rsidR="00E903FC" w:rsidRPr="00FC76F9" w:rsidRDefault="00E903FC" w:rsidP="00FC76F9">
      <w:pPr>
        <w:pStyle w:val="a9"/>
        <w:numPr>
          <w:ilvl w:val="0"/>
          <w:numId w:val="49"/>
        </w:numPr>
        <w:tabs>
          <w:tab w:val="left" w:pos="709"/>
          <w:tab w:val="left" w:pos="1134"/>
        </w:tabs>
        <w:spacing w:after="0" w:line="240" w:lineRule="auto"/>
        <w:ind w:left="0" w:firstLine="360"/>
        <w:jc w:val="both"/>
        <w:rPr>
          <w:rFonts w:ascii="Times New Roman" w:hAnsi="Times New Roman"/>
          <w:sz w:val="28"/>
          <w:szCs w:val="28"/>
        </w:rPr>
      </w:pPr>
      <w:r w:rsidRPr="00FC76F9">
        <w:rPr>
          <w:rFonts w:ascii="Times New Roman" w:hAnsi="Times New Roman"/>
          <w:sz w:val="28"/>
          <w:szCs w:val="28"/>
        </w:rPr>
        <w:t>При споразуменията се забелязва тенденция към намаляване в сравнение с 2021г. и 2020 г.</w:t>
      </w:r>
      <w:r w:rsidRPr="00FC76F9">
        <w:rPr>
          <w:rFonts w:ascii="Times New Roman" w:hAnsi="Times New Roman"/>
          <w:i/>
          <w:sz w:val="28"/>
          <w:szCs w:val="28"/>
        </w:rPr>
        <w:t xml:space="preserve">  - </w:t>
      </w:r>
      <w:r w:rsidRPr="00FC76F9">
        <w:rPr>
          <w:rFonts w:ascii="Times New Roman" w:hAnsi="Times New Roman"/>
          <w:b/>
          <w:sz w:val="28"/>
          <w:szCs w:val="28"/>
        </w:rPr>
        <w:t>171 броя за 2022</w:t>
      </w:r>
      <w:r w:rsidRPr="00FC76F9">
        <w:rPr>
          <w:rFonts w:ascii="Times New Roman" w:hAnsi="Times New Roman"/>
          <w:sz w:val="28"/>
          <w:szCs w:val="28"/>
        </w:rPr>
        <w:t>г</w:t>
      </w:r>
      <w:r w:rsidRPr="00FC76F9">
        <w:rPr>
          <w:rFonts w:ascii="Times New Roman" w:hAnsi="Times New Roman"/>
          <w:i/>
          <w:sz w:val="28"/>
          <w:szCs w:val="28"/>
        </w:rPr>
        <w:t xml:space="preserve">. </w:t>
      </w:r>
      <w:r w:rsidRPr="00FC76F9">
        <w:rPr>
          <w:rFonts w:ascii="Times New Roman" w:hAnsi="Times New Roman"/>
          <w:sz w:val="28"/>
          <w:szCs w:val="28"/>
        </w:rPr>
        <w:t>(5.12 % от решените ДП) при 181 броя за 2021 г. (7,8% от решените ДП),</w:t>
      </w:r>
      <w:r w:rsidRPr="00FC76F9">
        <w:rPr>
          <w:rFonts w:ascii="Times New Roman" w:hAnsi="Times New Roman"/>
          <w:b/>
          <w:sz w:val="28"/>
          <w:szCs w:val="28"/>
        </w:rPr>
        <w:t xml:space="preserve"> </w:t>
      </w:r>
      <w:r w:rsidRPr="00FC76F9">
        <w:rPr>
          <w:rFonts w:ascii="Times New Roman" w:hAnsi="Times New Roman"/>
          <w:sz w:val="28"/>
          <w:szCs w:val="28"/>
        </w:rPr>
        <w:t xml:space="preserve">при 191 броя за 2020 г. (6,9% от решените </w:t>
      </w:r>
      <w:r w:rsidRPr="00FC76F9">
        <w:rPr>
          <w:rFonts w:ascii="Times New Roman" w:hAnsi="Times New Roman"/>
          <w:sz w:val="28"/>
          <w:szCs w:val="28"/>
        </w:rPr>
        <w:lastRenderedPageBreak/>
        <w:t>ДП).</w:t>
      </w:r>
      <w:r w:rsidR="00FC76F9" w:rsidRPr="00FC76F9">
        <w:rPr>
          <w:rFonts w:ascii="Times New Roman" w:hAnsi="Times New Roman"/>
          <w:sz w:val="28"/>
          <w:szCs w:val="28"/>
        </w:rPr>
        <w:t xml:space="preserve"> </w:t>
      </w:r>
      <w:r w:rsidRPr="00FC76F9">
        <w:rPr>
          <w:rFonts w:ascii="Times New Roman" w:hAnsi="Times New Roman"/>
          <w:sz w:val="28"/>
          <w:szCs w:val="28"/>
        </w:rPr>
        <w:t>Споразумението се е утвърдило, като рационален начин за приключване на наказателните производства с влязла в сила осъдителна присъда.</w:t>
      </w:r>
    </w:p>
    <w:p w14:paraId="0F9011E9" w14:textId="5EF2AE1B" w:rsidR="00E903FC" w:rsidRPr="00E903FC" w:rsidRDefault="00E903FC" w:rsidP="00FC76F9">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Положителна е тенденцията към намаляване на продължителността на досъдебната фаза от образуване на производството до решаването му по същество, като е намален броят на разследванията с продължителност над една година в сравнение с 2021г. и е 2020 г.:</w:t>
      </w:r>
      <w:r w:rsidR="00FC76F9">
        <w:rPr>
          <w:rFonts w:ascii="Times New Roman" w:eastAsia="Calibri" w:hAnsi="Times New Roman" w:cs="Times New Roman"/>
          <w:sz w:val="28"/>
          <w:szCs w:val="28"/>
        </w:rPr>
        <w:t xml:space="preserve"> </w:t>
      </w:r>
      <w:r w:rsidRPr="00E903FC">
        <w:rPr>
          <w:rFonts w:ascii="Times New Roman" w:eastAsia="Calibri" w:hAnsi="Times New Roman" w:cs="Times New Roman"/>
          <w:b/>
          <w:sz w:val="28"/>
          <w:szCs w:val="28"/>
        </w:rPr>
        <w:t xml:space="preserve">190 броя за 2022г. </w:t>
      </w:r>
      <w:r w:rsidRPr="00E903FC">
        <w:rPr>
          <w:rFonts w:ascii="Times New Roman" w:eastAsia="Calibri" w:hAnsi="Times New Roman" w:cs="Times New Roman"/>
          <w:sz w:val="28"/>
          <w:szCs w:val="28"/>
        </w:rPr>
        <w:t xml:space="preserve"> (5,6 % от решените ДП)  при 235 броя  за 2021г.</w:t>
      </w:r>
      <w:r w:rsidRPr="00E903FC">
        <w:rPr>
          <w:rFonts w:ascii="Times New Roman" w:eastAsia="Calibri" w:hAnsi="Times New Roman" w:cs="Times New Roman"/>
          <w:b/>
          <w:sz w:val="28"/>
          <w:szCs w:val="28"/>
        </w:rPr>
        <w:t xml:space="preserve"> (</w:t>
      </w:r>
      <w:r w:rsidRPr="00E903FC">
        <w:rPr>
          <w:rFonts w:ascii="Times New Roman" w:eastAsia="Calibri" w:hAnsi="Times New Roman" w:cs="Times New Roman"/>
          <w:sz w:val="28"/>
          <w:szCs w:val="28"/>
        </w:rPr>
        <w:t>10,2 % от решените ДП);</w:t>
      </w:r>
      <w:r w:rsidRPr="00E903FC">
        <w:rPr>
          <w:rFonts w:ascii="Times New Roman" w:eastAsia="Calibri" w:hAnsi="Times New Roman" w:cs="Times New Roman"/>
          <w:b/>
          <w:sz w:val="28"/>
          <w:szCs w:val="28"/>
        </w:rPr>
        <w:t xml:space="preserve"> </w:t>
      </w:r>
      <w:r w:rsidRPr="00E903FC">
        <w:rPr>
          <w:rFonts w:ascii="Times New Roman" w:eastAsia="Calibri" w:hAnsi="Times New Roman" w:cs="Times New Roman"/>
          <w:sz w:val="28"/>
          <w:szCs w:val="28"/>
        </w:rPr>
        <w:t xml:space="preserve">при 263 броя за 2020 г. (9,5% от решените ДП). </w:t>
      </w:r>
    </w:p>
    <w:p w14:paraId="250BD8D6" w14:textId="1F0E39EC" w:rsidR="00E903FC" w:rsidRPr="00E903FC" w:rsidRDefault="00E903FC" w:rsidP="00FC76F9">
      <w:pPr>
        <w:spacing w:after="0" w:line="240" w:lineRule="auto"/>
        <w:ind w:firstLine="708"/>
        <w:jc w:val="both"/>
        <w:rPr>
          <w:rFonts w:ascii="Times New Roman" w:eastAsia="Calibri" w:hAnsi="Times New Roman" w:cs="Times New Roman"/>
          <w:i/>
          <w:sz w:val="28"/>
          <w:szCs w:val="28"/>
        </w:rPr>
      </w:pPr>
      <w:r w:rsidRPr="00E903FC">
        <w:rPr>
          <w:rFonts w:ascii="Times New Roman" w:eastAsia="Calibri" w:hAnsi="Times New Roman" w:cs="Times New Roman"/>
          <w:sz w:val="28"/>
          <w:szCs w:val="28"/>
        </w:rPr>
        <w:t>Намалени са досъдебните производства с продължителност на фазата над една година в сравнение с предходния отчетен период, като този показател следва да се отчете като благоприятна тенденция.</w:t>
      </w:r>
    </w:p>
    <w:p w14:paraId="528A3E44" w14:textId="77777777" w:rsidR="00E903FC" w:rsidRPr="00E903FC" w:rsidRDefault="00E903FC" w:rsidP="00FC76F9">
      <w:pPr>
        <w:spacing w:after="0" w:line="240" w:lineRule="auto"/>
        <w:ind w:firstLine="708"/>
        <w:jc w:val="both"/>
        <w:rPr>
          <w:rFonts w:ascii="Times New Roman" w:eastAsia="Calibri" w:hAnsi="Times New Roman" w:cs="Times New Roman"/>
          <w:sz w:val="28"/>
          <w:szCs w:val="28"/>
        </w:rPr>
      </w:pPr>
      <w:r w:rsidRPr="00E903FC">
        <w:rPr>
          <w:rFonts w:ascii="Times New Roman" w:eastAsia="Calibri" w:hAnsi="Times New Roman" w:cs="Times New Roman"/>
          <w:sz w:val="28"/>
          <w:szCs w:val="28"/>
        </w:rPr>
        <w:t>Не е висок и броят на нерешените досъдебни  производства  -през отчетния период те са 110 броя (само 2,4 % от наблюдаваните ДП), като същите са се намирали при прокурор за решаване в рамките на законовия едномесечен срок.</w:t>
      </w:r>
    </w:p>
    <w:p w14:paraId="059EAC52" w14:textId="77777777" w:rsidR="009E2704" w:rsidRPr="009E2704" w:rsidRDefault="00E903FC" w:rsidP="00FC76F9">
      <w:pPr>
        <w:keepNext/>
        <w:shd w:val="clear" w:color="auto" w:fill="FFFFFF"/>
        <w:autoSpaceDE w:val="0"/>
        <w:autoSpaceDN w:val="0"/>
        <w:adjustRightInd w:val="0"/>
        <w:spacing w:after="0" w:line="240" w:lineRule="auto"/>
        <w:ind w:firstLine="708"/>
        <w:jc w:val="both"/>
        <w:outlineLvl w:val="1"/>
        <w:rPr>
          <w:rFonts w:ascii="Times New Roman" w:eastAsia="Calibri" w:hAnsi="Times New Roman" w:cs="Arial"/>
          <w:b/>
          <w:iCs/>
          <w:color w:val="000000"/>
          <w:sz w:val="28"/>
          <w:lang w:eastAsia="bg-BG"/>
        </w:rPr>
      </w:pPr>
      <w:bookmarkStart w:id="28" w:name="_Toc127370249"/>
      <w:r w:rsidRPr="009E2704">
        <w:rPr>
          <w:rFonts w:ascii="Times New Roman" w:eastAsia="Calibri" w:hAnsi="Times New Roman" w:cs="Times New Roman"/>
          <w:sz w:val="28"/>
          <w:szCs w:val="28"/>
        </w:rPr>
        <w:t>При някои сравнявани показатели, макар и през 2022 г. да е налице намаляване при съпоставката на абсолютните стойности, като относителен дял (процентно съотношение), е налице устойчивост и трайност на тенденциите, които се запазват и са приблизително еднакви  през трите сравнителни отчетни периода.</w:t>
      </w:r>
      <w:bookmarkEnd w:id="28"/>
    </w:p>
    <w:p w14:paraId="6323CB98" w14:textId="33457ED0" w:rsidR="009E2704" w:rsidRPr="009E2704" w:rsidRDefault="00E903FC" w:rsidP="00FC76F9">
      <w:pPr>
        <w:keepNext/>
        <w:shd w:val="clear" w:color="auto" w:fill="FFFFFF"/>
        <w:autoSpaceDE w:val="0"/>
        <w:autoSpaceDN w:val="0"/>
        <w:adjustRightInd w:val="0"/>
        <w:spacing w:after="0" w:line="240" w:lineRule="auto"/>
        <w:ind w:firstLine="708"/>
        <w:jc w:val="both"/>
        <w:outlineLvl w:val="1"/>
        <w:rPr>
          <w:rFonts w:ascii="Times New Roman" w:eastAsia="Calibri" w:hAnsi="Times New Roman" w:cs="Arial"/>
          <w:b/>
          <w:iCs/>
          <w:color w:val="000000"/>
          <w:sz w:val="28"/>
          <w:lang w:eastAsia="bg-BG"/>
        </w:rPr>
      </w:pPr>
      <w:bookmarkStart w:id="29" w:name="_Toc127370250"/>
      <w:r w:rsidRPr="009E2704">
        <w:rPr>
          <w:rFonts w:ascii="Times New Roman" w:eastAsia="Calibri" w:hAnsi="Times New Roman" w:cs="Times New Roman"/>
          <w:sz w:val="28"/>
          <w:szCs w:val="28"/>
        </w:rPr>
        <w:t>При други сравнявани показатели през 2022 година се забелязва увеличение спрямо 2021 г. и 2020 г.</w:t>
      </w:r>
      <w:bookmarkEnd w:id="29"/>
    </w:p>
    <w:p w14:paraId="797B44B7" w14:textId="6F4661DA" w:rsidR="009E2704" w:rsidRPr="009E2704" w:rsidRDefault="00E903FC" w:rsidP="00FC76F9">
      <w:pPr>
        <w:keepNext/>
        <w:shd w:val="clear" w:color="auto" w:fill="FFFFFF"/>
        <w:autoSpaceDE w:val="0"/>
        <w:autoSpaceDN w:val="0"/>
        <w:adjustRightInd w:val="0"/>
        <w:spacing w:after="0" w:line="240" w:lineRule="auto"/>
        <w:ind w:firstLine="708"/>
        <w:jc w:val="both"/>
        <w:outlineLvl w:val="1"/>
        <w:rPr>
          <w:rFonts w:ascii="Times New Roman" w:eastAsia="Calibri" w:hAnsi="Times New Roman" w:cs="Arial"/>
          <w:b/>
          <w:iCs/>
          <w:color w:val="000000"/>
          <w:sz w:val="28"/>
          <w:lang w:eastAsia="bg-BG"/>
        </w:rPr>
      </w:pPr>
      <w:bookmarkStart w:id="30" w:name="_Toc127370251"/>
      <w:r w:rsidRPr="009E2704">
        <w:rPr>
          <w:rFonts w:ascii="Times New Roman" w:eastAsia="Calibri" w:hAnsi="Times New Roman" w:cs="Times New Roman"/>
          <w:sz w:val="28"/>
          <w:szCs w:val="28"/>
        </w:rPr>
        <w:t>Поради това се налага обобщаващ извод за добра работа на прокуратурите от района на Окръжна прокуратура - Монтана по преписките и дос</w:t>
      </w:r>
      <w:r w:rsidR="009E2704" w:rsidRPr="009E2704">
        <w:rPr>
          <w:rFonts w:ascii="Times New Roman" w:eastAsia="Calibri" w:hAnsi="Times New Roman" w:cs="Arial"/>
          <w:b/>
          <w:iCs/>
          <w:color w:val="000000"/>
          <w:sz w:val="28"/>
          <w:lang w:eastAsia="bg-BG"/>
        </w:rPr>
        <w:t>ъдебни производства.</w:t>
      </w:r>
      <w:bookmarkEnd w:id="30"/>
    </w:p>
    <w:p w14:paraId="74DF4AA8" w14:textId="77777777" w:rsidR="009E2704" w:rsidRDefault="009E2704" w:rsidP="0023213C">
      <w:pPr>
        <w:keepNext/>
        <w:shd w:val="clear" w:color="auto" w:fill="FFFFFF"/>
        <w:tabs>
          <w:tab w:val="left" w:pos="763"/>
        </w:tabs>
        <w:autoSpaceDE w:val="0"/>
        <w:autoSpaceDN w:val="0"/>
        <w:adjustRightInd w:val="0"/>
        <w:spacing w:after="0" w:line="240" w:lineRule="auto"/>
        <w:ind w:firstLine="720"/>
        <w:jc w:val="both"/>
        <w:outlineLvl w:val="1"/>
        <w:rPr>
          <w:rFonts w:ascii="Times New Roman" w:eastAsia="Calibri" w:hAnsi="Times New Roman" w:cs="Arial"/>
          <w:b/>
          <w:iCs/>
          <w:color w:val="000000"/>
          <w:sz w:val="28"/>
          <w:lang w:eastAsia="bg-BG"/>
        </w:rPr>
      </w:pPr>
    </w:p>
    <w:p w14:paraId="353FFA7B" w14:textId="77777777" w:rsidR="009E2704" w:rsidRDefault="009E2704" w:rsidP="0023213C">
      <w:pPr>
        <w:keepNext/>
        <w:shd w:val="clear" w:color="auto" w:fill="FFFFFF"/>
        <w:tabs>
          <w:tab w:val="left" w:pos="763"/>
        </w:tabs>
        <w:autoSpaceDE w:val="0"/>
        <w:autoSpaceDN w:val="0"/>
        <w:adjustRightInd w:val="0"/>
        <w:spacing w:after="0" w:line="240" w:lineRule="auto"/>
        <w:ind w:firstLine="720"/>
        <w:jc w:val="both"/>
        <w:outlineLvl w:val="1"/>
        <w:rPr>
          <w:rFonts w:ascii="Times New Roman" w:eastAsia="Calibri" w:hAnsi="Times New Roman" w:cs="Arial"/>
          <w:b/>
          <w:iCs/>
          <w:color w:val="000000"/>
          <w:sz w:val="28"/>
          <w:lang w:eastAsia="bg-BG"/>
        </w:rPr>
      </w:pPr>
    </w:p>
    <w:p w14:paraId="61551A2C" w14:textId="09080723" w:rsidR="0023213C" w:rsidRPr="0023213C" w:rsidRDefault="0023213C" w:rsidP="0023213C">
      <w:pPr>
        <w:keepNext/>
        <w:shd w:val="clear" w:color="auto" w:fill="FFFFFF"/>
        <w:tabs>
          <w:tab w:val="left" w:pos="763"/>
        </w:tabs>
        <w:autoSpaceDE w:val="0"/>
        <w:autoSpaceDN w:val="0"/>
        <w:adjustRightInd w:val="0"/>
        <w:spacing w:after="0" w:line="240" w:lineRule="auto"/>
        <w:ind w:firstLine="720"/>
        <w:jc w:val="both"/>
        <w:outlineLvl w:val="1"/>
        <w:rPr>
          <w:rFonts w:ascii="Times New Roman" w:eastAsia="Calibri" w:hAnsi="Times New Roman" w:cs="Times New Roman"/>
          <w:b/>
          <w:iCs/>
          <w:color w:val="000000"/>
          <w:sz w:val="28"/>
          <w:lang w:eastAsia="bg-BG"/>
        </w:rPr>
      </w:pPr>
      <w:bookmarkStart w:id="31" w:name="_Toc127370252"/>
      <w:r w:rsidRPr="0023213C">
        <w:rPr>
          <w:rFonts w:ascii="Times New Roman" w:eastAsia="Calibri" w:hAnsi="Times New Roman" w:cs="Arial"/>
          <w:b/>
          <w:iCs/>
          <w:color w:val="000000"/>
          <w:sz w:val="28"/>
          <w:lang w:val="en-US" w:eastAsia="bg-BG"/>
        </w:rPr>
        <w:t xml:space="preserve">II. </w:t>
      </w:r>
      <w:r w:rsidRPr="0023213C">
        <w:rPr>
          <w:rFonts w:ascii="Times New Roman" w:eastAsia="Calibri" w:hAnsi="Times New Roman" w:cs="Arial"/>
          <w:b/>
          <w:iCs/>
          <w:color w:val="000000"/>
          <w:sz w:val="28"/>
          <w:lang w:eastAsia="bg-BG"/>
        </w:rPr>
        <w:t>СЪДЕБНА ФАЗА</w:t>
      </w:r>
      <w:bookmarkEnd w:id="31"/>
    </w:p>
    <w:p w14:paraId="18D9E579" w14:textId="77777777" w:rsidR="0023213C" w:rsidRPr="0023213C" w:rsidRDefault="0023213C" w:rsidP="0023213C">
      <w:pPr>
        <w:spacing w:after="0" w:line="240" w:lineRule="auto"/>
        <w:ind w:firstLine="708"/>
        <w:rPr>
          <w:rFonts w:ascii="Times New Roman" w:eastAsia="Times New Roman" w:hAnsi="Times New Roman" w:cs="Times New Roman"/>
          <w:b/>
          <w:bCs/>
          <w:smallCaps/>
          <w:spacing w:val="5"/>
          <w:sz w:val="28"/>
          <w:szCs w:val="28"/>
        </w:rPr>
      </w:pPr>
    </w:p>
    <w:p w14:paraId="7A45247A" w14:textId="77777777" w:rsidR="0023213C" w:rsidRPr="0023213C" w:rsidRDefault="0023213C" w:rsidP="0023213C">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color w:val="000000"/>
          <w:sz w:val="28"/>
          <w:u w:val="single"/>
          <w:lang w:eastAsia="bg-BG"/>
        </w:rPr>
      </w:pPr>
      <w:bookmarkStart w:id="32" w:name="_Toc127370253"/>
      <w:r w:rsidRPr="0023213C">
        <w:rPr>
          <w:rFonts w:ascii="Times New Roman" w:eastAsia="Calibri" w:hAnsi="Times New Roman" w:cs="Arial"/>
          <w:b/>
          <w:color w:val="000000"/>
          <w:sz w:val="28"/>
          <w:u w:val="single"/>
          <w:lang w:eastAsia="bg-BG"/>
        </w:rPr>
        <w:t>1. Наказателно – съдебен надзор.</w:t>
      </w:r>
      <w:bookmarkEnd w:id="32"/>
    </w:p>
    <w:p w14:paraId="49954E23" w14:textId="77777777" w:rsidR="0023213C" w:rsidRPr="0023213C" w:rsidRDefault="0023213C" w:rsidP="0023213C">
      <w:pPr>
        <w:shd w:val="clear" w:color="auto" w:fill="FFFFFF"/>
        <w:tabs>
          <w:tab w:val="left" w:pos="826"/>
        </w:tabs>
        <w:autoSpaceDE w:val="0"/>
        <w:autoSpaceDN w:val="0"/>
        <w:adjustRightInd w:val="0"/>
        <w:spacing w:after="0" w:line="240" w:lineRule="auto"/>
        <w:ind w:firstLine="709"/>
        <w:jc w:val="both"/>
        <w:rPr>
          <w:color w:val="000000"/>
          <w:sz w:val="28"/>
          <w:lang w:eastAsia="bg-BG"/>
        </w:rPr>
      </w:pPr>
    </w:p>
    <w:p w14:paraId="7FE36B41" w14:textId="77777777" w:rsidR="0023213C" w:rsidRPr="0023213C" w:rsidRDefault="0023213C" w:rsidP="0023213C">
      <w:pPr>
        <w:keepNext/>
        <w:numPr>
          <w:ilvl w:val="1"/>
          <w:numId w:val="42"/>
        </w:numPr>
        <w:shd w:val="clear" w:color="auto" w:fill="FFFFFF"/>
        <w:tabs>
          <w:tab w:val="left" w:pos="926"/>
        </w:tabs>
        <w:autoSpaceDE w:val="0"/>
        <w:autoSpaceDN w:val="0"/>
        <w:adjustRightInd w:val="0"/>
        <w:spacing w:after="0" w:line="240" w:lineRule="auto"/>
        <w:contextualSpacing/>
        <w:jc w:val="both"/>
        <w:outlineLvl w:val="2"/>
        <w:rPr>
          <w:rFonts w:ascii="Times New Roman" w:eastAsia="Calibri" w:hAnsi="Times New Roman" w:cs="Times New Roman"/>
          <w:b/>
          <w:i/>
          <w:color w:val="000000"/>
          <w:sz w:val="28"/>
          <w:lang w:eastAsia="bg-BG"/>
        </w:rPr>
      </w:pPr>
      <w:bookmarkStart w:id="33" w:name="_Toc127370254"/>
      <w:r w:rsidRPr="0023213C">
        <w:rPr>
          <w:rFonts w:ascii="Times New Roman" w:eastAsia="Calibri" w:hAnsi="Times New Roman" w:cs="Times New Roman"/>
          <w:b/>
          <w:i/>
          <w:color w:val="000000"/>
          <w:sz w:val="28"/>
          <w:lang w:eastAsia="bg-BG"/>
        </w:rPr>
        <w:t>Образувани, разгледани и  решени от съда  дела по внесените прокурорски актове:</w:t>
      </w:r>
      <w:bookmarkEnd w:id="33"/>
    </w:p>
    <w:p w14:paraId="529694F3"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Times New Roman"/>
          <w:b/>
          <w:i/>
          <w:color w:val="000000"/>
          <w:sz w:val="28"/>
          <w:lang w:eastAsia="bg-BG"/>
        </w:rPr>
      </w:pPr>
    </w:p>
    <w:p w14:paraId="75DCFD53" w14:textId="77777777" w:rsidR="0023213C" w:rsidRPr="0023213C" w:rsidRDefault="0023213C" w:rsidP="0023213C">
      <w:pPr>
        <w:spacing w:after="0" w:line="240" w:lineRule="auto"/>
        <w:ind w:firstLine="709"/>
        <w:jc w:val="both"/>
        <w:rPr>
          <w:rFonts w:ascii="Times New Roman" w:eastAsia="Times New Roman" w:hAnsi="Times New Roman" w:cs="Times New Roman"/>
          <w:b/>
          <w:i/>
          <w:sz w:val="28"/>
          <w:szCs w:val="28"/>
        </w:rPr>
      </w:pPr>
      <w:r w:rsidRPr="0023213C">
        <w:rPr>
          <w:rFonts w:ascii="Times New Roman" w:eastAsia="Times New Roman" w:hAnsi="Times New Roman" w:cs="Times New Roman"/>
          <w:sz w:val="28"/>
          <w:szCs w:val="28"/>
        </w:rPr>
        <w:t xml:space="preserve">        През отчетния период 01. 01. 22 г.-  31.12. 22  г. в съдилищата в регион - Монтана са образувани по внесените прокурорски актове от Окръжна прокуратура -Монтана и Районна прокуратура  - Монтана, с ТО-Лом и Берковица общо </w:t>
      </w:r>
      <w:r w:rsidRPr="0023213C">
        <w:rPr>
          <w:rFonts w:ascii="Times New Roman" w:eastAsia="Times New Roman" w:hAnsi="Times New Roman" w:cs="Times New Roman"/>
          <w:b/>
          <w:i/>
          <w:sz w:val="28"/>
          <w:szCs w:val="28"/>
        </w:rPr>
        <w:t>687 броя дела.</w:t>
      </w:r>
    </w:p>
    <w:p w14:paraId="39EF4B32" w14:textId="77777777" w:rsidR="0023213C" w:rsidRPr="0023213C" w:rsidRDefault="0023213C" w:rsidP="0023213C">
      <w:pPr>
        <w:spacing w:after="0" w:line="240" w:lineRule="auto"/>
        <w:ind w:firstLine="709"/>
        <w:jc w:val="both"/>
        <w:rPr>
          <w:rFonts w:ascii="Times New Roman" w:eastAsia="Times New Roman" w:hAnsi="Times New Roman" w:cs="Times New Roman"/>
          <w:b/>
          <w:sz w:val="28"/>
          <w:szCs w:val="28"/>
        </w:rPr>
      </w:pPr>
      <w:r w:rsidRPr="0023213C">
        <w:rPr>
          <w:rFonts w:ascii="Times New Roman" w:eastAsia="Times New Roman" w:hAnsi="Times New Roman" w:cs="Times New Roman"/>
          <w:sz w:val="28"/>
          <w:szCs w:val="28"/>
        </w:rPr>
        <w:t xml:space="preserve">       През 2021 година сда Били образувани </w:t>
      </w:r>
      <w:r w:rsidRPr="0023213C">
        <w:rPr>
          <w:rFonts w:ascii="Times New Roman" w:eastAsia="Times New Roman" w:hAnsi="Times New Roman" w:cs="Times New Roman"/>
          <w:b/>
          <w:sz w:val="28"/>
          <w:szCs w:val="28"/>
        </w:rPr>
        <w:t>713 броя дела.</w:t>
      </w:r>
    </w:p>
    <w:p w14:paraId="2C248253"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През  2020 година са били образувани  общо </w:t>
      </w:r>
      <w:r w:rsidRPr="0023213C">
        <w:rPr>
          <w:rFonts w:ascii="Times New Roman" w:eastAsia="Times New Roman" w:hAnsi="Times New Roman" w:cs="Times New Roman"/>
          <w:sz w:val="28"/>
          <w:szCs w:val="28"/>
          <w:lang w:val="en-US"/>
        </w:rPr>
        <w:t xml:space="preserve"> </w:t>
      </w:r>
      <w:r w:rsidRPr="0023213C">
        <w:rPr>
          <w:rFonts w:ascii="Times New Roman" w:eastAsia="Times New Roman" w:hAnsi="Times New Roman" w:cs="Times New Roman"/>
          <w:b/>
          <w:sz w:val="28"/>
          <w:szCs w:val="28"/>
          <w:lang w:val="en-US"/>
        </w:rPr>
        <w:t>7</w:t>
      </w:r>
      <w:r w:rsidRPr="0023213C">
        <w:rPr>
          <w:rFonts w:ascii="Times New Roman" w:eastAsia="Times New Roman" w:hAnsi="Times New Roman" w:cs="Times New Roman"/>
          <w:b/>
          <w:sz w:val="28"/>
          <w:szCs w:val="28"/>
        </w:rPr>
        <w:t>80</w:t>
      </w:r>
      <w:r w:rsidRPr="0023213C">
        <w:rPr>
          <w:rFonts w:ascii="Times New Roman" w:eastAsia="Times New Roman" w:hAnsi="Times New Roman" w:cs="Times New Roman"/>
          <w:b/>
          <w:sz w:val="28"/>
          <w:szCs w:val="28"/>
          <w:lang w:val="en-US"/>
        </w:rPr>
        <w:t xml:space="preserve"> </w:t>
      </w:r>
      <w:r w:rsidRPr="0023213C">
        <w:rPr>
          <w:rFonts w:ascii="Times New Roman" w:eastAsia="Times New Roman" w:hAnsi="Times New Roman" w:cs="Times New Roman"/>
          <w:b/>
          <w:sz w:val="28"/>
          <w:szCs w:val="28"/>
        </w:rPr>
        <w:t>броя дела</w:t>
      </w:r>
      <w:r w:rsidRPr="0023213C">
        <w:rPr>
          <w:rFonts w:ascii="Times New Roman" w:eastAsia="Times New Roman" w:hAnsi="Times New Roman" w:cs="Times New Roman"/>
          <w:sz w:val="28"/>
          <w:szCs w:val="28"/>
        </w:rPr>
        <w:t>.</w:t>
      </w:r>
    </w:p>
    <w:p w14:paraId="0FA876BB"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От съпоставката е видно, че  броят  актове </w:t>
      </w:r>
      <w:r w:rsidRPr="0023213C">
        <w:rPr>
          <w:rFonts w:ascii="Times New Roman" w:eastAsia="Times New Roman" w:hAnsi="Times New Roman" w:cs="Times New Roman"/>
          <w:b/>
          <w:sz w:val="28"/>
          <w:szCs w:val="28"/>
        </w:rPr>
        <w:t xml:space="preserve">е  занижен и  </w:t>
      </w:r>
      <w:r w:rsidRPr="0023213C">
        <w:rPr>
          <w:rFonts w:ascii="Times New Roman" w:eastAsia="Times New Roman" w:hAnsi="Times New Roman" w:cs="Times New Roman"/>
          <w:i/>
          <w:sz w:val="28"/>
          <w:szCs w:val="28"/>
        </w:rPr>
        <w:t>спрямо двата предходни периода.</w:t>
      </w:r>
      <w:r w:rsidRPr="0023213C">
        <w:rPr>
          <w:rFonts w:ascii="Times New Roman" w:eastAsia="Times New Roman" w:hAnsi="Times New Roman" w:cs="Times New Roman"/>
          <w:sz w:val="28"/>
          <w:szCs w:val="28"/>
        </w:rPr>
        <w:t xml:space="preserve"> </w:t>
      </w:r>
    </w:p>
    <w:p w14:paraId="4CDFAFD6" w14:textId="77777777" w:rsidR="0023213C" w:rsidRPr="0023213C" w:rsidRDefault="0023213C" w:rsidP="0023213C">
      <w:pPr>
        <w:spacing w:after="0" w:line="240" w:lineRule="auto"/>
        <w:ind w:firstLine="709"/>
        <w:jc w:val="both"/>
        <w:rPr>
          <w:rFonts w:ascii="Times New Roman" w:eastAsia="Times New Roman" w:hAnsi="Times New Roman" w:cs="Times New Roman"/>
          <w:i/>
          <w:sz w:val="28"/>
          <w:szCs w:val="28"/>
        </w:rPr>
      </w:pPr>
      <w:r w:rsidRPr="0023213C">
        <w:rPr>
          <w:rFonts w:ascii="Times New Roman" w:eastAsia="Times New Roman" w:hAnsi="Times New Roman" w:cs="Times New Roman"/>
          <w:sz w:val="28"/>
          <w:szCs w:val="28"/>
        </w:rPr>
        <w:t xml:space="preserve">           От съдилищата в региона по внесените прокурорски актове са решени общо </w:t>
      </w:r>
      <w:r w:rsidRPr="0023213C">
        <w:rPr>
          <w:rFonts w:ascii="Times New Roman" w:eastAsia="Times New Roman" w:hAnsi="Times New Roman" w:cs="Times New Roman"/>
          <w:b/>
          <w:sz w:val="32"/>
          <w:szCs w:val="32"/>
        </w:rPr>
        <w:t>729 броя дела</w:t>
      </w:r>
      <w:r w:rsidRPr="0023213C">
        <w:rPr>
          <w:rFonts w:ascii="Times New Roman" w:eastAsia="Times New Roman" w:hAnsi="Times New Roman" w:cs="Times New Roman"/>
          <w:sz w:val="28"/>
          <w:szCs w:val="28"/>
        </w:rPr>
        <w:t xml:space="preserve">, както следва: 460 броя </w:t>
      </w:r>
      <w:r w:rsidRPr="0023213C">
        <w:rPr>
          <w:rFonts w:ascii="Times New Roman" w:eastAsia="Times New Roman" w:hAnsi="Times New Roman" w:cs="Times New Roman"/>
          <w:i/>
          <w:sz w:val="28"/>
          <w:szCs w:val="28"/>
        </w:rPr>
        <w:t>по обвинителни актове</w:t>
      </w:r>
      <w:r w:rsidRPr="0023213C">
        <w:rPr>
          <w:rFonts w:ascii="Times New Roman" w:eastAsia="Times New Roman" w:hAnsi="Times New Roman" w:cs="Times New Roman"/>
          <w:sz w:val="28"/>
          <w:szCs w:val="28"/>
        </w:rPr>
        <w:t xml:space="preserve">, 176 броя по </w:t>
      </w:r>
      <w:r w:rsidRPr="0023213C">
        <w:rPr>
          <w:rFonts w:ascii="Times New Roman" w:eastAsia="Times New Roman" w:hAnsi="Times New Roman" w:cs="Times New Roman"/>
          <w:i/>
          <w:sz w:val="28"/>
          <w:szCs w:val="28"/>
        </w:rPr>
        <w:t>предлоения за споразумение</w:t>
      </w:r>
      <w:r w:rsidRPr="0023213C">
        <w:rPr>
          <w:rFonts w:ascii="Times New Roman" w:eastAsia="Times New Roman" w:hAnsi="Times New Roman" w:cs="Times New Roman"/>
          <w:sz w:val="28"/>
          <w:szCs w:val="28"/>
        </w:rPr>
        <w:t xml:space="preserve">, 93 броя </w:t>
      </w:r>
      <w:r w:rsidRPr="0023213C">
        <w:rPr>
          <w:rFonts w:ascii="Times New Roman" w:eastAsia="Times New Roman" w:hAnsi="Times New Roman" w:cs="Times New Roman"/>
          <w:i/>
          <w:sz w:val="28"/>
          <w:szCs w:val="28"/>
        </w:rPr>
        <w:t>по предложения по чл. 78а от НК.</w:t>
      </w:r>
    </w:p>
    <w:p w14:paraId="3C697EA8" w14:textId="77777777" w:rsidR="0023213C" w:rsidRPr="0023213C" w:rsidRDefault="0023213C" w:rsidP="0023213C">
      <w:pPr>
        <w:spacing w:after="0" w:line="240" w:lineRule="auto"/>
        <w:ind w:firstLine="709"/>
        <w:jc w:val="both"/>
        <w:rPr>
          <w:rFonts w:ascii="Times New Roman" w:eastAsia="Times New Roman" w:hAnsi="Times New Roman" w:cs="Times New Roman"/>
          <w:i/>
          <w:sz w:val="28"/>
          <w:szCs w:val="28"/>
        </w:rPr>
      </w:pPr>
      <w:r w:rsidRPr="0023213C">
        <w:rPr>
          <w:rFonts w:ascii="Times New Roman" w:eastAsia="Times New Roman" w:hAnsi="Times New Roman" w:cs="Times New Roman"/>
          <w:sz w:val="28"/>
          <w:szCs w:val="28"/>
        </w:rPr>
        <w:lastRenderedPageBreak/>
        <w:t xml:space="preserve">         През 2021 година от сдъдилищата в региона  по внесените прокурорски актове са били решени общо </w:t>
      </w:r>
      <w:r w:rsidRPr="00FC76F9">
        <w:rPr>
          <w:rFonts w:ascii="Times New Roman" w:eastAsia="Times New Roman" w:hAnsi="Times New Roman" w:cs="Times New Roman"/>
          <w:b/>
          <w:sz w:val="28"/>
          <w:szCs w:val="28"/>
        </w:rPr>
        <w:t>715 броя дела</w:t>
      </w:r>
      <w:r w:rsidRPr="00FC76F9">
        <w:rPr>
          <w:rFonts w:ascii="Times New Roman" w:eastAsia="Times New Roman" w:hAnsi="Times New Roman" w:cs="Times New Roman"/>
          <w:sz w:val="28"/>
          <w:szCs w:val="28"/>
        </w:rPr>
        <w:t>,</w:t>
      </w:r>
      <w:r w:rsidRPr="0023213C">
        <w:rPr>
          <w:rFonts w:ascii="Times New Roman" w:eastAsia="Times New Roman" w:hAnsi="Times New Roman" w:cs="Times New Roman"/>
          <w:sz w:val="28"/>
          <w:szCs w:val="28"/>
        </w:rPr>
        <w:t xml:space="preserve"> както следва: 397 броя  по </w:t>
      </w:r>
      <w:r w:rsidRPr="0023213C">
        <w:rPr>
          <w:rFonts w:ascii="Times New Roman" w:eastAsia="Times New Roman" w:hAnsi="Times New Roman" w:cs="Times New Roman"/>
          <w:i/>
          <w:sz w:val="28"/>
          <w:szCs w:val="28"/>
        </w:rPr>
        <w:t>обвинителни актове</w:t>
      </w:r>
      <w:r w:rsidRPr="0023213C">
        <w:rPr>
          <w:rFonts w:ascii="Times New Roman" w:eastAsia="Times New Roman" w:hAnsi="Times New Roman" w:cs="Times New Roman"/>
          <w:sz w:val="28"/>
          <w:szCs w:val="28"/>
        </w:rPr>
        <w:t xml:space="preserve">, 179 броя по </w:t>
      </w:r>
      <w:r w:rsidRPr="0023213C">
        <w:rPr>
          <w:rFonts w:ascii="Times New Roman" w:eastAsia="Times New Roman" w:hAnsi="Times New Roman" w:cs="Times New Roman"/>
          <w:i/>
          <w:sz w:val="28"/>
          <w:szCs w:val="28"/>
        </w:rPr>
        <w:t>предложения за споразумение</w:t>
      </w:r>
      <w:r w:rsidRPr="0023213C">
        <w:rPr>
          <w:rFonts w:ascii="Times New Roman" w:eastAsia="Times New Roman" w:hAnsi="Times New Roman" w:cs="Times New Roman"/>
          <w:sz w:val="28"/>
          <w:szCs w:val="28"/>
        </w:rPr>
        <w:t xml:space="preserve"> и 139 броя по </w:t>
      </w:r>
      <w:r w:rsidRPr="0023213C">
        <w:rPr>
          <w:rFonts w:ascii="Times New Roman" w:eastAsia="Times New Roman" w:hAnsi="Times New Roman" w:cs="Times New Roman"/>
          <w:i/>
          <w:sz w:val="28"/>
          <w:szCs w:val="28"/>
        </w:rPr>
        <w:t>предложения по чл. 78а от НК.</w:t>
      </w:r>
    </w:p>
    <w:p w14:paraId="362CCBAC" w14:textId="77777777" w:rsidR="0023213C" w:rsidRPr="0023213C" w:rsidRDefault="0023213C" w:rsidP="0023213C">
      <w:pPr>
        <w:spacing w:after="0" w:line="240" w:lineRule="auto"/>
        <w:ind w:firstLine="709"/>
        <w:jc w:val="both"/>
        <w:rPr>
          <w:rFonts w:ascii="Times New Roman" w:eastAsia="Times New Roman" w:hAnsi="Times New Roman" w:cs="Times New Roman"/>
          <w:i/>
          <w:sz w:val="28"/>
          <w:szCs w:val="28"/>
        </w:rPr>
      </w:pPr>
      <w:r w:rsidRPr="0023213C">
        <w:rPr>
          <w:rFonts w:ascii="Times New Roman" w:eastAsia="Times New Roman" w:hAnsi="Times New Roman" w:cs="Times New Roman"/>
          <w:sz w:val="28"/>
          <w:szCs w:val="28"/>
        </w:rPr>
        <w:t xml:space="preserve">           През 2020 година от съдилищата в региона по внесените прокурорски актове са  били решени общо   </w:t>
      </w:r>
      <w:r w:rsidRPr="0023213C">
        <w:rPr>
          <w:rFonts w:ascii="Times New Roman" w:eastAsia="Times New Roman" w:hAnsi="Times New Roman" w:cs="Times New Roman"/>
          <w:b/>
          <w:sz w:val="28"/>
          <w:szCs w:val="28"/>
        </w:rPr>
        <w:t>748 броя дела</w:t>
      </w:r>
      <w:r w:rsidRPr="0023213C">
        <w:rPr>
          <w:rFonts w:ascii="Times New Roman" w:eastAsia="Times New Roman" w:hAnsi="Times New Roman" w:cs="Times New Roman"/>
          <w:sz w:val="28"/>
          <w:szCs w:val="28"/>
        </w:rPr>
        <w:t xml:space="preserve">, както следва:  362 броя по </w:t>
      </w:r>
      <w:r w:rsidRPr="0023213C">
        <w:rPr>
          <w:rFonts w:ascii="Times New Roman" w:eastAsia="Times New Roman" w:hAnsi="Times New Roman" w:cs="Times New Roman"/>
          <w:i/>
          <w:sz w:val="28"/>
          <w:szCs w:val="28"/>
        </w:rPr>
        <w:t>обвинителни актове</w:t>
      </w:r>
      <w:r w:rsidRPr="0023213C">
        <w:rPr>
          <w:rFonts w:ascii="Times New Roman" w:eastAsia="Times New Roman" w:hAnsi="Times New Roman" w:cs="Times New Roman"/>
          <w:sz w:val="28"/>
          <w:szCs w:val="28"/>
        </w:rPr>
        <w:t xml:space="preserve">, 197 броя по предложения за </w:t>
      </w:r>
      <w:r w:rsidRPr="0023213C">
        <w:rPr>
          <w:rFonts w:ascii="Times New Roman" w:eastAsia="Times New Roman" w:hAnsi="Times New Roman" w:cs="Times New Roman"/>
          <w:i/>
          <w:sz w:val="28"/>
          <w:szCs w:val="28"/>
        </w:rPr>
        <w:t>споразумение</w:t>
      </w:r>
      <w:r w:rsidRPr="0023213C">
        <w:rPr>
          <w:rFonts w:ascii="Times New Roman" w:eastAsia="Times New Roman" w:hAnsi="Times New Roman" w:cs="Times New Roman"/>
          <w:sz w:val="28"/>
          <w:szCs w:val="28"/>
        </w:rPr>
        <w:t xml:space="preserve"> и 189 броя по </w:t>
      </w:r>
      <w:r w:rsidRPr="0023213C">
        <w:rPr>
          <w:rFonts w:ascii="Times New Roman" w:eastAsia="Times New Roman" w:hAnsi="Times New Roman" w:cs="Times New Roman"/>
          <w:i/>
          <w:sz w:val="28"/>
          <w:szCs w:val="28"/>
        </w:rPr>
        <w:t xml:space="preserve">предложения по чл. 78а от НК. </w:t>
      </w:r>
    </w:p>
    <w:p w14:paraId="6F8E5AC0"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Съпоставката сочи на   </w:t>
      </w:r>
      <w:r w:rsidRPr="0023213C">
        <w:rPr>
          <w:rFonts w:ascii="Times New Roman" w:eastAsia="Times New Roman" w:hAnsi="Times New Roman" w:cs="Times New Roman"/>
          <w:b/>
          <w:i/>
          <w:sz w:val="28"/>
          <w:szCs w:val="28"/>
        </w:rPr>
        <w:t xml:space="preserve">занижаване </w:t>
      </w:r>
      <w:r w:rsidRPr="0023213C">
        <w:rPr>
          <w:rFonts w:ascii="Times New Roman" w:eastAsia="Times New Roman" w:hAnsi="Times New Roman" w:cs="Times New Roman"/>
          <w:sz w:val="28"/>
          <w:szCs w:val="28"/>
        </w:rPr>
        <w:t>броя на решените дела спрямо  2020 година и на завишаване спрямо 2021 година. Прави впечатление намаляването на решените дела по предложенвията по чл. 78а от НК и завишаване на решените дела по внесените обвинителни актове.</w:t>
      </w:r>
    </w:p>
    <w:p w14:paraId="433C6CB7"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w:t>
      </w:r>
    </w:p>
    <w:p w14:paraId="002370CA" w14:textId="77777777" w:rsidR="0023213C" w:rsidRPr="0023213C" w:rsidRDefault="0023213C" w:rsidP="0023213C">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Times New Roman"/>
          <w:b/>
          <w:i/>
          <w:color w:val="000000"/>
          <w:sz w:val="28"/>
          <w:lang w:eastAsia="bg-BG"/>
        </w:rPr>
      </w:pPr>
      <w:bookmarkStart w:id="34" w:name="_Toc127370255"/>
      <w:r w:rsidRPr="0023213C">
        <w:rPr>
          <w:rFonts w:ascii="Times New Roman" w:eastAsia="Calibri" w:hAnsi="Times New Roman" w:cs="Times New Roman"/>
          <w:b/>
          <w:i/>
          <w:color w:val="000000"/>
          <w:sz w:val="28"/>
          <w:lang w:eastAsia="bg-BG"/>
        </w:rPr>
        <w:t>1.2. Влезли в сила осъдителни и санкционни решения, относителен дял спрямо решените дела и спрямо внесените прокурорски актове.</w:t>
      </w:r>
      <w:bookmarkEnd w:id="34"/>
    </w:p>
    <w:p w14:paraId="6AAAB3B9" w14:textId="77777777" w:rsidR="0023213C" w:rsidRPr="0023213C" w:rsidRDefault="0023213C" w:rsidP="0023213C">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Times New Roman"/>
          <w:b/>
          <w:i/>
          <w:color w:val="000000"/>
          <w:sz w:val="28"/>
          <w:lang w:eastAsia="bg-BG"/>
        </w:rPr>
      </w:pPr>
    </w:p>
    <w:p w14:paraId="31BD9ED8"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През 2022 година са влезли в сила    </w:t>
      </w:r>
      <w:r w:rsidRPr="0023213C">
        <w:rPr>
          <w:rFonts w:ascii="Times New Roman" w:eastAsia="Times New Roman" w:hAnsi="Times New Roman" w:cs="Times New Roman"/>
          <w:b/>
          <w:sz w:val="32"/>
          <w:szCs w:val="32"/>
        </w:rPr>
        <w:t xml:space="preserve">699 броя осъдителни </w:t>
      </w:r>
      <w:r w:rsidRPr="0023213C">
        <w:rPr>
          <w:rFonts w:ascii="Times New Roman" w:eastAsia="Times New Roman" w:hAnsi="Times New Roman" w:cs="Times New Roman"/>
          <w:sz w:val="28"/>
          <w:szCs w:val="28"/>
        </w:rPr>
        <w:t xml:space="preserve">и санкционни решения,  което съставлява  98, 2 %    от внесените в съда прокурорски актове и  95, 9%   от решените от съда дела.           </w:t>
      </w:r>
    </w:p>
    <w:p w14:paraId="52839624"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През 2021 година са влезли в сила </w:t>
      </w:r>
      <w:r w:rsidRPr="0023213C">
        <w:rPr>
          <w:rFonts w:ascii="Times New Roman" w:eastAsia="Times New Roman" w:hAnsi="Times New Roman" w:cs="Times New Roman"/>
          <w:b/>
          <w:sz w:val="32"/>
          <w:szCs w:val="32"/>
        </w:rPr>
        <w:t>689 броя осъдителни</w:t>
      </w:r>
      <w:r w:rsidRPr="0023213C">
        <w:rPr>
          <w:rFonts w:ascii="Times New Roman" w:eastAsia="Times New Roman" w:hAnsi="Times New Roman" w:cs="Times New Roman"/>
          <w:sz w:val="28"/>
          <w:szCs w:val="28"/>
        </w:rPr>
        <w:t xml:space="preserve"> и санкционни решения, което съставлява 96, 6  % от внесените в съда прокурорски актове и  96, 3  % от решените от съда дела.</w:t>
      </w:r>
    </w:p>
    <w:p w14:paraId="1D23BC78"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През 2020 година са влезли в сила  </w:t>
      </w:r>
      <w:r w:rsidRPr="0023213C">
        <w:rPr>
          <w:rFonts w:ascii="Times New Roman" w:eastAsia="Times New Roman" w:hAnsi="Times New Roman" w:cs="Times New Roman"/>
          <w:b/>
          <w:sz w:val="28"/>
          <w:szCs w:val="28"/>
        </w:rPr>
        <w:t>728 броя</w:t>
      </w:r>
      <w:r w:rsidRPr="0023213C">
        <w:rPr>
          <w:rFonts w:ascii="Times New Roman" w:eastAsia="Times New Roman" w:hAnsi="Times New Roman" w:cs="Times New Roman"/>
          <w:sz w:val="28"/>
          <w:szCs w:val="28"/>
        </w:rPr>
        <w:t xml:space="preserve">  осъдителни и санкционни решения, или  93, 3 % от внесените в съда прокурорски актове и 97, 3  % от решените от съда дела.</w:t>
      </w:r>
    </w:p>
    <w:p w14:paraId="7F0215D1"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Съпоставката сочи, че  през 2022 година </w:t>
      </w:r>
      <w:r w:rsidRPr="0023213C">
        <w:rPr>
          <w:rFonts w:ascii="Times New Roman" w:eastAsia="Times New Roman" w:hAnsi="Times New Roman" w:cs="Times New Roman"/>
          <w:b/>
          <w:i/>
          <w:sz w:val="28"/>
          <w:szCs w:val="28"/>
        </w:rPr>
        <w:t>е занижен</w:t>
      </w:r>
      <w:r w:rsidRPr="0023213C">
        <w:rPr>
          <w:rFonts w:ascii="Times New Roman" w:eastAsia="Times New Roman" w:hAnsi="Times New Roman" w:cs="Times New Roman"/>
          <w:sz w:val="28"/>
          <w:szCs w:val="28"/>
        </w:rPr>
        <w:t xml:space="preserve"> броят на осъдителнитеи санкционни решения </w:t>
      </w:r>
      <w:r w:rsidRPr="0023213C">
        <w:rPr>
          <w:rFonts w:ascii="Times New Roman" w:eastAsia="Times New Roman" w:hAnsi="Times New Roman" w:cs="Times New Roman"/>
          <w:i/>
          <w:sz w:val="28"/>
          <w:szCs w:val="28"/>
        </w:rPr>
        <w:t>спрямо 2020 година</w:t>
      </w:r>
      <w:r w:rsidRPr="0023213C">
        <w:rPr>
          <w:rFonts w:ascii="Times New Roman" w:eastAsia="Times New Roman" w:hAnsi="Times New Roman" w:cs="Times New Roman"/>
          <w:sz w:val="28"/>
          <w:szCs w:val="28"/>
        </w:rPr>
        <w:t xml:space="preserve"> и </w:t>
      </w:r>
      <w:r w:rsidRPr="0023213C">
        <w:rPr>
          <w:rFonts w:ascii="Times New Roman" w:eastAsia="Times New Roman" w:hAnsi="Times New Roman" w:cs="Times New Roman"/>
          <w:b/>
          <w:i/>
          <w:sz w:val="28"/>
          <w:szCs w:val="28"/>
        </w:rPr>
        <w:t>леко е завишен</w:t>
      </w:r>
      <w:r w:rsidRPr="0023213C">
        <w:rPr>
          <w:rFonts w:ascii="Times New Roman" w:eastAsia="Times New Roman" w:hAnsi="Times New Roman" w:cs="Times New Roman"/>
          <w:sz w:val="28"/>
          <w:szCs w:val="28"/>
        </w:rPr>
        <w:t xml:space="preserve"> </w:t>
      </w:r>
      <w:r w:rsidRPr="0023213C">
        <w:rPr>
          <w:rFonts w:ascii="Times New Roman" w:eastAsia="Times New Roman" w:hAnsi="Times New Roman" w:cs="Times New Roman"/>
          <w:i/>
          <w:sz w:val="28"/>
          <w:szCs w:val="28"/>
        </w:rPr>
        <w:t>спрямо 2021 година.</w:t>
      </w:r>
      <w:r w:rsidRPr="0023213C">
        <w:rPr>
          <w:rFonts w:ascii="Times New Roman" w:eastAsia="Times New Roman" w:hAnsi="Times New Roman" w:cs="Times New Roman"/>
          <w:sz w:val="28"/>
          <w:szCs w:val="28"/>
        </w:rPr>
        <w:t xml:space="preserve">   </w:t>
      </w:r>
    </w:p>
    <w:p w14:paraId="0E0BE50C"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p>
    <w:p w14:paraId="795EA30C"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b/>
          <w:i/>
          <w:sz w:val="28"/>
          <w:szCs w:val="28"/>
        </w:rPr>
        <w:t xml:space="preserve">    Осъдени и санкционирани лица</w:t>
      </w:r>
    </w:p>
    <w:p w14:paraId="3EA1EB36"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p>
    <w:p w14:paraId="64C9472A" w14:textId="77777777" w:rsidR="0023213C" w:rsidRPr="0023213C" w:rsidRDefault="0023213C" w:rsidP="0023213C">
      <w:pPr>
        <w:spacing w:after="0" w:line="240" w:lineRule="auto"/>
        <w:ind w:firstLine="708"/>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w:t>
      </w:r>
      <w:r w:rsidRPr="0023213C">
        <w:rPr>
          <w:rFonts w:ascii="Times New Roman" w:eastAsia="Times New Roman" w:hAnsi="Times New Roman" w:cs="Times New Roman"/>
          <w:sz w:val="28"/>
          <w:szCs w:val="28"/>
          <w:u w:val="single"/>
        </w:rPr>
        <w:t xml:space="preserve">През отчетния период  </w:t>
      </w:r>
      <w:r w:rsidRPr="0023213C">
        <w:rPr>
          <w:rFonts w:ascii="Times New Roman" w:eastAsia="Times New Roman" w:hAnsi="Times New Roman" w:cs="Times New Roman"/>
          <w:sz w:val="28"/>
          <w:szCs w:val="28"/>
        </w:rPr>
        <w:t xml:space="preserve">-  2022 година са осъдени и санкционвирани </w:t>
      </w:r>
      <w:r w:rsidRPr="0023213C">
        <w:rPr>
          <w:rFonts w:ascii="Times New Roman" w:eastAsia="Times New Roman" w:hAnsi="Times New Roman" w:cs="Times New Roman"/>
          <w:b/>
          <w:sz w:val="32"/>
          <w:szCs w:val="32"/>
        </w:rPr>
        <w:t>699 броя лица</w:t>
      </w:r>
      <w:r w:rsidRPr="0023213C">
        <w:rPr>
          <w:rFonts w:ascii="Times New Roman" w:eastAsia="Times New Roman" w:hAnsi="Times New Roman" w:cs="Times New Roman"/>
          <w:sz w:val="28"/>
          <w:szCs w:val="28"/>
        </w:rPr>
        <w:t xml:space="preserve">, като с влязъл в сила съдебен акт-  </w:t>
      </w:r>
      <w:r w:rsidRPr="0023213C">
        <w:rPr>
          <w:rFonts w:ascii="Times New Roman" w:eastAsia="Times New Roman" w:hAnsi="Times New Roman" w:cs="Times New Roman"/>
          <w:b/>
          <w:sz w:val="32"/>
          <w:szCs w:val="32"/>
        </w:rPr>
        <w:t xml:space="preserve">687 броя </w:t>
      </w:r>
      <w:r w:rsidRPr="0023213C">
        <w:rPr>
          <w:rFonts w:ascii="Times New Roman" w:eastAsia="Times New Roman" w:hAnsi="Times New Roman" w:cs="Times New Roman"/>
          <w:sz w:val="28"/>
          <w:szCs w:val="28"/>
        </w:rPr>
        <w:t>лица.  Наказание лишаване от свобода/ ефективно/ е наложено на 108 лица,</w:t>
      </w:r>
      <w:r w:rsidRPr="0023213C">
        <w:rPr>
          <w:rFonts w:ascii="Times New Roman" w:eastAsia="Times New Roman" w:hAnsi="Times New Roman" w:cs="Times New Roman"/>
          <w:b/>
          <w:sz w:val="28"/>
          <w:szCs w:val="28"/>
        </w:rPr>
        <w:t xml:space="preserve"> </w:t>
      </w:r>
      <w:r w:rsidRPr="0023213C">
        <w:rPr>
          <w:rFonts w:ascii="Times New Roman" w:eastAsia="Times New Roman" w:hAnsi="Times New Roman" w:cs="Times New Roman"/>
          <w:sz w:val="28"/>
          <w:szCs w:val="28"/>
        </w:rPr>
        <w:t>условна присъда е постановена спрямо 310 лица, пробация е наложена на  108 лица, лишаване от права е постановено спрямо  142 лица, на  187 лица е наложена глоба и на  11 лица - друг вид наказание.</w:t>
      </w:r>
    </w:p>
    <w:p w14:paraId="18BBFA37" w14:textId="77777777" w:rsidR="0023213C" w:rsidRPr="0023213C" w:rsidRDefault="0023213C" w:rsidP="0023213C">
      <w:pPr>
        <w:spacing w:after="0" w:line="240" w:lineRule="auto"/>
        <w:ind w:firstLine="708"/>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През 2021 година  са били осъдени и санкционирани </w:t>
      </w:r>
      <w:r w:rsidRPr="0023213C">
        <w:rPr>
          <w:rFonts w:ascii="Times New Roman" w:eastAsia="Times New Roman" w:hAnsi="Times New Roman" w:cs="Times New Roman"/>
          <w:b/>
          <w:sz w:val="32"/>
          <w:szCs w:val="32"/>
        </w:rPr>
        <w:t xml:space="preserve">727 броя </w:t>
      </w:r>
      <w:r w:rsidRPr="0023213C">
        <w:rPr>
          <w:rFonts w:ascii="Times New Roman" w:eastAsia="Times New Roman" w:hAnsi="Times New Roman" w:cs="Times New Roman"/>
          <w:sz w:val="28"/>
          <w:szCs w:val="28"/>
        </w:rPr>
        <w:t xml:space="preserve">лица, като с влязъл в сила съдебен акт- </w:t>
      </w:r>
      <w:r w:rsidRPr="0023213C">
        <w:rPr>
          <w:rFonts w:ascii="Times New Roman" w:eastAsia="Times New Roman" w:hAnsi="Times New Roman" w:cs="Times New Roman"/>
          <w:b/>
          <w:sz w:val="32"/>
          <w:szCs w:val="32"/>
        </w:rPr>
        <w:t>707 броя лица</w:t>
      </w:r>
      <w:r w:rsidRPr="0023213C">
        <w:rPr>
          <w:rFonts w:ascii="Times New Roman" w:eastAsia="Times New Roman" w:hAnsi="Times New Roman" w:cs="Times New Roman"/>
          <w:sz w:val="28"/>
          <w:szCs w:val="28"/>
        </w:rPr>
        <w:t>.</w:t>
      </w:r>
    </w:p>
    <w:p w14:paraId="7E7ACF4B" w14:textId="77777777" w:rsidR="0023213C" w:rsidRPr="0023213C" w:rsidRDefault="0023213C" w:rsidP="0023213C">
      <w:pPr>
        <w:spacing w:after="0" w:line="240" w:lineRule="auto"/>
        <w:ind w:firstLine="708"/>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През 2020 година са били осъдени и санкционирани </w:t>
      </w:r>
      <w:r w:rsidRPr="0023213C">
        <w:rPr>
          <w:rFonts w:ascii="Times New Roman" w:eastAsia="Times New Roman" w:hAnsi="Times New Roman" w:cs="Times New Roman"/>
          <w:b/>
          <w:sz w:val="32"/>
          <w:szCs w:val="32"/>
        </w:rPr>
        <w:t>760 броя</w:t>
      </w:r>
      <w:r w:rsidRPr="0023213C">
        <w:rPr>
          <w:rFonts w:ascii="Times New Roman" w:eastAsia="Times New Roman" w:hAnsi="Times New Roman" w:cs="Times New Roman"/>
          <w:sz w:val="28"/>
          <w:szCs w:val="28"/>
        </w:rPr>
        <w:t xml:space="preserve"> лица, от които с влязъл в сила съдебен акт </w:t>
      </w:r>
      <w:r w:rsidRPr="0023213C">
        <w:rPr>
          <w:rFonts w:ascii="Times New Roman" w:eastAsia="Times New Roman" w:hAnsi="Times New Roman" w:cs="Times New Roman"/>
          <w:b/>
          <w:sz w:val="32"/>
          <w:szCs w:val="32"/>
        </w:rPr>
        <w:t>747 броя лица</w:t>
      </w:r>
      <w:r w:rsidRPr="0023213C">
        <w:rPr>
          <w:rFonts w:ascii="Times New Roman" w:eastAsia="Times New Roman" w:hAnsi="Times New Roman" w:cs="Times New Roman"/>
          <w:sz w:val="28"/>
          <w:szCs w:val="28"/>
        </w:rPr>
        <w:t>.</w:t>
      </w:r>
    </w:p>
    <w:p w14:paraId="486F5CBE" w14:textId="77777777" w:rsidR="0023213C" w:rsidRPr="0023213C" w:rsidRDefault="0023213C" w:rsidP="0023213C">
      <w:pPr>
        <w:spacing w:after="0" w:line="240" w:lineRule="auto"/>
        <w:ind w:firstLine="708"/>
        <w:jc w:val="both"/>
        <w:rPr>
          <w:rFonts w:ascii="Times New Roman" w:eastAsia="Times New Roman" w:hAnsi="Times New Roman" w:cs="Times New Roman"/>
          <w:b/>
          <w:sz w:val="28"/>
          <w:szCs w:val="28"/>
        </w:rPr>
      </w:pPr>
      <w:r w:rsidRPr="0023213C">
        <w:rPr>
          <w:rFonts w:ascii="Times New Roman" w:eastAsia="Times New Roman" w:hAnsi="Times New Roman" w:cs="Times New Roman"/>
          <w:sz w:val="28"/>
          <w:szCs w:val="28"/>
        </w:rPr>
        <w:t xml:space="preserve">         Видно е, че  броят на осъдените и санкционирани лица  </w:t>
      </w:r>
      <w:r w:rsidRPr="0023213C">
        <w:rPr>
          <w:rFonts w:ascii="Times New Roman" w:eastAsia="Times New Roman" w:hAnsi="Times New Roman" w:cs="Times New Roman"/>
          <w:b/>
          <w:i/>
          <w:sz w:val="28"/>
          <w:szCs w:val="28"/>
        </w:rPr>
        <w:t xml:space="preserve">е занижен  и </w:t>
      </w:r>
      <w:r w:rsidRPr="0023213C">
        <w:rPr>
          <w:rFonts w:ascii="Times New Roman" w:eastAsia="Times New Roman" w:hAnsi="Times New Roman" w:cs="Times New Roman"/>
          <w:sz w:val="28"/>
          <w:szCs w:val="28"/>
        </w:rPr>
        <w:t>спрямо  двата предходни периода. По същия начин се слагат нещата и във връзка с осъдените лица с влязъл в сила съдебен акт</w:t>
      </w:r>
      <w:r w:rsidRPr="0023213C">
        <w:rPr>
          <w:rFonts w:ascii="Times New Roman" w:eastAsia="Times New Roman" w:hAnsi="Times New Roman" w:cs="Times New Roman"/>
          <w:b/>
          <w:sz w:val="28"/>
          <w:szCs w:val="28"/>
        </w:rPr>
        <w:t>.</w:t>
      </w:r>
    </w:p>
    <w:p w14:paraId="7345BF76" w14:textId="77777777" w:rsidR="0023213C" w:rsidRPr="0023213C" w:rsidRDefault="0023213C" w:rsidP="0023213C">
      <w:pPr>
        <w:spacing w:after="0" w:line="240" w:lineRule="auto"/>
        <w:ind w:firstLine="708"/>
        <w:jc w:val="both"/>
        <w:rPr>
          <w:rFonts w:ascii="Times New Roman" w:eastAsia="Times New Roman" w:hAnsi="Times New Roman" w:cs="Times New Roman"/>
          <w:b/>
          <w:sz w:val="28"/>
          <w:szCs w:val="28"/>
        </w:rPr>
      </w:pPr>
      <w:r w:rsidRPr="0023213C">
        <w:rPr>
          <w:rFonts w:ascii="Times New Roman" w:eastAsia="Times New Roman" w:hAnsi="Times New Roman" w:cs="Times New Roman"/>
          <w:b/>
          <w:i/>
          <w:sz w:val="28"/>
          <w:szCs w:val="28"/>
        </w:rPr>
        <w:t xml:space="preserve"> </w:t>
      </w:r>
    </w:p>
    <w:p w14:paraId="55CEF4EC" w14:textId="77777777" w:rsidR="0023213C" w:rsidRPr="0023213C" w:rsidRDefault="0023213C" w:rsidP="0023213C">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Times New Roman"/>
          <w:b/>
          <w:i/>
          <w:color w:val="000000"/>
          <w:sz w:val="28"/>
          <w:lang w:eastAsia="bg-BG"/>
        </w:rPr>
      </w:pPr>
      <w:bookmarkStart w:id="35" w:name="_Toc127370256"/>
      <w:r w:rsidRPr="0023213C">
        <w:rPr>
          <w:rFonts w:ascii="Times New Roman" w:eastAsia="Calibri" w:hAnsi="Times New Roman" w:cs="Times New Roman"/>
          <w:b/>
          <w:i/>
          <w:color w:val="000000"/>
          <w:sz w:val="28"/>
          <w:lang w:eastAsia="bg-BG"/>
        </w:rPr>
        <w:lastRenderedPageBreak/>
        <w:t>1. 3. Противоречива прокурорска и съдебна практика. Практическо приложение на съкратеното съдебно следствие.</w:t>
      </w:r>
      <w:bookmarkEnd w:id="35"/>
    </w:p>
    <w:p w14:paraId="7F96E0AA" w14:textId="77777777" w:rsidR="0023213C" w:rsidRPr="0023213C" w:rsidRDefault="0023213C" w:rsidP="0023213C">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Times New Roman"/>
          <w:b/>
          <w:i/>
          <w:color w:val="000000"/>
          <w:sz w:val="28"/>
          <w:lang w:eastAsia="bg-BG"/>
        </w:rPr>
      </w:pPr>
    </w:p>
    <w:p w14:paraId="5A35DF47" w14:textId="565DE9D4"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Прокурорите в региона  по традиция   провеждат регулярно срещи с разследващите органи, на които се обсъждат и въпроси, свързани със съдебното производство, връщането на делата и как да се събират повече и по-качествени доказателства.  През отчетния период тези срещи не са били толкова чести, предвид все още действалата епидемичната обстановка в страната, но въпреки това е обменяна информация  и са търсени начини за осъществяване на комуникация, която да доведе до подобряване на работата. Стремежът, както е отбелязвано и  в предходните доклади, е уеднаквяване на к</w:t>
      </w:r>
      <w:r w:rsidR="00F5222B">
        <w:rPr>
          <w:rFonts w:ascii="Times New Roman" w:eastAsia="Times New Roman" w:hAnsi="Times New Roman" w:cs="Times New Roman"/>
          <w:sz w:val="28"/>
          <w:szCs w:val="28"/>
        </w:rPr>
        <w:t>ритериите</w:t>
      </w:r>
      <w:r w:rsidRPr="0023213C">
        <w:rPr>
          <w:rFonts w:ascii="Times New Roman" w:eastAsia="Times New Roman" w:hAnsi="Times New Roman" w:cs="Times New Roman"/>
          <w:sz w:val="28"/>
          <w:szCs w:val="28"/>
        </w:rPr>
        <w:t xml:space="preserve">, свеждане до възможния минимум на върнатите дела и гарантиране на по-горям брой осъдителни присъди и свеждане до минимум и  на оправдателните такива. </w:t>
      </w:r>
    </w:p>
    <w:p w14:paraId="5FC39B01" w14:textId="2520008D" w:rsidR="0023213C" w:rsidRPr="0023213C" w:rsidRDefault="00F5222B" w:rsidP="002321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реда н</w:t>
      </w:r>
      <w:r w:rsidR="0023213C" w:rsidRPr="0023213C">
        <w:rPr>
          <w:rFonts w:ascii="Times New Roman" w:eastAsia="Times New Roman" w:hAnsi="Times New Roman" w:cs="Times New Roman"/>
          <w:sz w:val="28"/>
          <w:szCs w:val="28"/>
        </w:rPr>
        <w:t xml:space="preserve">а съкратеното съдебно следствие за отчетния период са постановени  </w:t>
      </w:r>
      <w:r w:rsidR="0023213C" w:rsidRPr="0023213C">
        <w:rPr>
          <w:rFonts w:ascii="Times New Roman" w:eastAsia="Times New Roman" w:hAnsi="Times New Roman" w:cs="Times New Roman"/>
          <w:b/>
          <w:sz w:val="32"/>
          <w:szCs w:val="32"/>
        </w:rPr>
        <w:t>41 броя осъдителни</w:t>
      </w:r>
      <w:r w:rsidR="0023213C" w:rsidRPr="0023213C">
        <w:rPr>
          <w:rFonts w:ascii="Times New Roman" w:eastAsia="Times New Roman" w:hAnsi="Times New Roman" w:cs="Times New Roman"/>
          <w:sz w:val="28"/>
          <w:szCs w:val="28"/>
        </w:rPr>
        <w:t xml:space="preserve"> присъди. За 2021 година са били </w:t>
      </w:r>
      <w:r w:rsidR="0023213C" w:rsidRPr="0023213C">
        <w:rPr>
          <w:rFonts w:ascii="Times New Roman" w:eastAsia="Times New Roman" w:hAnsi="Times New Roman" w:cs="Times New Roman"/>
          <w:b/>
          <w:sz w:val="32"/>
          <w:szCs w:val="32"/>
        </w:rPr>
        <w:t>21 броя осъдителни</w:t>
      </w:r>
      <w:r w:rsidR="0023213C" w:rsidRPr="0023213C">
        <w:rPr>
          <w:rFonts w:ascii="Times New Roman" w:eastAsia="Times New Roman" w:hAnsi="Times New Roman" w:cs="Times New Roman"/>
          <w:sz w:val="28"/>
          <w:szCs w:val="28"/>
        </w:rPr>
        <w:t xml:space="preserve"> присъди. За 2020 година са постановени </w:t>
      </w:r>
      <w:r w:rsidR="0023213C" w:rsidRPr="0023213C">
        <w:rPr>
          <w:rFonts w:ascii="Times New Roman" w:eastAsia="Times New Roman" w:hAnsi="Times New Roman" w:cs="Times New Roman"/>
          <w:b/>
          <w:sz w:val="28"/>
          <w:szCs w:val="28"/>
        </w:rPr>
        <w:t>19 броя осъдителни</w:t>
      </w:r>
      <w:r w:rsidR="0023213C" w:rsidRPr="0023213C">
        <w:rPr>
          <w:rFonts w:ascii="Times New Roman" w:eastAsia="Times New Roman" w:hAnsi="Times New Roman" w:cs="Times New Roman"/>
          <w:sz w:val="28"/>
          <w:szCs w:val="28"/>
        </w:rPr>
        <w:t xml:space="preserve"> присъди.  Броят  </w:t>
      </w:r>
      <w:r w:rsidR="0023213C" w:rsidRPr="0023213C">
        <w:rPr>
          <w:rFonts w:ascii="Times New Roman" w:eastAsia="Times New Roman" w:hAnsi="Times New Roman" w:cs="Times New Roman"/>
          <w:b/>
          <w:i/>
          <w:sz w:val="28"/>
          <w:szCs w:val="28"/>
        </w:rPr>
        <w:t>е  завишен</w:t>
      </w:r>
      <w:r w:rsidR="0023213C" w:rsidRPr="0023213C">
        <w:rPr>
          <w:rFonts w:ascii="Times New Roman" w:eastAsia="Times New Roman" w:hAnsi="Times New Roman" w:cs="Times New Roman"/>
          <w:sz w:val="28"/>
          <w:szCs w:val="28"/>
        </w:rPr>
        <w:t xml:space="preserve">  и спрямо двата предходни периода.</w:t>
      </w:r>
    </w:p>
    <w:p w14:paraId="6E1E6B00"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lang w:val="en-US"/>
        </w:rPr>
      </w:pPr>
    </w:p>
    <w:p w14:paraId="1FFBBF96" w14:textId="77777777" w:rsidR="0023213C" w:rsidRPr="0023213C" w:rsidRDefault="0023213C" w:rsidP="0023213C">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color w:val="000000"/>
          <w:sz w:val="28"/>
          <w:u w:val="single"/>
          <w:lang w:eastAsia="bg-BG"/>
        </w:rPr>
      </w:pPr>
      <w:bookmarkStart w:id="36" w:name="_Toc127370257"/>
      <w:r w:rsidRPr="0023213C">
        <w:rPr>
          <w:rFonts w:ascii="Times New Roman" w:eastAsia="Calibri" w:hAnsi="Times New Roman" w:cs="Arial"/>
          <w:b/>
          <w:color w:val="000000"/>
          <w:sz w:val="28"/>
          <w:u w:val="single"/>
          <w:lang w:eastAsia="bg-BG"/>
        </w:rPr>
        <w:t xml:space="preserve">2. Постановени оправдателни присъди и върнати от съд дела </w:t>
      </w:r>
      <w:r w:rsidRPr="0023213C">
        <w:rPr>
          <w:rFonts w:ascii="Times New Roman" w:eastAsiaTheme="majorEastAsia" w:hAnsi="Times New Roman" w:cs="Times New Roman"/>
          <w:b/>
          <w:color w:val="000000"/>
          <w:sz w:val="28"/>
          <w:szCs w:val="28"/>
          <w:u w:val="single"/>
          <w:vertAlign w:val="superscript"/>
          <w:lang w:eastAsia="bg-BG"/>
        </w:rPr>
        <w:footnoteReference w:id="2"/>
      </w:r>
      <w:r w:rsidRPr="0023213C">
        <w:rPr>
          <w:rFonts w:ascii="Times New Roman" w:eastAsia="Calibri" w:hAnsi="Times New Roman" w:cs="Arial"/>
          <w:b/>
          <w:color w:val="000000"/>
          <w:sz w:val="28"/>
          <w:u w:val="single"/>
          <w:lang w:eastAsia="bg-BG"/>
        </w:rPr>
        <w:t>.</w:t>
      </w:r>
      <w:bookmarkEnd w:id="36"/>
    </w:p>
    <w:p w14:paraId="17F19637" w14:textId="77777777" w:rsidR="0023213C" w:rsidRPr="0023213C" w:rsidRDefault="0023213C" w:rsidP="0023213C">
      <w:pPr>
        <w:shd w:val="clear" w:color="auto" w:fill="FFFFFF"/>
        <w:tabs>
          <w:tab w:val="left" w:pos="826"/>
        </w:tabs>
        <w:autoSpaceDE w:val="0"/>
        <w:autoSpaceDN w:val="0"/>
        <w:adjustRightInd w:val="0"/>
        <w:spacing w:after="0" w:line="240" w:lineRule="auto"/>
        <w:ind w:firstLine="720"/>
        <w:jc w:val="both"/>
        <w:rPr>
          <w:color w:val="000000"/>
          <w:sz w:val="28"/>
          <w:lang w:eastAsia="bg-BG"/>
        </w:rPr>
      </w:pPr>
    </w:p>
    <w:p w14:paraId="2A1C82B7" w14:textId="77777777" w:rsidR="0023213C" w:rsidRPr="0023213C" w:rsidRDefault="0023213C" w:rsidP="0023213C">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Times New Roman"/>
          <w:b/>
          <w:i/>
          <w:color w:val="000000"/>
          <w:sz w:val="28"/>
          <w:lang w:eastAsia="bg-BG"/>
        </w:rPr>
      </w:pPr>
      <w:bookmarkStart w:id="37" w:name="_Toc127370258"/>
      <w:r w:rsidRPr="0023213C">
        <w:rPr>
          <w:rFonts w:ascii="Times New Roman" w:eastAsia="Calibri" w:hAnsi="Times New Roman" w:cs="Times New Roman"/>
          <w:b/>
          <w:i/>
          <w:color w:val="000000"/>
          <w:sz w:val="28"/>
          <w:lang w:eastAsia="bg-BG"/>
        </w:rPr>
        <w:t>2.1. Върнати от съда на прокуратурата дела:</w:t>
      </w:r>
      <w:bookmarkEnd w:id="37"/>
    </w:p>
    <w:p w14:paraId="22CF6BF1" w14:textId="77777777" w:rsidR="0023213C" w:rsidRPr="0023213C" w:rsidRDefault="0023213C" w:rsidP="0023213C">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Times New Roman"/>
          <w:b/>
          <w:i/>
          <w:color w:val="000000"/>
          <w:sz w:val="28"/>
          <w:lang w:eastAsia="bg-BG"/>
        </w:rPr>
      </w:pPr>
    </w:p>
    <w:p w14:paraId="0A6CBEA4"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През 2022 година на прокуратурата са върнати </w:t>
      </w:r>
      <w:r w:rsidRPr="0023213C">
        <w:rPr>
          <w:rFonts w:ascii="Times New Roman" w:eastAsia="Times New Roman" w:hAnsi="Times New Roman" w:cs="Times New Roman"/>
          <w:b/>
          <w:sz w:val="32"/>
          <w:szCs w:val="32"/>
        </w:rPr>
        <w:t xml:space="preserve">общо 17 броя дела, </w:t>
      </w:r>
      <w:r w:rsidRPr="0023213C">
        <w:rPr>
          <w:rFonts w:ascii="Times New Roman" w:eastAsia="Times New Roman" w:hAnsi="Times New Roman" w:cs="Times New Roman"/>
          <w:sz w:val="28"/>
          <w:szCs w:val="28"/>
        </w:rPr>
        <w:t xml:space="preserve">при образувани 687 броя – </w:t>
      </w:r>
      <w:r w:rsidRPr="0023213C">
        <w:rPr>
          <w:rFonts w:ascii="Times New Roman" w:eastAsia="Times New Roman" w:hAnsi="Times New Roman" w:cs="Times New Roman"/>
          <w:b/>
          <w:sz w:val="28"/>
          <w:szCs w:val="28"/>
        </w:rPr>
        <w:t>10 броя</w:t>
      </w:r>
      <w:r w:rsidRPr="0023213C">
        <w:rPr>
          <w:rFonts w:ascii="Times New Roman" w:eastAsia="Times New Roman" w:hAnsi="Times New Roman" w:cs="Times New Roman"/>
          <w:sz w:val="28"/>
          <w:szCs w:val="28"/>
        </w:rPr>
        <w:t xml:space="preserve"> по внесените обвинителни актове, </w:t>
      </w:r>
      <w:r w:rsidRPr="0023213C">
        <w:rPr>
          <w:rFonts w:ascii="Times New Roman" w:eastAsia="Times New Roman" w:hAnsi="Times New Roman" w:cs="Times New Roman"/>
          <w:b/>
          <w:sz w:val="28"/>
          <w:szCs w:val="28"/>
        </w:rPr>
        <w:t>4 броя</w:t>
      </w:r>
      <w:r w:rsidRPr="0023213C">
        <w:rPr>
          <w:rFonts w:ascii="Times New Roman" w:eastAsia="Times New Roman" w:hAnsi="Times New Roman" w:cs="Times New Roman"/>
          <w:sz w:val="28"/>
          <w:szCs w:val="28"/>
        </w:rPr>
        <w:t xml:space="preserve"> неодобрени споразумения и </w:t>
      </w:r>
      <w:r w:rsidRPr="0023213C">
        <w:rPr>
          <w:rFonts w:ascii="Times New Roman" w:eastAsia="Times New Roman" w:hAnsi="Times New Roman" w:cs="Times New Roman"/>
          <w:b/>
          <w:sz w:val="28"/>
          <w:szCs w:val="28"/>
        </w:rPr>
        <w:t>1 брой</w:t>
      </w:r>
      <w:r w:rsidRPr="0023213C">
        <w:rPr>
          <w:rFonts w:ascii="Times New Roman" w:eastAsia="Times New Roman" w:hAnsi="Times New Roman" w:cs="Times New Roman"/>
          <w:sz w:val="28"/>
          <w:szCs w:val="28"/>
        </w:rPr>
        <w:t xml:space="preserve"> - по внесено предложгение по чл. 78а от НК.</w:t>
      </w:r>
    </w:p>
    <w:p w14:paraId="08DA5500"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През 2021 година на прокуратурата са  били върнати общо </w:t>
      </w:r>
      <w:r w:rsidRPr="0023213C">
        <w:rPr>
          <w:rFonts w:ascii="Times New Roman" w:eastAsia="Times New Roman" w:hAnsi="Times New Roman" w:cs="Times New Roman"/>
          <w:b/>
          <w:sz w:val="32"/>
          <w:szCs w:val="32"/>
        </w:rPr>
        <w:t xml:space="preserve">10 броя дела </w:t>
      </w:r>
      <w:r w:rsidRPr="0023213C">
        <w:rPr>
          <w:rFonts w:ascii="Times New Roman" w:eastAsia="Times New Roman" w:hAnsi="Times New Roman" w:cs="Times New Roman"/>
          <w:sz w:val="28"/>
          <w:szCs w:val="28"/>
        </w:rPr>
        <w:t xml:space="preserve">при образувани 713 броя - </w:t>
      </w:r>
      <w:r w:rsidRPr="0023213C">
        <w:rPr>
          <w:rFonts w:ascii="Times New Roman" w:eastAsia="Times New Roman" w:hAnsi="Times New Roman" w:cs="Times New Roman"/>
          <w:b/>
          <w:sz w:val="28"/>
          <w:szCs w:val="28"/>
        </w:rPr>
        <w:t>7 броя</w:t>
      </w:r>
      <w:r w:rsidRPr="0023213C">
        <w:rPr>
          <w:rFonts w:ascii="Times New Roman" w:eastAsia="Times New Roman" w:hAnsi="Times New Roman" w:cs="Times New Roman"/>
          <w:sz w:val="28"/>
          <w:szCs w:val="28"/>
        </w:rPr>
        <w:t xml:space="preserve"> по внесените олбвинителни актове, </w:t>
      </w:r>
      <w:r w:rsidRPr="0023213C">
        <w:rPr>
          <w:rFonts w:ascii="Times New Roman" w:eastAsia="Times New Roman" w:hAnsi="Times New Roman" w:cs="Times New Roman"/>
          <w:b/>
          <w:sz w:val="28"/>
          <w:szCs w:val="28"/>
        </w:rPr>
        <w:t>2 броя</w:t>
      </w:r>
      <w:r w:rsidRPr="0023213C">
        <w:rPr>
          <w:rFonts w:ascii="Times New Roman" w:eastAsia="Times New Roman" w:hAnsi="Times New Roman" w:cs="Times New Roman"/>
          <w:sz w:val="28"/>
          <w:szCs w:val="28"/>
        </w:rPr>
        <w:t xml:space="preserve"> неодобрени споразумения и </w:t>
      </w:r>
      <w:r w:rsidRPr="0023213C">
        <w:rPr>
          <w:rFonts w:ascii="Times New Roman" w:eastAsia="Times New Roman" w:hAnsi="Times New Roman" w:cs="Times New Roman"/>
          <w:b/>
          <w:sz w:val="28"/>
          <w:szCs w:val="28"/>
        </w:rPr>
        <w:t>1 брой</w:t>
      </w:r>
      <w:r w:rsidRPr="0023213C">
        <w:rPr>
          <w:rFonts w:ascii="Times New Roman" w:eastAsia="Times New Roman" w:hAnsi="Times New Roman" w:cs="Times New Roman"/>
          <w:sz w:val="28"/>
          <w:szCs w:val="28"/>
        </w:rPr>
        <w:t xml:space="preserve"> – по внесено предложение по чл. 78а от НК.</w:t>
      </w:r>
    </w:p>
    <w:p w14:paraId="3AFB960D"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През 2020 година на прокуратурата са върнати  също общо   </w:t>
      </w:r>
      <w:r w:rsidRPr="0023213C">
        <w:rPr>
          <w:rFonts w:ascii="Times New Roman" w:eastAsia="Times New Roman" w:hAnsi="Times New Roman" w:cs="Times New Roman"/>
          <w:b/>
          <w:sz w:val="28"/>
          <w:szCs w:val="28"/>
        </w:rPr>
        <w:t>10 броя</w:t>
      </w:r>
      <w:r w:rsidRPr="0023213C">
        <w:rPr>
          <w:rFonts w:ascii="Times New Roman" w:eastAsia="Times New Roman" w:hAnsi="Times New Roman" w:cs="Times New Roman"/>
          <w:sz w:val="28"/>
          <w:szCs w:val="28"/>
        </w:rPr>
        <w:t xml:space="preserve"> дела при образувани 780 броя -  </w:t>
      </w:r>
      <w:r w:rsidRPr="0023213C">
        <w:rPr>
          <w:rFonts w:ascii="Times New Roman" w:eastAsia="Times New Roman" w:hAnsi="Times New Roman" w:cs="Times New Roman"/>
          <w:b/>
          <w:sz w:val="28"/>
          <w:szCs w:val="28"/>
        </w:rPr>
        <w:t>5 броя</w:t>
      </w:r>
      <w:r w:rsidRPr="0023213C">
        <w:rPr>
          <w:rFonts w:ascii="Times New Roman" w:eastAsia="Times New Roman" w:hAnsi="Times New Roman" w:cs="Times New Roman"/>
          <w:sz w:val="28"/>
          <w:szCs w:val="28"/>
        </w:rPr>
        <w:t xml:space="preserve"> по внесените  обвинителните актове,   </w:t>
      </w:r>
      <w:r w:rsidRPr="0023213C">
        <w:rPr>
          <w:rFonts w:ascii="Times New Roman" w:eastAsia="Times New Roman" w:hAnsi="Times New Roman" w:cs="Times New Roman"/>
          <w:b/>
          <w:sz w:val="28"/>
          <w:szCs w:val="28"/>
        </w:rPr>
        <w:t>1 брой</w:t>
      </w:r>
      <w:r w:rsidRPr="0023213C">
        <w:rPr>
          <w:rFonts w:ascii="Times New Roman" w:eastAsia="Times New Roman" w:hAnsi="Times New Roman" w:cs="Times New Roman"/>
          <w:sz w:val="28"/>
          <w:szCs w:val="28"/>
        </w:rPr>
        <w:t xml:space="preserve"> неодобрено споразумение и   </w:t>
      </w:r>
      <w:r w:rsidRPr="0023213C">
        <w:rPr>
          <w:rFonts w:ascii="Times New Roman" w:eastAsia="Times New Roman" w:hAnsi="Times New Roman" w:cs="Times New Roman"/>
          <w:b/>
          <w:sz w:val="28"/>
          <w:szCs w:val="28"/>
        </w:rPr>
        <w:t>4 броя</w:t>
      </w:r>
      <w:r w:rsidRPr="0023213C">
        <w:rPr>
          <w:rFonts w:ascii="Times New Roman" w:eastAsia="Times New Roman" w:hAnsi="Times New Roman" w:cs="Times New Roman"/>
          <w:sz w:val="28"/>
          <w:szCs w:val="28"/>
        </w:rPr>
        <w:t xml:space="preserve"> -   по внесени предложения по  чл. 78а от НК.</w:t>
      </w:r>
    </w:p>
    <w:p w14:paraId="60B83B46"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Забелязва </w:t>
      </w:r>
      <w:r w:rsidRPr="0023213C">
        <w:rPr>
          <w:rFonts w:ascii="Times New Roman" w:eastAsia="Times New Roman" w:hAnsi="Times New Roman" w:cs="Times New Roman"/>
          <w:b/>
          <w:sz w:val="28"/>
          <w:szCs w:val="28"/>
        </w:rPr>
        <w:t>се завишаване</w:t>
      </w:r>
      <w:r w:rsidRPr="0023213C">
        <w:rPr>
          <w:rFonts w:ascii="Times New Roman" w:eastAsia="Times New Roman" w:hAnsi="Times New Roman" w:cs="Times New Roman"/>
          <w:sz w:val="28"/>
          <w:szCs w:val="28"/>
        </w:rPr>
        <w:t xml:space="preserve">  броя върнати на прокуратурата делаза отчетния период.  Върнатите дела на прокуратурата – 17 броя спрямо образуваните 687 броя съставляват     2, 5 % .  За 2021 година са били 1,4 %, за 2020 година са били 1, 3 % .   </w:t>
      </w:r>
    </w:p>
    <w:p w14:paraId="16C6E25F"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Съпоставката сочи на  </w:t>
      </w:r>
      <w:r w:rsidRPr="0023213C">
        <w:rPr>
          <w:rFonts w:ascii="Times New Roman" w:eastAsia="Times New Roman" w:hAnsi="Times New Roman" w:cs="Times New Roman"/>
          <w:i/>
          <w:sz w:val="28"/>
          <w:szCs w:val="28"/>
        </w:rPr>
        <w:t xml:space="preserve">завишаване </w:t>
      </w:r>
      <w:r w:rsidRPr="0023213C">
        <w:rPr>
          <w:rFonts w:ascii="Times New Roman" w:eastAsia="Times New Roman" w:hAnsi="Times New Roman" w:cs="Times New Roman"/>
          <w:sz w:val="28"/>
          <w:szCs w:val="28"/>
        </w:rPr>
        <w:t xml:space="preserve"> на върнатите дела спрямо предходните два периода.  Въпреки това , на фона на образуваните и решени дела може да се направи  обобщаващ извод, че прокурорите вършат много добре своята работа в рамките на досъдебното производство, бидейки </w:t>
      </w:r>
      <w:r w:rsidRPr="0023213C">
        <w:rPr>
          <w:rFonts w:ascii="Times New Roman" w:eastAsia="Times New Roman" w:hAnsi="Times New Roman" w:cs="Times New Roman"/>
          <w:sz w:val="28"/>
          <w:szCs w:val="28"/>
        </w:rPr>
        <w:lastRenderedPageBreak/>
        <w:t xml:space="preserve">господари на същото, като организират провеждането му по реда и при условията на НПК.  </w:t>
      </w:r>
    </w:p>
    <w:p w14:paraId="66E7063D"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p>
    <w:p w14:paraId="47E7470C" w14:textId="77777777" w:rsidR="0023213C" w:rsidRPr="0023213C" w:rsidRDefault="0023213C" w:rsidP="0023213C">
      <w:pPr>
        <w:spacing w:after="0" w:line="240" w:lineRule="auto"/>
        <w:ind w:firstLine="709"/>
        <w:jc w:val="both"/>
        <w:rPr>
          <w:rFonts w:ascii="Times New Roman" w:eastAsia="Times New Roman" w:hAnsi="Times New Roman" w:cs="Times New Roman"/>
          <w:i/>
          <w:sz w:val="24"/>
          <w:szCs w:val="24"/>
        </w:rPr>
      </w:pPr>
      <w:r w:rsidRPr="0023213C">
        <w:rPr>
          <w:rFonts w:ascii="Times New Roman" w:eastAsia="Times New Roman" w:hAnsi="Times New Roman" w:cs="Times New Roman"/>
          <w:i/>
          <w:sz w:val="24"/>
          <w:szCs w:val="24"/>
        </w:rPr>
        <w:t>Върнати дела спрямо предходни периоди по брой: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1836"/>
        <w:gridCol w:w="1836"/>
        <w:gridCol w:w="1833"/>
        <w:gridCol w:w="1839"/>
      </w:tblGrid>
      <w:tr w:rsidR="0023213C" w:rsidRPr="0023213C" w14:paraId="6F95A2A5" w14:textId="77777777" w:rsidTr="0023213C">
        <w:trPr>
          <w:trHeight w:val="528"/>
        </w:trPr>
        <w:tc>
          <w:tcPr>
            <w:tcW w:w="1834" w:type="dxa"/>
          </w:tcPr>
          <w:p w14:paraId="0E9D7EFD" w14:textId="77777777" w:rsidR="0023213C" w:rsidRPr="0023213C" w:rsidRDefault="0023213C" w:rsidP="0023213C">
            <w:pPr>
              <w:tabs>
                <w:tab w:val="left" w:pos="826"/>
              </w:tabs>
              <w:autoSpaceDE w:val="0"/>
              <w:autoSpaceDN w:val="0"/>
              <w:adjustRightInd w:val="0"/>
              <w:spacing w:after="0" w:line="240" w:lineRule="auto"/>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Година</w:t>
            </w:r>
          </w:p>
        </w:tc>
        <w:tc>
          <w:tcPr>
            <w:tcW w:w="1836" w:type="dxa"/>
          </w:tcPr>
          <w:p w14:paraId="4B1D6B67" w14:textId="77777777" w:rsidR="0023213C" w:rsidRPr="0023213C" w:rsidRDefault="0023213C" w:rsidP="0023213C">
            <w:pPr>
              <w:tabs>
                <w:tab w:val="left" w:pos="826"/>
              </w:tabs>
              <w:autoSpaceDE w:val="0"/>
              <w:autoSpaceDN w:val="0"/>
              <w:adjustRightInd w:val="0"/>
              <w:spacing w:after="0" w:line="240" w:lineRule="auto"/>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ОП Монтана</w:t>
            </w:r>
          </w:p>
          <w:p w14:paraId="42AE30CD" w14:textId="77777777" w:rsidR="0023213C" w:rsidRPr="0023213C" w:rsidRDefault="0023213C" w:rsidP="0023213C">
            <w:pPr>
              <w:tabs>
                <w:tab w:val="left" w:pos="826"/>
              </w:tabs>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p>
        </w:tc>
        <w:tc>
          <w:tcPr>
            <w:tcW w:w="1836" w:type="dxa"/>
          </w:tcPr>
          <w:p w14:paraId="2F92EEE8" w14:textId="77777777" w:rsidR="0023213C" w:rsidRPr="0023213C" w:rsidRDefault="0023213C" w:rsidP="0023213C">
            <w:pPr>
              <w:tabs>
                <w:tab w:val="left" w:pos="826"/>
              </w:tabs>
              <w:autoSpaceDE w:val="0"/>
              <w:autoSpaceDN w:val="0"/>
              <w:adjustRightInd w:val="0"/>
              <w:spacing w:after="0" w:line="240" w:lineRule="auto"/>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РП Монтана</w:t>
            </w:r>
          </w:p>
        </w:tc>
        <w:tc>
          <w:tcPr>
            <w:tcW w:w="1833" w:type="dxa"/>
          </w:tcPr>
          <w:p w14:paraId="32E40A3B" w14:textId="77777777" w:rsidR="0023213C" w:rsidRPr="0023213C" w:rsidRDefault="0023213C" w:rsidP="0023213C">
            <w:pPr>
              <w:tabs>
                <w:tab w:val="left" w:pos="826"/>
              </w:tabs>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p>
        </w:tc>
        <w:tc>
          <w:tcPr>
            <w:tcW w:w="1839" w:type="dxa"/>
          </w:tcPr>
          <w:p w14:paraId="71694C00" w14:textId="77777777" w:rsidR="0023213C" w:rsidRPr="0023213C" w:rsidRDefault="0023213C" w:rsidP="0023213C">
            <w:pPr>
              <w:tabs>
                <w:tab w:val="left" w:pos="826"/>
              </w:tabs>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p>
        </w:tc>
      </w:tr>
      <w:tr w:rsidR="0023213C" w:rsidRPr="0023213C" w14:paraId="61166D07" w14:textId="77777777" w:rsidTr="0023213C">
        <w:tc>
          <w:tcPr>
            <w:tcW w:w="1834" w:type="dxa"/>
            <w:shd w:val="clear" w:color="auto" w:fill="BFBFBF" w:themeFill="background1" w:themeFillShade="BF"/>
          </w:tcPr>
          <w:p w14:paraId="5A8D7D84" w14:textId="77777777" w:rsidR="0023213C" w:rsidRPr="0023213C" w:rsidRDefault="0023213C" w:rsidP="0023213C">
            <w:pPr>
              <w:tabs>
                <w:tab w:val="left" w:pos="826"/>
              </w:tabs>
              <w:autoSpaceDE w:val="0"/>
              <w:autoSpaceDN w:val="0"/>
              <w:adjustRightInd w:val="0"/>
              <w:spacing w:after="0" w:line="240" w:lineRule="auto"/>
              <w:jc w:val="both"/>
              <w:rPr>
                <w:rFonts w:ascii="Times New Roman" w:eastAsia="Calibri" w:hAnsi="Times New Roman" w:cs="Times New Roman"/>
                <w:color w:val="000000"/>
                <w:sz w:val="24"/>
                <w:szCs w:val="24"/>
                <w:highlight w:val="lightGray"/>
              </w:rPr>
            </w:pPr>
            <w:r w:rsidRPr="0023213C">
              <w:rPr>
                <w:rFonts w:ascii="Times New Roman" w:eastAsia="Calibri" w:hAnsi="Times New Roman" w:cs="Times New Roman"/>
                <w:b/>
                <w:color w:val="000000"/>
                <w:sz w:val="24"/>
                <w:szCs w:val="24"/>
                <w:highlight w:val="lightGray"/>
              </w:rPr>
              <w:t>2022</w:t>
            </w:r>
          </w:p>
        </w:tc>
        <w:tc>
          <w:tcPr>
            <w:tcW w:w="1836" w:type="dxa"/>
            <w:shd w:val="clear" w:color="auto" w:fill="BFBFBF" w:themeFill="background1" w:themeFillShade="BF"/>
          </w:tcPr>
          <w:p w14:paraId="01150840" w14:textId="77777777" w:rsidR="0023213C" w:rsidRPr="0023213C" w:rsidRDefault="0023213C" w:rsidP="0023213C">
            <w:pPr>
              <w:tabs>
                <w:tab w:val="left" w:pos="826"/>
              </w:tabs>
              <w:autoSpaceDE w:val="0"/>
              <w:autoSpaceDN w:val="0"/>
              <w:adjustRightInd w:val="0"/>
              <w:spacing w:after="0" w:line="240" w:lineRule="auto"/>
              <w:jc w:val="both"/>
              <w:rPr>
                <w:rFonts w:ascii="Times New Roman" w:eastAsia="Calibri" w:hAnsi="Times New Roman" w:cs="Times New Roman"/>
                <w:color w:val="000000"/>
                <w:sz w:val="24"/>
                <w:szCs w:val="24"/>
                <w:highlight w:val="lightGray"/>
              </w:rPr>
            </w:pPr>
            <w:r w:rsidRPr="0023213C">
              <w:rPr>
                <w:rFonts w:ascii="Times New Roman" w:eastAsia="Calibri" w:hAnsi="Times New Roman" w:cs="Times New Roman"/>
                <w:color w:val="000000"/>
                <w:sz w:val="24"/>
                <w:szCs w:val="24"/>
                <w:highlight w:val="lightGray"/>
              </w:rPr>
              <w:t>2</w:t>
            </w:r>
          </w:p>
        </w:tc>
        <w:tc>
          <w:tcPr>
            <w:tcW w:w="1836" w:type="dxa"/>
            <w:shd w:val="clear" w:color="auto" w:fill="BFBFBF" w:themeFill="background1" w:themeFillShade="BF"/>
          </w:tcPr>
          <w:p w14:paraId="1EEA23D1" w14:textId="77777777" w:rsidR="0023213C" w:rsidRPr="0023213C" w:rsidRDefault="0023213C" w:rsidP="0023213C">
            <w:pPr>
              <w:tabs>
                <w:tab w:val="left" w:pos="826"/>
              </w:tabs>
              <w:autoSpaceDE w:val="0"/>
              <w:autoSpaceDN w:val="0"/>
              <w:adjustRightInd w:val="0"/>
              <w:spacing w:after="0" w:line="240" w:lineRule="auto"/>
              <w:jc w:val="both"/>
              <w:rPr>
                <w:rFonts w:ascii="Times New Roman" w:eastAsia="Calibri" w:hAnsi="Times New Roman" w:cs="Times New Roman"/>
                <w:color w:val="000000"/>
                <w:sz w:val="24"/>
                <w:szCs w:val="24"/>
                <w:highlight w:val="lightGray"/>
              </w:rPr>
            </w:pPr>
            <w:r w:rsidRPr="0023213C">
              <w:rPr>
                <w:rFonts w:ascii="Times New Roman" w:eastAsia="Calibri" w:hAnsi="Times New Roman" w:cs="Times New Roman"/>
                <w:b/>
                <w:color w:val="000000"/>
                <w:sz w:val="24"/>
                <w:szCs w:val="24"/>
                <w:highlight w:val="lightGray"/>
              </w:rPr>
              <w:t>15</w:t>
            </w:r>
          </w:p>
        </w:tc>
        <w:tc>
          <w:tcPr>
            <w:tcW w:w="1833" w:type="dxa"/>
            <w:shd w:val="clear" w:color="auto" w:fill="BFBFBF" w:themeFill="background1" w:themeFillShade="BF"/>
          </w:tcPr>
          <w:p w14:paraId="176CD4FB" w14:textId="77777777" w:rsidR="0023213C" w:rsidRPr="0023213C" w:rsidRDefault="0023213C" w:rsidP="0023213C">
            <w:pPr>
              <w:tabs>
                <w:tab w:val="left" w:pos="826"/>
              </w:tabs>
              <w:autoSpaceDE w:val="0"/>
              <w:autoSpaceDN w:val="0"/>
              <w:adjustRightInd w:val="0"/>
              <w:spacing w:after="0" w:line="240" w:lineRule="auto"/>
              <w:jc w:val="both"/>
              <w:rPr>
                <w:rFonts w:ascii="Times New Roman" w:eastAsia="Calibri" w:hAnsi="Times New Roman" w:cs="Times New Roman"/>
                <w:color w:val="000000"/>
                <w:sz w:val="24"/>
                <w:szCs w:val="24"/>
                <w:highlight w:val="lightGray"/>
              </w:rPr>
            </w:pPr>
          </w:p>
        </w:tc>
        <w:tc>
          <w:tcPr>
            <w:tcW w:w="1839" w:type="dxa"/>
            <w:shd w:val="clear" w:color="auto" w:fill="BFBFBF" w:themeFill="background1" w:themeFillShade="BF"/>
          </w:tcPr>
          <w:p w14:paraId="45336E2C" w14:textId="77777777" w:rsidR="0023213C" w:rsidRPr="0023213C" w:rsidRDefault="0023213C" w:rsidP="0023213C">
            <w:pPr>
              <w:tabs>
                <w:tab w:val="left" w:pos="826"/>
              </w:tabs>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23213C" w:rsidRPr="0023213C" w14:paraId="7E52E809" w14:textId="77777777" w:rsidTr="0023213C">
        <w:tc>
          <w:tcPr>
            <w:tcW w:w="1834" w:type="dxa"/>
          </w:tcPr>
          <w:p w14:paraId="3461A260" w14:textId="77777777" w:rsidR="0023213C" w:rsidRPr="0023213C" w:rsidRDefault="0023213C" w:rsidP="0023213C">
            <w:pPr>
              <w:tabs>
                <w:tab w:val="left" w:pos="8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2021</w:t>
            </w:r>
          </w:p>
        </w:tc>
        <w:tc>
          <w:tcPr>
            <w:tcW w:w="1836" w:type="dxa"/>
          </w:tcPr>
          <w:p w14:paraId="209F07E1" w14:textId="77777777" w:rsidR="0023213C" w:rsidRPr="0023213C" w:rsidRDefault="0023213C" w:rsidP="0023213C">
            <w:pPr>
              <w:tabs>
                <w:tab w:val="left" w:pos="8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1</w:t>
            </w:r>
          </w:p>
        </w:tc>
        <w:tc>
          <w:tcPr>
            <w:tcW w:w="1836" w:type="dxa"/>
          </w:tcPr>
          <w:p w14:paraId="0FFE15C3" w14:textId="77777777" w:rsidR="0023213C" w:rsidRPr="0023213C" w:rsidRDefault="0023213C" w:rsidP="0023213C">
            <w:pPr>
              <w:tabs>
                <w:tab w:val="left" w:pos="8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9</w:t>
            </w:r>
          </w:p>
        </w:tc>
        <w:tc>
          <w:tcPr>
            <w:tcW w:w="1833" w:type="dxa"/>
          </w:tcPr>
          <w:p w14:paraId="21959735" w14:textId="77777777" w:rsidR="0023213C" w:rsidRPr="0023213C" w:rsidRDefault="0023213C" w:rsidP="0023213C">
            <w:pPr>
              <w:tabs>
                <w:tab w:val="left" w:pos="826"/>
              </w:tabs>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839" w:type="dxa"/>
          </w:tcPr>
          <w:p w14:paraId="02D69D08" w14:textId="77777777" w:rsidR="0023213C" w:rsidRPr="0023213C" w:rsidRDefault="0023213C" w:rsidP="0023213C">
            <w:pPr>
              <w:tabs>
                <w:tab w:val="left" w:pos="826"/>
              </w:tabs>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23213C" w:rsidRPr="0023213C" w14:paraId="35E79755" w14:textId="77777777" w:rsidTr="0023213C">
        <w:trPr>
          <w:trHeight w:val="108"/>
        </w:trPr>
        <w:tc>
          <w:tcPr>
            <w:tcW w:w="1834" w:type="dxa"/>
          </w:tcPr>
          <w:p w14:paraId="4D9CA0F3" w14:textId="77777777" w:rsidR="0023213C" w:rsidRPr="0023213C" w:rsidRDefault="0023213C" w:rsidP="0023213C">
            <w:pPr>
              <w:tabs>
                <w:tab w:val="left" w:pos="8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2020</w:t>
            </w:r>
          </w:p>
        </w:tc>
        <w:tc>
          <w:tcPr>
            <w:tcW w:w="1836" w:type="dxa"/>
          </w:tcPr>
          <w:p w14:paraId="0CD7689E" w14:textId="77777777" w:rsidR="0023213C" w:rsidRPr="0023213C" w:rsidRDefault="0023213C" w:rsidP="0023213C">
            <w:pPr>
              <w:tabs>
                <w:tab w:val="left" w:pos="8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c>
          <w:tcPr>
            <w:tcW w:w="1836" w:type="dxa"/>
          </w:tcPr>
          <w:p w14:paraId="3ED51CD0" w14:textId="77777777" w:rsidR="0023213C" w:rsidRPr="0023213C" w:rsidRDefault="0023213C" w:rsidP="0023213C">
            <w:pPr>
              <w:tabs>
                <w:tab w:val="left" w:pos="8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10</w:t>
            </w:r>
          </w:p>
        </w:tc>
        <w:tc>
          <w:tcPr>
            <w:tcW w:w="1833" w:type="dxa"/>
          </w:tcPr>
          <w:p w14:paraId="10BF1FDF" w14:textId="77777777" w:rsidR="0023213C" w:rsidRPr="0023213C" w:rsidRDefault="0023213C" w:rsidP="0023213C">
            <w:pPr>
              <w:tabs>
                <w:tab w:val="left" w:pos="826"/>
              </w:tabs>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839" w:type="dxa"/>
          </w:tcPr>
          <w:p w14:paraId="0F366C5B" w14:textId="77777777" w:rsidR="0023213C" w:rsidRPr="0023213C" w:rsidRDefault="0023213C" w:rsidP="0023213C">
            <w:pPr>
              <w:tabs>
                <w:tab w:val="left" w:pos="826"/>
              </w:tabs>
              <w:autoSpaceDE w:val="0"/>
              <w:autoSpaceDN w:val="0"/>
              <w:adjustRightInd w:val="0"/>
              <w:spacing w:after="0" w:line="240" w:lineRule="auto"/>
              <w:jc w:val="both"/>
              <w:rPr>
                <w:rFonts w:ascii="Times New Roman" w:eastAsia="Calibri" w:hAnsi="Times New Roman" w:cs="Times New Roman"/>
                <w:color w:val="000000"/>
                <w:sz w:val="24"/>
                <w:szCs w:val="24"/>
              </w:rPr>
            </w:pPr>
          </w:p>
        </w:tc>
      </w:tr>
    </w:tbl>
    <w:p w14:paraId="10A55B2B" w14:textId="77777777" w:rsidR="0023213C" w:rsidRPr="0023213C" w:rsidRDefault="0023213C" w:rsidP="0023213C">
      <w:pPr>
        <w:shd w:val="clear" w:color="auto" w:fill="FFFFFF"/>
        <w:tabs>
          <w:tab w:val="left" w:pos="826"/>
        </w:tabs>
        <w:autoSpaceDE w:val="0"/>
        <w:autoSpaceDN w:val="0"/>
        <w:adjustRightInd w:val="0"/>
        <w:spacing w:after="0" w:line="240" w:lineRule="auto"/>
        <w:ind w:firstLine="709"/>
        <w:jc w:val="both"/>
        <w:rPr>
          <w:rFonts w:ascii="Times New Roman" w:eastAsia="Calibri" w:hAnsi="Times New Roman" w:cs="Times New Roman"/>
          <w:color w:val="000000"/>
          <w:sz w:val="28"/>
        </w:rPr>
      </w:pPr>
    </w:p>
    <w:p w14:paraId="32A73872" w14:textId="77777777" w:rsidR="0023213C" w:rsidRPr="0023213C" w:rsidRDefault="0023213C" w:rsidP="0023213C">
      <w:pPr>
        <w:shd w:val="clear" w:color="auto" w:fill="FFFFFF"/>
        <w:tabs>
          <w:tab w:val="left" w:pos="826"/>
        </w:tabs>
        <w:autoSpaceDE w:val="0"/>
        <w:autoSpaceDN w:val="0"/>
        <w:adjustRightInd w:val="0"/>
        <w:spacing w:after="0" w:line="240" w:lineRule="auto"/>
        <w:ind w:firstLine="709"/>
        <w:jc w:val="both"/>
        <w:rPr>
          <w:rFonts w:ascii="Times New Roman" w:eastAsia="Calibri" w:hAnsi="Times New Roman" w:cs="Times New Roman"/>
          <w:color w:val="000000"/>
          <w:sz w:val="28"/>
        </w:rPr>
      </w:pPr>
      <w:r w:rsidRPr="0023213C">
        <w:rPr>
          <w:rFonts w:ascii="Times New Roman" w:eastAsia="Calibri" w:hAnsi="Times New Roman" w:cs="Times New Roman"/>
          <w:color w:val="000000"/>
          <w:sz w:val="28"/>
        </w:rPr>
        <w:t xml:space="preserve">    От тези данни може да се направи извод, че броят на върнатите дела общо за региона  бележи </w:t>
      </w:r>
      <w:r w:rsidRPr="0023213C">
        <w:rPr>
          <w:rFonts w:ascii="Times New Roman" w:eastAsia="Calibri" w:hAnsi="Times New Roman" w:cs="Times New Roman"/>
          <w:b/>
          <w:i/>
          <w:color w:val="000000"/>
          <w:sz w:val="28"/>
        </w:rPr>
        <w:t xml:space="preserve">завишаване </w:t>
      </w:r>
      <w:r w:rsidRPr="0023213C">
        <w:rPr>
          <w:rFonts w:ascii="Times New Roman" w:eastAsia="Calibri" w:hAnsi="Times New Roman" w:cs="Times New Roman"/>
          <w:color w:val="000000"/>
          <w:sz w:val="28"/>
        </w:rPr>
        <w:t xml:space="preserve">  и спрямо двата предходни периода. </w:t>
      </w:r>
    </w:p>
    <w:p w14:paraId="542D2D41"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Основните причини за връщане на делата се свеждат до възприето от съда становище за допуснати  в хода на разследването съществени нарушения на процесуалните правила,  най-често свързани с правото на обвиняемия на защита. Констатирани са единични пропуски при изготвянето на обвинителните актове, които са могли да бъдат избегнати при по-прецизна работа на прокурора. </w:t>
      </w:r>
    </w:p>
    <w:p w14:paraId="642DE729"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По прокуратури и основания за връщане, делата за отчетния период се разпределят, както следва:</w:t>
      </w:r>
    </w:p>
    <w:p w14:paraId="5009F3D9"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p>
    <w:p w14:paraId="28DCB183" w14:textId="77777777" w:rsidR="0023213C" w:rsidRPr="0023213C" w:rsidRDefault="0023213C" w:rsidP="00FC76F9">
      <w:pPr>
        <w:spacing w:after="0" w:line="240" w:lineRule="auto"/>
        <w:ind w:left="707" w:firstLine="709"/>
        <w:jc w:val="both"/>
        <w:rPr>
          <w:rFonts w:ascii="Times New Roman" w:eastAsia="Times New Roman" w:hAnsi="Times New Roman" w:cs="Times New Roman"/>
          <w:b/>
          <w:smallCaps/>
          <w:sz w:val="28"/>
          <w:szCs w:val="28"/>
          <w:u w:val="single"/>
        </w:rPr>
      </w:pPr>
      <w:r w:rsidRPr="0023213C">
        <w:rPr>
          <w:rFonts w:ascii="Times New Roman" w:eastAsia="Times New Roman" w:hAnsi="Times New Roman" w:cs="Times New Roman"/>
          <w:b/>
          <w:smallCaps/>
          <w:sz w:val="28"/>
          <w:szCs w:val="28"/>
          <w:u w:val="single"/>
        </w:rPr>
        <w:t>Окръжна прокуратура- Монтана</w:t>
      </w:r>
    </w:p>
    <w:p w14:paraId="3592B4B9"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p>
    <w:p w14:paraId="582BF7A5" w14:textId="77777777" w:rsidR="0023213C" w:rsidRPr="0023213C" w:rsidRDefault="0023213C" w:rsidP="0023213C">
      <w:pPr>
        <w:spacing w:after="0" w:line="240" w:lineRule="auto"/>
        <w:ind w:firstLine="709"/>
        <w:jc w:val="both"/>
        <w:rPr>
          <w:rFonts w:ascii="Times New Roman" w:eastAsia="Times New Roman" w:hAnsi="Times New Roman" w:cs="Times New Roman"/>
          <w:b/>
          <w:sz w:val="28"/>
          <w:szCs w:val="28"/>
        </w:rPr>
      </w:pPr>
      <w:r w:rsidRPr="0023213C">
        <w:rPr>
          <w:rFonts w:ascii="Times New Roman" w:eastAsia="Times New Roman" w:hAnsi="Times New Roman" w:cs="Times New Roman"/>
          <w:sz w:val="28"/>
          <w:szCs w:val="28"/>
        </w:rPr>
        <w:t xml:space="preserve">   През 2022 година на Окръжна прокуратура -  Монтана  </w:t>
      </w:r>
      <w:r w:rsidRPr="0023213C">
        <w:rPr>
          <w:rFonts w:ascii="Times New Roman" w:eastAsia="Times New Roman" w:hAnsi="Times New Roman" w:cs="Times New Roman"/>
          <w:b/>
          <w:sz w:val="28"/>
          <w:szCs w:val="28"/>
        </w:rPr>
        <w:t>са  върнати 2/два/ броя дела, както следва:</w:t>
      </w:r>
    </w:p>
    <w:p w14:paraId="29C85800" w14:textId="77777777" w:rsidR="0023213C" w:rsidRPr="0023213C" w:rsidRDefault="0023213C" w:rsidP="0023213C">
      <w:pPr>
        <w:spacing w:after="0" w:line="240" w:lineRule="auto"/>
        <w:ind w:firstLine="709"/>
        <w:jc w:val="both"/>
        <w:rPr>
          <w:rFonts w:ascii="Times New Roman" w:eastAsia="Times New Roman" w:hAnsi="Times New Roman" w:cs="Times New Roman"/>
          <w:b/>
          <w:i/>
          <w:sz w:val="32"/>
          <w:szCs w:val="32"/>
        </w:rPr>
      </w:pPr>
      <w:r w:rsidRPr="0023213C">
        <w:rPr>
          <w:rFonts w:ascii="Times New Roman" w:eastAsia="Times New Roman" w:hAnsi="Times New Roman" w:cs="Times New Roman"/>
          <w:b/>
          <w:sz w:val="28"/>
          <w:szCs w:val="28"/>
        </w:rPr>
        <w:t xml:space="preserve">   - НОХД № 265/22 г. </w:t>
      </w:r>
      <w:r w:rsidRPr="0023213C">
        <w:rPr>
          <w:rFonts w:ascii="Times New Roman" w:eastAsia="Times New Roman" w:hAnsi="Times New Roman" w:cs="Times New Roman"/>
          <w:sz w:val="28"/>
          <w:szCs w:val="28"/>
        </w:rPr>
        <w:t>по описа на МОС, внесено за извършено престъпление по чл. 343, ал. 3, “Б“, във вр. с чл. 343, ал. 1, б.“Б“, вр. с чл. 342,</w:t>
      </w:r>
      <w:r w:rsidRPr="0023213C">
        <w:rPr>
          <w:rFonts w:ascii="Times New Roman" w:eastAsia="Times New Roman" w:hAnsi="Times New Roman" w:cs="Times New Roman"/>
          <w:sz w:val="28"/>
          <w:szCs w:val="28"/>
        </w:rPr>
        <w:tab/>
        <w:t xml:space="preserve">ал. 1 от НК.  Причините за връщане са свързани с налични,според съда, отстраними съществени процесуални нарушения, свързани с правото на обвиняемото лице на защита </w:t>
      </w:r>
      <w:r w:rsidRPr="0023213C">
        <w:rPr>
          <w:rFonts w:ascii="Times New Roman" w:eastAsia="Times New Roman" w:hAnsi="Times New Roman" w:cs="Times New Roman"/>
          <w:b/>
          <w:i/>
          <w:sz w:val="32"/>
          <w:szCs w:val="32"/>
        </w:rPr>
        <w:t xml:space="preserve">- т. 1, раздел </w:t>
      </w:r>
      <w:r w:rsidRPr="0023213C">
        <w:rPr>
          <w:rFonts w:ascii="Times New Roman" w:eastAsia="Times New Roman" w:hAnsi="Times New Roman" w:cs="Times New Roman"/>
          <w:b/>
          <w:i/>
          <w:sz w:val="32"/>
          <w:szCs w:val="32"/>
          <w:lang w:val="en-US"/>
        </w:rPr>
        <w:t>III</w:t>
      </w:r>
      <w:r w:rsidRPr="0023213C">
        <w:rPr>
          <w:rFonts w:ascii="Times New Roman" w:eastAsia="Times New Roman" w:hAnsi="Times New Roman" w:cs="Times New Roman"/>
          <w:b/>
          <w:i/>
          <w:sz w:val="32"/>
          <w:szCs w:val="32"/>
        </w:rPr>
        <w:t xml:space="preserve"> на приложение № 5. </w:t>
      </w:r>
    </w:p>
    <w:p w14:paraId="05E4B06D" w14:textId="77777777" w:rsidR="0023213C" w:rsidRPr="0023213C" w:rsidRDefault="0023213C" w:rsidP="0023213C">
      <w:pPr>
        <w:spacing w:after="0" w:line="240" w:lineRule="auto"/>
        <w:ind w:firstLine="709"/>
        <w:jc w:val="both"/>
        <w:rPr>
          <w:rFonts w:ascii="Times New Roman" w:eastAsia="Times New Roman" w:hAnsi="Times New Roman" w:cs="Times New Roman"/>
          <w:b/>
          <w:i/>
          <w:sz w:val="32"/>
          <w:szCs w:val="32"/>
        </w:rPr>
      </w:pPr>
      <w:r w:rsidRPr="0023213C">
        <w:rPr>
          <w:rFonts w:ascii="Times New Roman" w:eastAsia="Times New Roman" w:hAnsi="Times New Roman" w:cs="Times New Roman"/>
          <w:sz w:val="32"/>
          <w:szCs w:val="32"/>
        </w:rPr>
        <w:t xml:space="preserve">- </w:t>
      </w:r>
      <w:r w:rsidRPr="0023213C">
        <w:rPr>
          <w:rFonts w:ascii="Times New Roman" w:eastAsia="Times New Roman" w:hAnsi="Times New Roman" w:cs="Times New Roman"/>
          <w:b/>
          <w:sz w:val="28"/>
          <w:szCs w:val="28"/>
        </w:rPr>
        <w:t xml:space="preserve">НОХД № 110/22 г. </w:t>
      </w:r>
      <w:r w:rsidRPr="0023213C">
        <w:rPr>
          <w:rFonts w:ascii="Times New Roman" w:eastAsia="Times New Roman" w:hAnsi="Times New Roman" w:cs="Times New Roman"/>
          <w:sz w:val="28"/>
          <w:szCs w:val="28"/>
        </w:rPr>
        <w:t xml:space="preserve">по описа на МОС, внесено за извършено престъпление по чл. 248а, ал. 5, вр. с ал. 3, вр. с ал. 2 от НК. .  Причините за връщане са свързани с налични,според съда, отстраними съществени процесуални нарушения, свързани с правото на обвиняемото лице на защита </w:t>
      </w:r>
      <w:r w:rsidRPr="0023213C">
        <w:rPr>
          <w:rFonts w:ascii="Times New Roman" w:eastAsia="Times New Roman" w:hAnsi="Times New Roman" w:cs="Times New Roman"/>
          <w:b/>
          <w:i/>
          <w:sz w:val="32"/>
          <w:szCs w:val="32"/>
        </w:rPr>
        <w:t xml:space="preserve">- т. 1, раздел </w:t>
      </w:r>
      <w:r w:rsidRPr="0023213C">
        <w:rPr>
          <w:rFonts w:ascii="Times New Roman" w:eastAsia="Times New Roman" w:hAnsi="Times New Roman" w:cs="Times New Roman"/>
          <w:b/>
          <w:i/>
          <w:sz w:val="32"/>
          <w:szCs w:val="32"/>
          <w:lang w:val="en-US"/>
        </w:rPr>
        <w:t>III</w:t>
      </w:r>
      <w:r w:rsidRPr="0023213C">
        <w:rPr>
          <w:rFonts w:ascii="Times New Roman" w:eastAsia="Times New Roman" w:hAnsi="Times New Roman" w:cs="Times New Roman"/>
          <w:b/>
          <w:i/>
          <w:sz w:val="32"/>
          <w:szCs w:val="32"/>
        </w:rPr>
        <w:t xml:space="preserve"> на приложение № 5. </w:t>
      </w:r>
    </w:p>
    <w:p w14:paraId="3150F075" w14:textId="77777777" w:rsidR="0023213C" w:rsidRPr="0023213C" w:rsidRDefault="0023213C" w:rsidP="0023213C">
      <w:pPr>
        <w:spacing w:after="0" w:line="240" w:lineRule="auto"/>
        <w:ind w:firstLine="709"/>
        <w:jc w:val="both"/>
        <w:rPr>
          <w:rFonts w:ascii="Times New Roman" w:eastAsia="Times New Roman" w:hAnsi="Times New Roman" w:cs="Times New Roman"/>
          <w:sz w:val="32"/>
          <w:szCs w:val="32"/>
        </w:rPr>
      </w:pPr>
    </w:p>
    <w:p w14:paraId="406E0BF4" w14:textId="77777777" w:rsidR="00FC76F9" w:rsidRDefault="00FC76F9" w:rsidP="0023213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D6925F" w14:textId="58CD6FD9" w:rsidR="0023213C" w:rsidRPr="00FC76F9" w:rsidRDefault="0023213C" w:rsidP="00FC76F9">
      <w:pPr>
        <w:spacing w:after="0" w:line="240" w:lineRule="auto"/>
        <w:ind w:left="708" w:firstLine="708"/>
        <w:jc w:val="both"/>
        <w:rPr>
          <w:rFonts w:ascii="Times New Roman" w:eastAsia="Times New Roman" w:hAnsi="Times New Roman" w:cs="Times New Roman"/>
          <w:sz w:val="28"/>
          <w:szCs w:val="28"/>
        </w:rPr>
      </w:pPr>
      <w:r w:rsidRPr="0023213C">
        <w:rPr>
          <w:rFonts w:ascii="Times New Roman" w:eastAsia="Times New Roman" w:hAnsi="Times New Roman" w:cs="Times New Roman"/>
          <w:b/>
          <w:bCs/>
          <w:smallCaps/>
          <w:spacing w:val="5"/>
          <w:sz w:val="28"/>
          <w:szCs w:val="28"/>
          <w:u w:val="single"/>
        </w:rPr>
        <w:t xml:space="preserve">Районна прокуратура-Монтана: </w:t>
      </w:r>
    </w:p>
    <w:p w14:paraId="42B9E9A7" w14:textId="77777777" w:rsidR="0023213C" w:rsidRPr="0023213C" w:rsidRDefault="0023213C" w:rsidP="00FC76F9">
      <w:pPr>
        <w:spacing w:after="0" w:line="240" w:lineRule="auto"/>
        <w:ind w:firstLine="709"/>
        <w:jc w:val="both"/>
        <w:rPr>
          <w:rFonts w:ascii="Times New Roman" w:eastAsia="Times New Roman" w:hAnsi="Times New Roman" w:cs="Times New Roman"/>
          <w:sz w:val="28"/>
          <w:szCs w:val="28"/>
        </w:rPr>
      </w:pPr>
    </w:p>
    <w:p w14:paraId="71458CC6" w14:textId="77777777" w:rsidR="0023213C" w:rsidRPr="0023213C" w:rsidRDefault="0023213C" w:rsidP="00FC76F9">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През 2022 год. от съда са били върнати на прокурора общо </w:t>
      </w:r>
      <w:r w:rsidRPr="0023213C">
        <w:rPr>
          <w:rFonts w:ascii="Times New Roman" w:eastAsia="Times New Roman" w:hAnsi="Times New Roman" w:cs="Times New Roman"/>
          <w:b/>
          <w:sz w:val="28"/>
          <w:szCs w:val="28"/>
        </w:rPr>
        <w:t>15 броя   дела</w:t>
      </w:r>
      <w:r w:rsidRPr="0023213C">
        <w:rPr>
          <w:rFonts w:ascii="Times New Roman" w:eastAsia="Times New Roman" w:hAnsi="Times New Roman" w:cs="Times New Roman"/>
          <w:sz w:val="28"/>
          <w:szCs w:val="28"/>
        </w:rPr>
        <w:t xml:space="preserve">,  както следва: </w:t>
      </w:r>
      <w:r w:rsidRPr="0023213C">
        <w:rPr>
          <w:rFonts w:ascii="Times New Roman" w:eastAsia="Times New Roman" w:hAnsi="Times New Roman" w:cs="Times New Roman"/>
          <w:b/>
          <w:sz w:val="32"/>
          <w:szCs w:val="32"/>
        </w:rPr>
        <w:t>10</w:t>
      </w:r>
      <w:r w:rsidRPr="0023213C">
        <w:rPr>
          <w:rFonts w:ascii="Times New Roman" w:eastAsia="Times New Roman" w:hAnsi="Times New Roman" w:cs="Times New Roman"/>
          <w:b/>
          <w:i/>
          <w:sz w:val="32"/>
          <w:szCs w:val="32"/>
        </w:rPr>
        <w:t xml:space="preserve">  </w:t>
      </w:r>
      <w:r w:rsidRPr="0023213C">
        <w:rPr>
          <w:rFonts w:ascii="Times New Roman" w:eastAsia="Times New Roman" w:hAnsi="Times New Roman" w:cs="Times New Roman"/>
          <w:b/>
          <w:sz w:val="28"/>
          <w:szCs w:val="28"/>
        </w:rPr>
        <w:t>броя по внесени обвинителни</w:t>
      </w:r>
      <w:r w:rsidRPr="0023213C">
        <w:rPr>
          <w:rFonts w:ascii="Times New Roman" w:eastAsia="Times New Roman" w:hAnsi="Times New Roman" w:cs="Times New Roman"/>
          <w:sz w:val="28"/>
          <w:szCs w:val="28"/>
        </w:rPr>
        <w:t xml:space="preserve"> актове, </w:t>
      </w:r>
      <w:r w:rsidRPr="0023213C">
        <w:rPr>
          <w:rFonts w:ascii="Times New Roman" w:eastAsia="Times New Roman" w:hAnsi="Times New Roman" w:cs="Times New Roman"/>
          <w:b/>
          <w:sz w:val="28"/>
          <w:szCs w:val="28"/>
        </w:rPr>
        <w:t>4 броя</w:t>
      </w:r>
      <w:r w:rsidRPr="0023213C">
        <w:rPr>
          <w:rFonts w:ascii="Times New Roman" w:eastAsia="Times New Roman" w:hAnsi="Times New Roman" w:cs="Times New Roman"/>
          <w:sz w:val="28"/>
          <w:szCs w:val="28"/>
        </w:rPr>
        <w:t xml:space="preserve"> неодобрени споразумения и </w:t>
      </w:r>
      <w:r w:rsidRPr="0023213C">
        <w:rPr>
          <w:rFonts w:ascii="Times New Roman" w:eastAsia="Times New Roman" w:hAnsi="Times New Roman" w:cs="Times New Roman"/>
          <w:b/>
          <w:sz w:val="28"/>
          <w:szCs w:val="28"/>
        </w:rPr>
        <w:t>1 брой</w:t>
      </w:r>
      <w:r w:rsidRPr="0023213C">
        <w:rPr>
          <w:rFonts w:ascii="Times New Roman" w:eastAsia="Times New Roman" w:hAnsi="Times New Roman" w:cs="Times New Roman"/>
          <w:sz w:val="28"/>
          <w:szCs w:val="28"/>
        </w:rPr>
        <w:t xml:space="preserve"> по внесено предложение по чл. 78а от НК, както следва:</w:t>
      </w:r>
    </w:p>
    <w:p w14:paraId="14367CD2" w14:textId="77777777" w:rsidR="0023213C" w:rsidRPr="0023213C" w:rsidRDefault="0023213C" w:rsidP="00FC76F9">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w:t>
      </w:r>
      <w:r w:rsidRPr="0023213C">
        <w:rPr>
          <w:rFonts w:ascii="Times New Roman" w:eastAsia="Times New Roman" w:hAnsi="Times New Roman" w:cs="Times New Roman"/>
          <w:b/>
          <w:i/>
          <w:sz w:val="28"/>
          <w:szCs w:val="28"/>
          <w:u w:val="single"/>
        </w:rPr>
        <w:t>9 броя</w:t>
      </w:r>
      <w:r w:rsidRPr="0023213C">
        <w:rPr>
          <w:rFonts w:ascii="Times New Roman" w:eastAsia="Times New Roman" w:hAnsi="Times New Roman" w:cs="Times New Roman"/>
          <w:sz w:val="28"/>
          <w:szCs w:val="28"/>
        </w:rPr>
        <w:t xml:space="preserve"> за отстраняване на </w:t>
      </w:r>
      <w:r w:rsidRPr="0023213C">
        <w:rPr>
          <w:rFonts w:ascii="Times New Roman" w:eastAsia="Times New Roman" w:hAnsi="Times New Roman" w:cs="Times New Roman"/>
          <w:i/>
          <w:sz w:val="28"/>
          <w:szCs w:val="28"/>
        </w:rPr>
        <w:t>процесуални нарушения</w:t>
      </w:r>
      <w:r w:rsidRPr="0023213C">
        <w:rPr>
          <w:rFonts w:ascii="Times New Roman" w:eastAsia="Times New Roman" w:hAnsi="Times New Roman" w:cs="Times New Roman"/>
          <w:sz w:val="28"/>
          <w:szCs w:val="28"/>
        </w:rPr>
        <w:t xml:space="preserve">  на основание чл. 249, ал. 2 от НПК/</w:t>
      </w:r>
      <w:r w:rsidRPr="0023213C">
        <w:rPr>
          <w:rFonts w:ascii="Times New Roman" w:eastAsia="Times New Roman" w:hAnsi="Times New Roman" w:cs="Times New Roman"/>
          <w:b/>
          <w:i/>
          <w:sz w:val="28"/>
          <w:szCs w:val="28"/>
        </w:rPr>
        <w:t xml:space="preserve"> т. 1 от Приложение № 5, раздел </w:t>
      </w:r>
      <w:r w:rsidRPr="0023213C">
        <w:rPr>
          <w:rFonts w:ascii="Times New Roman" w:eastAsia="Times New Roman" w:hAnsi="Times New Roman" w:cs="Times New Roman"/>
          <w:b/>
          <w:i/>
          <w:sz w:val="28"/>
          <w:szCs w:val="28"/>
          <w:lang w:val="en-US"/>
        </w:rPr>
        <w:t>III</w:t>
      </w:r>
      <w:r w:rsidRPr="0023213C">
        <w:rPr>
          <w:rFonts w:ascii="Times New Roman" w:eastAsia="Times New Roman" w:hAnsi="Times New Roman" w:cs="Times New Roman"/>
          <w:b/>
          <w:i/>
          <w:sz w:val="28"/>
          <w:szCs w:val="28"/>
        </w:rPr>
        <w:t>/;</w:t>
      </w:r>
    </w:p>
    <w:p w14:paraId="095F458E" w14:textId="77777777" w:rsidR="0023213C" w:rsidRPr="0023213C" w:rsidRDefault="0023213C" w:rsidP="00FC76F9">
      <w:pPr>
        <w:spacing w:after="0" w:line="240" w:lineRule="auto"/>
        <w:jc w:val="both"/>
        <w:rPr>
          <w:rFonts w:ascii="Times New Roman" w:eastAsia="Times New Roman" w:hAnsi="Times New Roman" w:cs="Times New Roman"/>
          <w:sz w:val="28"/>
          <w:szCs w:val="28"/>
        </w:rPr>
      </w:pPr>
      <w:r w:rsidRPr="0023213C">
        <w:rPr>
          <w:rFonts w:ascii="Times New Roman" w:eastAsia="Times New Roman" w:hAnsi="Times New Roman" w:cs="Times New Roman"/>
          <w:b/>
          <w:i/>
          <w:sz w:val="28"/>
          <w:szCs w:val="28"/>
        </w:rPr>
        <w:lastRenderedPageBreak/>
        <w:t xml:space="preserve">                     1</w:t>
      </w:r>
      <w:r w:rsidRPr="0023213C">
        <w:rPr>
          <w:rFonts w:ascii="Times New Roman" w:eastAsia="Times New Roman" w:hAnsi="Times New Roman" w:cs="Times New Roman"/>
          <w:b/>
          <w:i/>
          <w:sz w:val="28"/>
          <w:szCs w:val="28"/>
          <w:u w:val="single"/>
        </w:rPr>
        <w:t xml:space="preserve"> брой</w:t>
      </w:r>
      <w:r w:rsidRPr="0023213C">
        <w:rPr>
          <w:rFonts w:ascii="Times New Roman" w:eastAsia="Times New Roman" w:hAnsi="Times New Roman" w:cs="Times New Roman"/>
          <w:sz w:val="28"/>
          <w:szCs w:val="28"/>
        </w:rPr>
        <w:t xml:space="preserve"> за констатирани </w:t>
      </w:r>
      <w:r w:rsidRPr="0023213C">
        <w:rPr>
          <w:rFonts w:ascii="Times New Roman" w:eastAsia="Times New Roman" w:hAnsi="Times New Roman" w:cs="Times New Roman"/>
          <w:i/>
          <w:sz w:val="28"/>
          <w:szCs w:val="28"/>
        </w:rPr>
        <w:t>пропуски при изготвяне на обвинителния акт</w:t>
      </w:r>
      <w:r w:rsidRPr="0023213C">
        <w:rPr>
          <w:rFonts w:ascii="Times New Roman" w:eastAsia="Times New Roman" w:hAnsi="Times New Roman" w:cs="Times New Roman"/>
          <w:sz w:val="28"/>
          <w:szCs w:val="28"/>
        </w:rPr>
        <w:t xml:space="preserve">, които са могли да бъдат избегнати при прецизна работа на прокурора/ </w:t>
      </w:r>
      <w:r w:rsidRPr="0023213C">
        <w:rPr>
          <w:rFonts w:ascii="Times New Roman" w:eastAsia="Times New Roman" w:hAnsi="Times New Roman" w:cs="Times New Roman"/>
          <w:b/>
          <w:i/>
          <w:sz w:val="28"/>
          <w:szCs w:val="28"/>
        </w:rPr>
        <w:t>т. 2 от Приложение № 5, раздел</w:t>
      </w:r>
      <w:r w:rsidRPr="0023213C">
        <w:rPr>
          <w:rFonts w:ascii="Times New Roman" w:eastAsia="Times New Roman" w:hAnsi="Times New Roman" w:cs="Times New Roman"/>
          <w:b/>
          <w:i/>
          <w:sz w:val="28"/>
          <w:szCs w:val="28"/>
          <w:lang w:val="en-US"/>
        </w:rPr>
        <w:t xml:space="preserve"> III</w:t>
      </w:r>
      <w:r w:rsidRPr="0023213C">
        <w:rPr>
          <w:rFonts w:ascii="Times New Roman" w:eastAsia="Times New Roman" w:hAnsi="Times New Roman" w:cs="Times New Roman"/>
          <w:sz w:val="28"/>
          <w:szCs w:val="28"/>
        </w:rPr>
        <w:t>/;</w:t>
      </w:r>
    </w:p>
    <w:p w14:paraId="26FC1415" w14:textId="77777777" w:rsidR="0023213C" w:rsidRPr="0023213C" w:rsidRDefault="0023213C" w:rsidP="00FC76F9">
      <w:pPr>
        <w:spacing w:after="0" w:line="240" w:lineRule="auto"/>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w:t>
      </w:r>
      <w:r w:rsidRPr="0023213C">
        <w:rPr>
          <w:rFonts w:ascii="Times New Roman" w:eastAsia="Times New Roman" w:hAnsi="Times New Roman" w:cs="Times New Roman"/>
          <w:b/>
          <w:i/>
          <w:sz w:val="28"/>
          <w:szCs w:val="28"/>
          <w:u w:val="single"/>
        </w:rPr>
        <w:t>4 броя</w:t>
      </w:r>
      <w:r w:rsidRPr="0023213C">
        <w:rPr>
          <w:rFonts w:ascii="Times New Roman" w:eastAsia="Times New Roman" w:hAnsi="Times New Roman" w:cs="Times New Roman"/>
          <w:sz w:val="28"/>
          <w:szCs w:val="28"/>
        </w:rPr>
        <w:t xml:space="preserve">  - на основание чл. 381, ал . 8 от НПК – </w:t>
      </w:r>
      <w:r w:rsidRPr="0023213C">
        <w:rPr>
          <w:rFonts w:ascii="Times New Roman" w:eastAsia="Times New Roman" w:hAnsi="Times New Roman" w:cs="Times New Roman"/>
          <w:i/>
          <w:sz w:val="28"/>
          <w:szCs w:val="28"/>
        </w:rPr>
        <w:t>неодобрено споразумение</w:t>
      </w:r>
      <w:r w:rsidRPr="0023213C">
        <w:rPr>
          <w:rFonts w:ascii="Times New Roman" w:eastAsia="Times New Roman" w:hAnsi="Times New Roman" w:cs="Times New Roman"/>
          <w:sz w:val="28"/>
          <w:szCs w:val="28"/>
        </w:rPr>
        <w:t>/</w:t>
      </w:r>
      <w:r w:rsidRPr="0023213C">
        <w:rPr>
          <w:rFonts w:ascii="Times New Roman" w:eastAsia="Times New Roman" w:hAnsi="Times New Roman" w:cs="Times New Roman"/>
          <w:b/>
          <w:i/>
          <w:sz w:val="28"/>
          <w:szCs w:val="28"/>
        </w:rPr>
        <w:t xml:space="preserve"> т. 4 от Приложение № 5, раздел II/</w:t>
      </w:r>
      <w:r w:rsidRPr="0023213C">
        <w:rPr>
          <w:rFonts w:ascii="Times New Roman" w:eastAsia="Times New Roman" w:hAnsi="Times New Roman" w:cs="Times New Roman"/>
          <w:sz w:val="28"/>
          <w:szCs w:val="28"/>
        </w:rPr>
        <w:t xml:space="preserve"> ; и </w:t>
      </w:r>
    </w:p>
    <w:p w14:paraId="2F9B25A6" w14:textId="77777777" w:rsidR="0023213C" w:rsidRPr="0023213C" w:rsidRDefault="0023213C" w:rsidP="00FC76F9">
      <w:pPr>
        <w:spacing w:after="0" w:line="240" w:lineRule="auto"/>
        <w:jc w:val="both"/>
        <w:rPr>
          <w:rFonts w:ascii="Times New Roman" w:eastAsia="Times New Roman" w:hAnsi="Times New Roman" w:cs="Times New Roman"/>
          <w:b/>
          <w:i/>
          <w:sz w:val="28"/>
          <w:szCs w:val="28"/>
        </w:rPr>
      </w:pPr>
      <w:r w:rsidRPr="0023213C">
        <w:rPr>
          <w:rFonts w:ascii="Times New Roman" w:eastAsia="Times New Roman" w:hAnsi="Times New Roman" w:cs="Times New Roman"/>
          <w:sz w:val="28"/>
          <w:szCs w:val="28"/>
        </w:rPr>
        <w:t xml:space="preserve">                     </w:t>
      </w:r>
      <w:r w:rsidRPr="0023213C">
        <w:rPr>
          <w:rFonts w:ascii="Times New Roman" w:eastAsia="Times New Roman" w:hAnsi="Times New Roman" w:cs="Times New Roman"/>
          <w:b/>
          <w:i/>
          <w:sz w:val="28"/>
          <w:szCs w:val="28"/>
          <w:u w:val="single"/>
        </w:rPr>
        <w:t>1 брой</w:t>
      </w:r>
      <w:r w:rsidRPr="0023213C">
        <w:rPr>
          <w:rFonts w:ascii="Times New Roman" w:eastAsia="Times New Roman" w:hAnsi="Times New Roman" w:cs="Times New Roman"/>
          <w:sz w:val="28"/>
          <w:szCs w:val="28"/>
        </w:rPr>
        <w:t xml:space="preserve"> поради  </w:t>
      </w:r>
      <w:r w:rsidRPr="0023213C">
        <w:rPr>
          <w:rFonts w:ascii="Times New Roman" w:eastAsia="Times New Roman" w:hAnsi="Times New Roman" w:cs="Times New Roman"/>
          <w:i/>
          <w:sz w:val="28"/>
          <w:szCs w:val="28"/>
        </w:rPr>
        <w:t xml:space="preserve">липса </w:t>
      </w:r>
      <w:r w:rsidRPr="0023213C">
        <w:rPr>
          <w:rFonts w:ascii="Times New Roman" w:eastAsia="Times New Roman" w:hAnsi="Times New Roman" w:cs="Times New Roman"/>
          <w:sz w:val="28"/>
          <w:szCs w:val="28"/>
        </w:rPr>
        <w:t>на основанията по чл. 78а от НК</w:t>
      </w:r>
      <w:r w:rsidRPr="0023213C">
        <w:rPr>
          <w:rFonts w:ascii="Times New Roman" w:eastAsia="Times New Roman" w:hAnsi="Times New Roman" w:cs="Times New Roman"/>
          <w:b/>
          <w:sz w:val="28"/>
          <w:szCs w:val="28"/>
        </w:rPr>
        <w:t>.</w:t>
      </w:r>
    </w:p>
    <w:p w14:paraId="6E0017BC" w14:textId="77777777" w:rsidR="0023213C" w:rsidRPr="0023213C" w:rsidRDefault="0023213C" w:rsidP="00FC76F9">
      <w:pPr>
        <w:spacing w:after="0" w:line="240" w:lineRule="auto"/>
        <w:jc w:val="both"/>
        <w:rPr>
          <w:rFonts w:ascii="Times New Roman" w:eastAsia="Times New Roman" w:hAnsi="Times New Roman" w:cs="Times New Roman"/>
          <w:sz w:val="28"/>
          <w:szCs w:val="28"/>
          <w:u w:val="single"/>
        </w:rPr>
      </w:pPr>
      <w:r w:rsidRPr="0023213C">
        <w:rPr>
          <w:rFonts w:ascii="Times New Roman" w:eastAsia="Times New Roman" w:hAnsi="Times New Roman" w:cs="Times New Roman"/>
          <w:sz w:val="28"/>
          <w:szCs w:val="28"/>
        </w:rPr>
        <w:t xml:space="preserve">   </w:t>
      </w:r>
    </w:p>
    <w:p w14:paraId="149B7D9D" w14:textId="77777777" w:rsidR="0023213C" w:rsidRPr="0023213C" w:rsidRDefault="0023213C" w:rsidP="00FC76F9">
      <w:pPr>
        <w:shd w:val="clear" w:color="auto" w:fill="FFFFFF"/>
        <w:spacing w:before="322" w:after="0" w:line="240" w:lineRule="auto"/>
        <w:ind w:left="360" w:right="-180"/>
        <w:contextualSpacing/>
        <w:jc w:val="both"/>
        <w:rPr>
          <w:rFonts w:ascii="Times New Roman" w:hAnsi="Times New Roman" w:cs="Times New Roman"/>
          <w:spacing w:val="-1"/>
          <w:sz w:val="28"/>
          <w:szCs w:val="28"/>
          <w:lang w:val="en-US"/>
        </w:rPr>
      </w:pPr>
      <w:r w:rsidRPr="0023213C">
        <w:rPr>
          <w:rFonts w:ascii="Times New Roman" w:hAnsi="Times New Roman" w:cs="Times New Roman"/>
          <w:spacing w:val="-1"/>
          <w:sz w:val="28"/>
          <w:szCs w:val="28"/>
        </w:rPr>
        <w:t xml:space="preserve">             </w:t>
      </w:r>
      <w:r w:rsidRPr="0023213C">
        <w:rPr>
          <w:rFonts w:ascii="Times New Roman" w:eastAsia="Times New Roman" w:hAnsi="Times New Roman" w:cs="Times New Roman"/>
          <w:b/>
          <w:sz w:val="28"/>
          <w:szCs w:val="28"/>
        </w:rPr>
        <w:t>Като обобщение могат да се направят следните изводи</w:t>
      </w:r>
      <w:r w:rsidRPr="0023213C">
        <w:rPr>
          <w:rFonts w:ascii="Times New Roman" w:eastAsia="Times New Roman" w:hAnsi="Times New Roman" w:cs="Times New Roman"/>
          <w:b/>
          <w:sz w:val="24"/>
          <w:szCs w:val="24"/>
        </w:rPr>
        <w:t>:</w:t>
      </w:r>
    </w:p>
    <w:p w14:paraId="2C2E9C52" w14:textId="77777777" w:rsidR="0023213C" w:rsidRPr="0023213C" w:rsidRDefault="0023213C" w:rsidP="00FC76F9">
      <w:pPr>
        <w:numPr>
          <w:ilvl w:val="0"/>
          <w:numId w:val="21"/>
        </w:numPr>
        <w:spacing w:after="0" w:line="240" w:lineRule="auto"/>
        <w:ind w:hanging="1003"/>
        <w:jc w:val="both"/>
        <w:rPr>
          <w:rFonts w:ascii="Times New Roman" w:eastAsia="Times New Roman" w:hAnsi="Times New Roman" w:cs="Times New Roman"/>
          <w:b/>
          <w:i/>
          <w:sz w:val="28"/>
          <w:szCs w:val="28"/>
        </w:rPr>
      </w:pPr>
      <w:r w:rsidRPr="0023213C">
        <w:rPr>
          <w:rFonts w:ascii="Times New Roman" w:eastAsia="Times New Roman" w:hAnsi="Times New Roman" w:cs="Times New Roman"/>
          <w:sz w:val="28"/>
          <w:szCs w:val="28"/>
        </w:rPr>
        <w:t xml:space="preserve">Най-честата причина през този отчетен период  за връщането на делата са констатирани от съда   допуснати на досъдебното производство </w:t>
      </w:r>
      <w:r w:rsidRPr="0023213C">
        <w:rPr>
          <w:rFonts w:ascii="Times New Roman" w:eastAsia="Times New Roman" w:hAnsi="Times New Roman" w:cs="Times New Roman"/>
          <w:i/>
          <w:sz w:val="28"/>
          <w:szCs w:val="28"/>
        </w:rPr>
        <w:t>съществени процесуални нарушения</w:t>
      </w:r>
      <w:r w:rsidRPr="0023213C">
        <w:rPr>
          <w:rFonts w:ascii="Times New Roman" w:eastAsia="Times New Roman" w:hAnsi="Times New Roman" w:cs="Times New Roman"/>
          <w:sz w:val="28"/>
          <w:szCs w:val="28"/>
        </w:rPr>
        <w:t xml:space="preserve">, довели до ограничаване процесуалните права на страните–  </w:t>
      </w:r>
      <w:r w:rsidRPr="0023213C">
        <w:rPr>
          <w:rFonts w:ascii="Times New Roman" w:eastAsia="Times New Roman" w:hAnsi="Times New Roman" w:cs="Times New Roman"/>
          <w:b/>
          <w:sz w:val="28"/>
          <w:szCs w:val="28"/>
        </w:rPr>
        <w:t xml:space="preserve"> 12 броя дела </w:t>
      </w:r>
      <w:r w:rsidRPr="0023213C">
        <w:rPr>
          <w:rFonts w:ascii="Times New Roman" w:eastAsia="Times New Roman" w:hAnsi="Times New Roman" w:cs="Times New Roman"/>
          <w:sz w:val="28"/>
          <w:szCs w:val="28"/>
        </w:rPr>
        <w:t xml:space="preserve">са върнати на това основание. </w:t>
      </w:r>
    </w:p>
    <w:p w14:paraId="132FB6AE" w14:textId="77777777" w:rsidR="0023213C" w:rsidRPr="0023213C" w:rsidRDefault="0023213C" w:rsidP="00FC76F9">
      <w:pPr>
        <w:numPr>
          <w:ilvl w:val="0"/>
          <w:numId w:val="21"/>
        </w:numPr>
        <w:spacing w:after="0" w:line="240" w:lineRule="auto"/>
        <w:ind w:hanging="1003"/>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Допуснати </w:t>
      </w:r>
      <w:r w:rsidRPr="0023213C">
        <w:rPr>
          <w:rFonts w:ascii="Times New Roman" w:eastAsia="Times New Roman" w:hAnsi="Times New Roman" w:cs="Times New Roman"/>
          <w:i/>
          <w:sz w:val="28"/>
          <w:szCs w:val="28"/>
        </w:rPr>
        <w:t>пропуски при изготвяне</w:t>
      </w:r>
      <w:r w:rsidRPr="0023213C">
        <w:rPr>
          <w:rFonts w:ascii="Times New Roman" w:eastAsia="Times New Roman" w:hAnsi="Times New Roman" w:cs="Times New Roman"/>
          <w:sz w:val="28"/>
          <w:szCs w:val="28"/>
        </w:rPr>
        <w:t xml:space="preserve"> на обвинителния акт, които до голяма степен са очевидни и са могли да се избегнат при прецизна работа на прокурора е основание за връщане на </w:t>
      </w:r>
      <w:r w:rsidRPr="0023213C">
        <w:rPr>
          <w:rFonts w:ascii="Times New Roman" w:eastAsia="Times New Roman" w:hAnsi="Times New Roman" w:cs="Times New Roman"/>
          <w:b/>
          <w:sz w:val="28"/>
          <w:szCs w:val="28"/>
        </w:rPr>
        <w:t>1 брой дело</w:t>
      </w:r>
      <w:r w:rsidRPr="0023213C">
        <w:rPr>
          <w:rFonts w:ascii="Times New Roman" w:eastAsia="Times New Roman" w:hAnsi="Times New Roman" w:cs="Times New Roman"/>
          <w:sz w:val="28"/>
          <w:szCs w:val="28"/>
        </w:rPr>
        <w:t xml:space="preserve">/.  </w:t>
      </w:r>
    </w:p>
    <w:p w14:paraId="287FF03A" w14:textId="77777777" w:rsidR="0023213C" w:rsidRPr="0023213C" w:rsidRDefault="0023213C" w:rsidP="00FC76F9">
      <w:pPr>
        <w:spacing w:after="0" w:line="240" w:lineRule="auto"/>
        <w:ind w:left="1429"/>
        <w:jc w:val="both"/>
        <w:rPr>
          <w:rFonts w:ascii="Times New Roman" w:eastAsia="Times New Roman" w:hAnsi="Times New Roman" w:cs="Times New Roman"/>
          <w:sz w:val="28"/>
          <w:szCs w:val="28"/>
        </w:rPr>
      </w:pPr>
    </w:p>
    <w:p w14:paraId="4F2FB1B1" w14:textId="77777777" w:rsidR="0023213C" w:rsidRPr="0023213C" w:rsidRDefault="0023213C" w:rsidP="00FC76F9">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Times New Roman"/>
          <w:i/>
          <w:color w:val="000000"/>
          <w:sz w:val="28"/>
          <w:lang w:val="en-US" w:eastAsia="bg-BG"/>
        </w:rPr>
      </w:pPr>
      <w:bookmarkStart w:id="38" w:name="_Toc127370259"/>
      <w:r w:rsidRPr="0023213C">
        <w:rPr>
          <w:rFonts w:ascii="Times New Roman" w:eastAsia="Calibri" w:hAnsi="Times New Roman" w:cs="Times New Roman"/>
          <w:b/>
          <w:i/>
          <w:color w:val="000000"/>
          <w:sz w:val="28"/>
          <w:lang w:eastAsia="bg-BG"/>
        </w:rPr>
        <w:t xml:space="preserve">2. 2.  Оправдателни присъди - обща характеристика и съпоставка </w:t>
      </w:r>
      <w:r w:rsidRPr="0023213C">
        <w:rPr>
          <w:rFonts w:ascii="Times New Roman" w:eastAsia="Calibri" w:hAnsi="Times New Roman" w:cs="Times New Roman"/>
          <w:color w:val="000000"/>
          <w:sz w:val="32"/>
          <w:szCs w:val="32"/>
          <w:vertAlign w:val="superscript"/>
          <w:lang w:eastAsia="bg-BG"/>
        </w:rPr>
        <w:footnoteReference w:id="3"/>
      </w:r>
      <w:r w:rsidRPr="0023213C">
        <w:rPr>
          <w:rFonts w:ascii="Times New Roman" w:eastAsia="Calibri" w:hAnsi="Times New Roman" w:cs="Times New Roman"/>
          <w:i/>
          <w:color w:val="000000"/>
          <w:sz w:val="28"/>
          <w:lang w:eastAsia="bg-BG"/>
        </w:rPr>
        <w:t>.</w:t>
      </w:r>
      <w:bookmarkEnd w:id="38"/>
    </w:p>
    <w:p w14:paraId="73C0BE38" w14:textId="77777777" w:rsidR="0023213C" w:rsidRPr="0023213C" w:rsidRDefault="0023213C" w:rsidP="00FC76F9">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Times New Roman"/>
          <w:i/>
          <w:color w:val="000000"/>
          <w:sz w:val="28"/>
          <w:lang w:val="en-US" w:eastAsia="bg-BG"/>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1"/>
        <w:gridCol w:w="1607"/>
        <w:gridCol w:w="1503"/>
        <w:gridCol w:w="1319"/>
        <w:gridCol w:w="1821"/>
        <w:gridCol w:w="1445"/>
      </w:tblGrid>
      <w:tr w:rsidR="0023213C" w:rsidRPr="0023213C" w14:paraId="74DDEB46" w14:textId="77777777" w:rsidTr="0023213C">
        <w:tc>
          <w:tcPr>
            <w:tcW w:w="8896" w:type="dxa"/>
            <w:gridSpan w:val="6"/>
            <w:shd w:val="clear" w:color="auto" w:fill="D6E3BC" w:themeFill="accent3" w:themeFillTint="66"/>
          </w:tcPr>
          <w:p w14:paraId="444E7244" w14:textId="77777777" w:rsidR="0023213C" w:rsidRPr="0023213C" w:rsidRDefault="0023213C" w:rsidP="00FC76F9">
            <w:pPr>
              <w:spacing w:after="0" w:line="240" w:lineRule="auto"/>
              <w:ind w:firstLine="709"/>
              <w:jc w:val="center"/>
              <w:rPr>
                <w:rFonts w:ascii="Times New Roman" w:eastAsia="Times New Roman" w:hAnsi="Times New Roman" w:cs="Times New Roman"/>
                <w:b/>
                <w:i/>
                <w:sz w:val="24"/>
                <w:szCs w:val="24"/>
              </w:rPr>
            </w:pPr>
          </w:p>
          <w:p w14:paraId="1082615D" w14:textId="77777777" w:rsidR="0023213C" w:rsidRPr="0023213C" w:rsidRDefault="0023213C" w:rsidP="00FC76F9">
            <w:pPr>
              <w:spacing w:after="0" w:line="240" w:lineRule="auto"/>
              <w:ind w:firstLine="709"/>
              <w:jc w:val="center"/>
              <w:rPr>
                <w:rFonts w:ascii="Times New Roman" w:eastAsia="Times New Roman" w:hAnsi="Times New Roman" w:cs="Times New Roman"/>
                <w:b/>
                <w:i/>
                <w:sz w:val="24"/>
                <w:szCs w:val="24"/>
              </w:rPr>
            </w:pPr>
            <w:r w:rsidRPr="0023213C">
              <w:rPr>
                <w:rFonts w:ascii="Times New Roman" w:eastAsia="Times New Roman" w:hAnsi="Times New Roman" w:cs="Times New Roman"/>
                <w:b/>
                <w:i/>
                <w:sz w:val="24"/>
                <w:szCs w:val="24"/>
              </w:rPr>
              <w:t>ОПРАВДАНИ ЛИЦА С ВЛЯЗЪЛ В СИЛА СЪДЕБЕН АКТ</w:t>
            </w:r>
          </w:p>
        </w:tc>
      </w:tr>
      <w:tr w:rsidR="0023213C" w:rsidRPr="0023213C" w14:paraId="1FDD9D67" w14:textId="77777777" w:rsidTr="0023213C">
        <w:trPr>
          <w:trHeight w:val="390"/>
        </w:trPr>
        <w:tc>
          <w:tcPr>
            <w:tcW w:w="1201" w:type="dxa"/>
          </w:tcPr>
          <w:p w14:paraId="0097C901" w14:textId="77777777" w:rsidR="0023213C" w:rsidRPr="0023213C" w:rsidRDefault="0023213C" w:rsidP="00FC76F9">
            <w:pPr>
              <w:spacing w:after="0" w:line="240" w:lineRule="auto"/>
              <w:jc w:val="both"/>
              <w:rPr>
                <w:rFonts w:ascii="Times New Roman" w:eastAsia="Times New Roman" w:hAnsi="Times New Roman" w:cs="Times New Roman"/>
                <w:sz w:val="24"/>
                <w:szCs w:val="24"/>
              </w:rPr>
            </w:pPr>
            <w:r w:rsidRPr="0023213C">
              <w:rPr>
                <w:rFonts w:ascii="Times New Roman" w:eastAsia="Times New Roman" w:hAnsi="Times New Roman" w:cs="Times New Roman"/>
                <w:sz w:val="24"/>
                <w:szCs w:val="24"/>
              </w:rPr>
              <w:t>година</w:t>
            </w:r>
          </w:p>
        </w:tc>
        <w:tc>
          <w:tcPr>
            <w:tcW w:w="1607" w:type="dxa"/>
          </w:tcPr>
          <w:p w14:paraId="5A06E67B" w14:textId="77777777" w:rsidR="0023213C" w:rsidRPr="0023213C" w:rsidRDefault="0023213C" w:rsidP="00FC76F9">
            <w:pPr>
              <w:spacing w:after="0" w:line="240" w:lineRule="auto"/>
              <w:jc w:val="both"/>
              <w:rPr>
                <w:rFonts w:ascii="Times New Roman" w:eastAsia="Times New Roman" w:hAnsi="Times New Roman" w:cs="Times New Roman"/>
                <w:sz w:val="24"/>
                <w:szCs w:val="24"/>
              </w:rPr>
            </w:pPr>
            <w:r w:rsidRPr="0023213C">
              <w:rPr>
                <w:rFonts w:ascii="Times New Roman" w:eastAsia="Times New Roman" w:hAnsi="Times New Roman" w:cs="Times New Roman"/>
                <w:sz w:val="24"/>
                <w:szCs w:val="24"/>
              </w:rPr>
              <w:t>ОП Монтана</w:t>
            </w:r>
          </w:p>
        </w:tc>
        <w:tc>
          <w:tcPr>
            <w:tcW w:w="1503" w:type="dxa"/>
          </w:tcPr>
          <w:p w14:paraId="55C4E296" w14:textId="77777777" w:rsidR="0023213C" w:rsidRPr="0023213C" w:rsidRDefault="0023213C" w:rsidP="00FC76F9">
            <w:pPr>
              <w:spacing w:after="0" w:line="240" w:lineRule="auto"/>
              <w:jc w:val="both"/>
              <w:rPr>
                <w:rFonts w:ascii="Times New Roman" w:eastAsia="Times New Roman" w:hAnsi="Times New Roman" w:cs="Times New Roman"/>
                <w:sz w:val="24"/>
                <w:szCs w:val="24"/>
              </w:rPr>
            </w:pPr>
            <w:r w:rsidRPr="0023213C">
              <w:rPr>
                <w:rFonts w:ascii="Times New Roman" w:eastAsia="Times New Roman" w:hAnsi="Times New Roman" w:cs="Times New Roman"/>
                <w:sz w:val="24"/>
                <w:szCs w:val="24"/>
              </w:rPr>
              <w:t>РП Монтана</w:t>
            </w:r>
          </w:p>
        </w:tc>
        <w:tc>
          <w:tcPr>
            <w:tcW w:w="1319" w:type="dxa"/>
          </w:tcPr>
          <w:p w14:paraId="7D357AFE" w14:textId="77777777" w:rsidR="0023213C" w:rsidRPr="0023213C" w:rsidRDefault="0023213C" w:rsidP="00FC76F9">
            <w:pPr>
              <w:spacing w:after="0" w:line="240" w:lineRule="auto"/>
              <w:jc w:val="both"/>
              <w:rPr>
                <w:rFonts w:ascii="Times New Roman" w:eastAsia="Times New Roman" w:hAnsi="Times New Roman" w:cs="Times New Roman"/>
                <w:sz w:val="24"/>
                <w:szCs w:val="24"/>
              </w:rPr>
            </w:pPr>
          </w:p>
        </w:tc>
        <w:tc>
          <w:tcPr>
            <w:tcW w:w="1821" w:type="dxa"/>
          </w:tcPr>
          <w:p w14:paraId="07BC4EB3" w14:textId="77777777" w:rsidR="0023213C" w:rsidRPr="0023213C" w:rsidRDefault="0023213C" w:rsidP="00FC76F9">
            <w:pPr>
              <w:spacing w:after="0" w:line="240" w:lineRule="auto"/>
              <w:jc w:val="both"/>
              <w:rPr>
                <w:rFonts w:ascii="Times New Roman" w:eastAsia="Times New Roman" w:hAnsi="Times New Roman" w:cs="Times New Roman"/>
                <w:sz w:val="24"/>
                <w:szCs w:val="24"/>
              </w:rPr>
            </w:pPr>
          </w:p>
        </w:tc>
        <w:tc>
          <w:tcPr>
            <w:tcW w:w="1445" w:type="dxa"/>
          </w:tcPr>
          <w:p w14:paraId="5E23D635" w14:textId="77777777" w:rsidR="0023213C" w:rsidRPr="0023213C" w:rsidRDefault="0023213C" w:rsidP="00FC76F9">
            <w:pPr>
              <w:spacing w:after="0" w:line="240" w:lineRule="auto"/>
              <w:jc w:val="both"/>
              <w:rPr>
                <w:rFonts w:ascii="Times New Roman" w:eastAsia="Times New Roman" w:hAnsi="Times New Roman" w:cs="Times New Roman"/>
                <w:sz w:val="24"/>
                <w:szCs w:val="24"/>
              </w:rPr>
            </w:pPr>
            <w:r w:rsidRPr="0023213C">
              <w:rPr>
                <w:rFonts w:ascii="Times New Roman" w:eastAsia="Times New Roman" w:hAnsi="Times New Roman" w:cs="Times New Roman"/>
                <w:sz w:val="24"/>
                <w:szCs w:val="24"/>
              </w:rPr>
              <w:t>Общо</w:t>
            </w:r>
          </w:p>
        </w:tc>
      </w:tr>
      <w:tr w:rsidR="0023213C" w:rsidRPr="0023213C" w14:paraId="2E02E289" w14:textId="77777777" w:rsidTr="0023213C">
        <w:tc>
          <w:tcPr>
            <w:tcW w:w="1201" w:type="dxa"/>
            <w:shd w:val="clear" w:color="auto" w:fill="BFBFBF" w:themeFill="background1" w:themeFillShade="BF"/>
          </w:tcPr>
          <w:p w14:paraId="13EC2C59" w14:textId="77777777" w:rsidR="0023213C" w:rsidRPr="0023213C" w:rsidRDefault="0023213C" w:rsidP="00FC76F9">
            <w:pPr>
              <w:spacing w:after="0" w:line="240" w:lineRule="auto"/>
              <w:jc w:val="both"/>
              <w:rPr>
                <w:rFonts w:ascii="Times New Roman" w:eastAsia="Times New Roman" w:hAnsi="Times New Roman" w:cs="Times New Roman"/>
                <w:b/>
                <w:sz w:val="24"/>
                <w:szCs w:val="24"/>
                <w:lang w:val="en-US"/>
              </w:rPr>
            </w:pPr>
            <w:r w:rsidRPr="0023213C">
              <w:rPr>
                <w:rFonts w:ascii="Times New Roman" w:eastAsia="Times New Roman" w:hAnsi="Times New Roman" w:cs="Times New Roman"/>
                <w:b/>
                <w:sz w:val="24"/>
                <w:szCs w:val="24"/>
              </w:rPr>
              <w:t>202</w:t>
            </w:r>
            <w:r w:rsidRPr="0023213C">
              <w:rPr>
                <w:rFonts w:ascii="Times New Roman" w:eastAsia="Times New Roman" w:hAnsi="Times New Roman" w:cs="Times New Roman"/>
                <w:b/>
                <w:sz w:val="24"/>
                <w:szCs w:val="24"/>
                <w:lang w:val="en-US"/>
              </w:rPr>
              <w:t>2</w:t>
            </w:r>
          </w:p>
        </w:tc>
        <w:tc>
          <w:tcPr>
            <w:tcW w:w="1607" w:type="dxa"/>
            <w:shd w:val="clear" w:color="auto" w:fill="BFBFBF" w:themeFill="background1" w:themeFillShade="BF"/>
          </w:tcPr>
          <w:p w14:paraId="666E0116" w14:textId="77777777" w:rsidR="0023213C" w:rsidRPr="0023213C" w:rsidRDefault="0023213C" w:rsidP="00FC76F9">
            <w:pPr>
              <w:spacing w:after="0" w:line="240" w:lineRule="auto"/>
              <w:jc w:val="both"/>
              <w:rPr>
                <w:rFonts w:ascii="Times New Roman" w:eastAsia="Times New Roman" w:hAnsi="Times New Roman" w:cs="Times New Roman"/>
                <w:b/>
                <w:sz w:val="24"/>
                <w:szCs w:val="24"/>
                <w:lang w:val="en-US"/>
              </w:rPr>
            </w:pPr>
            <w:r w:rsidRPr="0023213C">
              <w:rPr>
                <w:rFonts w:ascii="Times New Roman" w:eastAsia="Times New Roman" w:hAnsi="Times New Roman" w:cs="Times New Roman"/>
                <w:b/>
                <w:sz w:val="24"/>
                <w:szCs w:val="24"/>
                <w:lang w:val="en-US"/>
              </w:rPr>
              <w:t>2</w:t>
            </w:r>
          </w:p>
        </w:tc>
        <w:tc>
          <w:tcPr>
            <w:tcW w:w="1503" w:type="dxa"/>
            <w:shd w:val="clear" w:color="auto" w:fill="BFBFBF" w:themeFill="background1" w:themeFillShade="BF"/>
          </w:tcPr>
          <w:p w14:paraId="252C9005" w14:textId="77777777" w:rsidR="0023213C" w:rsidRPr="0023213C" w:rsidRDefault="0023213C" w:rsidP="00FC76F9">
            <w:pPr>
              <w:spacing w:after="0" w:line="240" w:lineRule="auto"/>
              <w:jc w:val="both"/>
              <w:rPr>
                <w:rFonts w:ascii="Times New Roman" w:eastAsia="Times New Roman" w:hAnsi="Times New Roman" w:cs="Times New Roman"/>
                <w:b/>
                <w:sz w:val="24"/>
                <w:szCs w:val="24"/>
                <w:lang w:val="en-US"/>
              </w:rPr>
            </w:pPr>
            <w:r w:rsidRPr="0023213C">
              <w:rPr>
                <w:rFonts w:ascii="Times New Roman" w:eastAsia="Times New Roman" w:hAnsi="Times New Roman" w:cs="Times New Roman"/>
                <w:b/>
                <w:sz w:val="24"/>
                <w:szCs w:val="24"/>
                <w:lang w:val="en-US"/>
              </w:rPr>
              <w:t>10</w:t>
            </w:r>
          </w:p>
        </w:tc>
        <w:tc>
          <w:tcPr>
            <w:tcW w:w="1319" w:type="dxa"/>
            <w:shd w:val="clear" w:color="auto" w:fill="BFBFBF" w:themeFill="background1" w:themeFillShade="BF"/>
          </w:tcPr>
          <w:p w14:paraId="399DE04A" w14:textId="77777777" w:rsidR="0023213C" w:rsidRPr="0023213C" w:rsidRDefault="0023213C" w:rsidP="00FC76F9">
            <w:pPr>
              <w:spacing w:after="0" w:line="240" w:lineRule="auto"/>
              <w:jc w:val="both"/>
              <w:rPr>
                <w:rFonts w:ascii="Times New Roman" w:eastAsia="Times New Roman" w:hAnsi="Times New Roman" w:cs="Times New Roman"/>
                <w:b/>
                <w:sz w:val="24"/>
                <w:szCs w:val="24"/>
              </w:rPr>
            </w:pPr>
          </w:p>
        </w:tc>
        <w:tc>
          <w:tcPr>
            <w:tcW w:w="1821" w:type="dxa"/>
            <w:shd w:val="clear" w:color="auto" w:fill="BFBFBF" w:themeFill="background1" w:themeFillShade="BF"/>
          </w:tcPr>
          <w:p w14:paraId="78B253DE" w14:textId="77777777" w:rsidR="0023213C" w:rsidRPr="0023213C" w:rsidRDefault="0023213C" w:rsidP="00FC76F9">
            <w:pPr>
              <w:spacing w:after="0" w:line="240" w:lineRule="auto"/>
              <w:jc w:val="both"/>
              <w:rPr>
                <w:rFonts w:ascii="Times New Roman" w:eastAsia="Times New Roman" w:hAnsi="Times New Roman" w:cs="Times New Roman"/>
                <w:b/>
                <w:sz w:val="24"/>
                <w:szCs w:val="24"/>
              </w:rPr>
            </w:pPr>
          </w:p>
        </w:tc>
        <w:tc>
          <w:tcPr>
            <w:tcW w:w="1445" w:type="dxa"/>
            <w:shd w:val="clear" w:color="auto" w:fill="BFBFBF" w:themeFill="background1" w:themeFillShade="BF"/>
          </w:tcPr>
          <w:p w14:paraId="6C485572" w14:textId="77777777" w:rsidR="0023213C" w:rsidRPr="0023213C" w:rsidRDefault="0023213C" w:rsidP="00FC76F9">
            <w:pPr>
              <w:spacing w:after="0" w:line="240" w:lineRule="auto"/>
              <w:jc w:val="both"/>
              <w:rPr>
                <w:rFonts w:ascii="Times New Roman" w:eastAsia="Times New Roman" w:hAnsi="Times New Roman" w:cs="Times New Roman"/>
                <w:b/>
                <w:sz w:val="24"/>
                <w:szCs w:val="24"/>
                <w:lang w:val="en-US"/>
              </w:rPr>
            </w:pPr>
            <w:r w:rsidRPr="0023213C">
              <w:rPr>
                <w:rFonts w:ascii="Times New Roman" w:eastAsia="Times New Roman" w:hAnsi="Times New Roman" w:cs="Times New Roman"/>
                <w:b/>
                <w:sz w:val="24"/>
                <w:szCs w:val="24"/>
                <w:lang w:val="en-US"/>
              </w:rPr>
              <w:t>12</w:t>
            </w:r>
          </w:p>
        </w:tc>
      </w:tr>
      <w:tr w:rsidR="0023213C" w:rsidRPr="0023213C" w14:paraId="0DF4E322" w14:textId="77777777" w:rsidTr="0023213C">
        <w:tc>
          <w:tcPr>
            <w:tcW w:w="1201" w:type="dxa"/>
          </w:tcPr>
          <w:p w14:paraId="3FB97FCE" w14:textId="77777777" w:rsidR="0023213C" w:rsidRPr="0023213C" w:rsidRDefault="0023213C" w:rsidP="00FC76F9">
            <w:pPr>
              <w:spacing w:after="0" w:line="240" w:lineRule="auto"/>
              <w:jc w:val="both"/>
              <w:rPr>
                <w:rFonts w:ascii="Times New Roman" w:eastAsia="Times New Roman" w:hAnsi="Times New Roman" w:cs="Times New Roman"/>
                <w:sz w:val="24"/>
                <w:szCs w:val="24"/>
                <w:lang w:val="en-US"/>
              </w:rPr>
            </w:pPr>
            <w:r w:rsidRPr="0023213C">
              <w:rPr>
                <w:rFonts w:ascii="Times New Roman" w:eastAsia="Times New Roman" w:hAnsi="Times New Roman" w:cs="Times New Roman"/>
                <w:sz w:val="24"/>
                <w:szCs w:val="24"/>
              </w:rPr>
              <w:t>202</w:t>
            </w:r>
            <w:r w:rsidRPr="0023213C">
              <w:rPr>
                <w:rFonts w:ascii="Times New Roman" w:eastAsia="Times New Roman" w:hAnsi="Times New Roman" w:cs="Times New Roman"/>
                <w:sz w:val="24"/>
                <w:szCs w:val="24"/>
                <w:lang w:val="en-US"/>
              </w:rPr>
              <w:t>1</w:t>
            </w:r>
          </w:p>
        </w:tc>
        <w:tc>
          <w:tcPr>
            <w:tcW w:w="1607" w:type="dxa"/>
          </w:tcPr>
          <w:p w14:paraId="4A68DA1A" w14:textId="77777777" w:rsidR="0023213C" w:rsidRPr="0023213C" w:rsidRDefault="0023213C" w:rsidP="00FC76F9">
            <w:pPr>
              <w:spacing w:after="0" w:line="240" w:lineRule="auto"/>
              <w:jc w:val="both"/>
              <w:rPr>
                <w:rFonts w:ascii="Times New Roman" w:eastAsia="Times New Roman" w:hAnsi="Times New Roman" w:cs="Times New Roman"/>
                <w:sz w:val="24"/>
                <w:szCs w:val="24"/>
                <w:lang w:val="en-US"/>
              </w:rPr>
            </w:pPr>
            <w:r w:rsidRPr="0023213C">
              <w:rPr>
                <w:rFonts w:ascii="Times New Roman" w:eastAsia="Times New Roman" w:hAnsi="Times New Roman" w:cs="Times New Roman"/>
                <w:sz w:val="24"/>
                <w:szCs w:val="24"/>
                <w:lang w:val="en-US"/>
              </w:rPr>
              <w:t>1</w:t>
            </w:r>
          </w:p>
        </w:tc>
        <w:tc>
          <w:tcPr>
            <w:tcW w:w="1503" w:type="dxa"/>
          </w:tcPr>
          <w:p w14:paraId="3383F03D" w14:textId="77777777" w:rsidR="0023213C" w:rsidRPr="0023213C" w:rsidRDefault="0023213C" w:rsidP="00FC76F9">
            <w:pPr>
              <w:spacing w:after="0" w:line="240" w:lineRule="auto"/>
              <w:jc w:val="both"/>
              <w:rPr>
                <w:rFonts w:ascii="Times New Roman" w:eastAsia="Times New Roman" w:hAnsi="Times New Roman" w:cs="Times New Roman"/>
                <w:sz w:val="24"/>
                <w:szCs w:val="24"/>
                <w:lang w:val="en-US"/>
              </w:rPr>
            </w:pPr>
            <w:r w:rsidRPr="0023213C">
              <w:rPr>
                <w:rFonts w:ascii="Times New Roman" w:eastAsia="Times New Roman" w:hAnsi="Times New Roman" w:cs="Times New Roman"/>
                <w:sz w:val="24"/>
                <w:szCs w:val="24"/>
                <w:lang w:val="en-US"/>
              </w:rPr>
              <w:t>8</w:t>
            </w:r>
          </w:p>
        </w:tc>
        <w:tc>
          <w:tcPr>
            <w:tcW w:w="1319" w:type="dxa"/>
          </w:tcPr>
          <w:p w14:paraId="67A41100" w14:textId="77777777" w:rsidR="0023213C" w:rsidRPr="0023213C" w:rsidRDefault="0023213C" w:rsidP="00FC76F9">
            <w:pPr>
              <w:spacing w:after="0" w:line="240" w:lineRule="auto"/>
              <w:jc w:val="both"/>
              <w:rPr>
                <w:rFonts w:ascii="Times New Roman" w:eastAsia="Times New Roman" w:hAnsi="Times New Roman" w:cs="Times New Roman"/>
                <w:sz w:val="24"/>
                <w:szCs w:val="24"/>
              </w:rPr>
            </w:pPr>
          </w:p>
        </w:tc>
        <w:tc>
          <w:tcPr>
            <w:tcW w:w="1821" w:type="dxa"/>
          </w:tcPr>
          <w:p w14:paraId="1C2D19B9" w14:textId="77777777" w:rsidR="0023213C" w:rsidRPr="0023213C" w:rsidRDefault="0023213C" w:rsidP="00FC76F9">
            <w:pPr>
              <w:spacing w:after="0" w:line="240" w:lineRule="auto"/>
              <w:jc w:val="both"/>
              <w:rPr>
                <w:rFonts w:ascii="Times New Roman" w:eastAsia="Times New Roman" w:hAnsi="Times New Roman" w:cs="Times New Roman"/>
                <w:sz w:val="24"/>
                <w:szCs w:val="24"/>
              </w:rPr>
            </w:pPr>
          </w:p>
        </w:tc>
        <w:tc>
          <w:tcPr>
            <w:tcW w:w="1445" w:type="dxa"/>
          </w:tcPr>
          <w:p w14:paraId="09409731" w14:textId="77777777" w:rsidR="0023213C" w:rsidRPr="0023213C" w:rsidRDefault="0023213C" w:rsidP="00FC76F9">
            <w:pPr>
              <w:spacing w:after="0" w:line="240" w:lineRule="auto"/>
              <w:jc w:val="both"/>
              <w:rPr>
                <w:rFonts w:ascii="Times New Roman" w:eastAsia="Times New Roman" w:hAnsi="Times New Roman" w:cs="Times New Roman"/>
                <w:sz w:val="24"/>
                <w:szCs w:val="24"/>
                <w:lang w:val="en-US"/>
              </w:rPr>
            </w:pPr>
            <w:r w:rsidRPr="0023213C">
              <w:rPr>
                <w:rFonts w:ascii="Times New Roman" w:eastAsia="Times New Roman" w:hAnsi="Times New Roman" w:cs="Times New Roman"/>
                <w:sz w:val="24"/>
                <w:szCs w:val="24"/>
                <w:lang w:val="en-US"/>
              </w:rPr>
              <w:t>9</w:t>
            </w:r>
          </w:p>
        </w:tc>
      </w:tr>
      <w:tr w:rsidR="0023213C" w:rsidRPr="0023213C" w14:paraId="44049B76" w14:textId="77777777" w:rsidTr="0023213C">
        <w:tc>
          <w:tcPr>
            <w:tcW w:w="1201" w:type="dxa"/>
          </w:tcPr>
          <w:p w14:paraId="06BA48E6" w14:textId="77777777" w:rsidR="0023213C" w:rsidRPr="0023213C" w:rsidRDefault="0023213C" w:rsidP="00FC76F9">
            <w:pPr>
              <w:spacing w:after="0" w:line="240" w:lineRule="auto"/>
              <w:jc w:val="both"/>
              <w:rPr>
                <w:rFonts w:ascii="Times New Roman" w:eastAsia="Times New Roman" w:hAnsi="Times New Roman" w:cs="Times New Roman"/>
                <w:sz w:val="24"/>
                <w:szCs w:val="24"/>
                <w:lang w:val="en-US"/>
              </w:rPr>
            </w:pPr>
            <w:r w:rsidRPr="0023213C">
              <w:rPr>
                <w:rFonts w:ascii="Times New Roman" w:eastAsia="Times New Roman" w:hAnsi="Times New Roman" w:cs="Times New Roman"/>
                <w:sz w:val="24"/>
                <w:szCs w:val="24"/>
              </w:rPr>
              <w:t>20</w:t>
            </w:r>
            <w:r w:rsidRPr="0023213C">
              <w:rPr>
                <w:rFonts w:ascii="Times New Roman" w:eastAsia="Times New Roman" w:hAnsi="Times New Roman" w:cs="Times New Roman"/>
                <w:sz w:val="24"/>
                <w:szCs w:val="24"/>
                <w:lang w:val="en-US"/>
              </w:rPr>
              <w:t>20</w:t>
            </w:r>
          </w:p>
        </w:tc>
        <w:tc>
          <w:tcPr>
            <w:tcW w:w="1607" w:type="dxa"/>
          </w:tcPr>
          <w:p w14:paraId="338B6637" w14:textId="77777777" w:rsidR="0023213C" w:rsidRPr="0023213C" w:rsidRDefault="0023213C" w:rsidP="00FC76F9">
            <w:pPr>
              <w:spacing w:after="0" w:line="240" w:lineRule="auto"/>
              <w:jc w:val="both"/>
              <w:rPr>
                <w:rFonts w:ascii="Times New Roman" w:eastAsia="Times New Roman" w:hAnsi="Times New Roman" w:cs="Times New Roman"/>
                <w:sz w:val="24"/>
                <w:szCs w:val="24"/>
              </w:rPr>
            </w:pPr>
            <w:r w:rsidRPr="0023213C">
              <w:rPr>
                <w:rFonts w:ascii="Times New Roman" w:eastAsia="Times New Roman" w:hAnsi="Times New Roman" w:cs="Times New Roman"/>
                <w:sz w:val="24"/>
                <w:szCs w:val="24"/>
              </w:rPr>
              <w:t>4</w:t>
            </w:r>
          </w:p>
        </w:tc>
        <w:tc>
          <w:tcPr>
            <w:tcW w:w="1503" w:type="dxa"/>
          </w:tcPr>
          <w:p w14:paraId="05DD0A79" w14:textId="77777777" w:rsidR="0023213C" w:rsidRPr="0023213C" w:rsidRDefault="0023213C" w:rsidP="00FC76F9">
            <w:pPr>
              <w:spacing w:after="0" w:line="240" w:lineRule="auto"/>
              <w:jc w:val="both"/>
              <w:rPr>
                <w:rFonts w:ascii="Times New Roman" w:eastAsia="Times New Roman" w:hAnsi="Times New Roman" w:cs="Times New Roman"/>
                <w:sz w:val="24"/>
                <w:szCs w:val="24"/>
                <w:lang w:val="en-US"/>
              </w:rPr>
            </w:pPr>
            <w:r w:rsidRPr="0023213C">
              <w:rPr>
                <w:rFonts w:ascii="Times New Roman" w:eastAsia="Times New Roman" w:hAnsi="Times New Roman" w:cs="Times New Roman"/>
                <w:sz w:val="24"/>
                <w:szCs w:val="24"/>
                <w:lang w:val="en-US"/>
              </w:rPr>
              <w:t>6</w:t>
            </w:r>
          </w:p>
        </w:tc>
        <w:tc>
          <w:tcPr>
            <w:tcW w:w="1319" w:type="dxa"/>
          </w:tcPr>
          <w:p w14:paraId="0BE78A2B" w14:textId="77777777" w:rsidR="0023213C" w:rsidRPr="0023213C" w:rsidRDefault="0023213C" w:rsidP="00FC76F9">
            <w:pPr>
              <w:spacing w:after="0" w:line="240" w:lineRule="auto"/>
              <w:jc w:val="both"/>
              <w:rPr>
                <w:rFonts w:ascii="Times New Roman" w:eastAsia="Times New Roman" w:hAnsi="Times New Roman" w:cs="Times New Roman"/>
                <w:sz w:val="24"/>
                <w:szCs w:val="24"/>
              </w:rPr>
            </w:pPr>
          </w:p>
        </w:tc>
        <w:tc>
          <w:tcPr>
            <w:tcW w:w="1821" w:type="dxa"/>
          </w:tcPr>
          <w:p w14:paraId="4CAC4EAA" w14:textId="77777777" w:rsidR="0023213C" w:rsidRPr="0023213C" w:rsidRDefault="0023213C" w:rsidP="00FC76F9">
            <w:pPr>
              <w:spacing w:after="0" w:line="240" w:lineRule="auto"/>
              <w:jc w:val="both"/>
              <w:rPr>
                <w:rFonts w:ascii="Times New Roman" w:eastAsia="Times New Roman" w:hAnsi="Times New Roman" w:cs="Times New Roman"/>
                <w:sz w:val="24"/>
                <w:szCs w:val="24"/>
              </w:rPr>
            </w:pPr>
          </w:p>
        </w:tc>
        <w:tc>
          <w:tcPr>
            <w:tcW w:w="1445" w:type="dxa"/>
          </w:tcPr>
          <w:p w14:paraId="0952AEB2" w14:textId="77777777" w:rsidR="0023213C" w:rsidRPr="0023213C" w:rsidRDefault="0023213C" w:rsidP="00FC76F9">
            <w:pPr>
              <w:spacing w:after="0" w:line="240" w:lineRule="auto"/>
              <w:jc w:val="both"/>
              <w:rPr>
                <w:rFonts w:ascii="Times New Roman" w:eastAsia="Times New Roman" w:hAnsi="Times New Roman" w:cs="Times New Roman"/>
                <w:sz w:val="24"/>
                <w:szCs w:val="24"/>
                <w:lang w:val="en-US"/>
              </w:rPr>
            </w:pPr>
            <w:r w:rsidRPr="0023213C">
              <w:rPr>
                <w:rFonts w:ascii="Times New Roman" w:eastAsia="Times New Roman" w:hAnsi="Times New Roman" w:cs="Times New Roman"/>
                <w:sz w:val="24"/>
                <w:szCs w:val="24"/>
              </w:rPr>
              <w:t>1</w:t>
            </w:r>
            <w:r w:rsidRPr="0023213C">
              <w:rPr>
                <w:rFonts w:ascii="Times New Roman" w:eastAsia="Times New Roman" w:hAnsi="Times New Roman" w:cs="Times New Roman"/>
                <w:sz w:val="24"/>
                <w:szCs w:val="24"/>
                <w:lang w:val="en-US"/>
              </w:rPr>
              <w:t>0</w:t>
            </w:r>
          </w:p>
        </w:tc>
      </w:tr>
    </w:tbl>
    <w:p w14:paraId="7FCCCB90" w14:textId="77777777" w:rsidR="0023213C" w:rsidRPr="0023213C" w:rsidRDefault="0023213C" w:rsidP="00FC76F9">
      <w:pPr>
        <w:spacing w:after="0" w:line="240" w:lineRule="auto"/>
        <w:ind w:firstLine="709"/>
        <w:jc w:val="both"/>
        <w:rPr>
          <w:rFonts w:ascii="Times New Roman" w:eastAsia="Times New Roman" w:hAnsi="Times New Roman" w:cs="Times New Roman"/>
          <w:sz w:val="28"/>
          <w:szCs w:val="28"/>
        </w:rPr>
      </w:pPr>
    </w:p>
    <w:p w14:paraId="6EAA6160" w14:textId="77777777" w:rsidR="0023213C" w:rsidRPr="0023213C" w:rsidRDefault="0023213C" w:rsidP="00FC76F9">
      <w:pPr>
        <w:spacing w:after="0" w:line="240" w:lineRule="auto"/>
        <w:ind w:left="142" w:firstLine="284"/>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За отчетния период на 2022 година са влезли в сила </w:t>
      </w:r>
      <w:r w:rsidRPr="0023213C">
        <w:rPr>
          <w:rFonts w:ascii="Times New Roman" w:eastAsia="Times New Roman" w:hAnsi="Times New Roman" w:cs="Times New Roman"/>
          <w:b/>
          <w:sz w:val="28"/>
          <w:szCs w:val="28"/>
          <w:u w:val="single"/>
        </w:rPr>
        <w:t>12 броя</w:t>
      </w:r>
      <w:r w:rsidRPr="0023213C">
        <w:rPr>
          <w:rFonts w:ascii="Times New Roman" w:eastAsia="Times New Roman" w:hAnsi="Times New Roman" w:cs="Times New Roman"/>
          <w:b/>
          <w:sz w:val="28"/>
          <w:szCs w:val="28"/>
        </w:rPr>
        <w:t xml:space="preserve"> оправдателни</w:t>
      </w:r>
      <w:r w:rsidRPr="0023213C">
        <w:rPr>
          <w:rFonts w:ascii="Times New Roman" w:eastAsia="Times New Roman" w:hAnsi="Times New Roman" w:cs="Times New Roman"/>
          <w:sz w:val="28"/>
          <w:szCs w:val="28"/>
        </w:rPr>
        <w:t xml:space="preserve"> присъди и решения.С влязъл в сила съдебен акт са оправдани 12 лица.Съотношението спрямо внесените прокурорски актове е 1,75 %   , а спрямо решените от съда дела – 1, 65 %.</w:t>
      </w:r>
    </w:p>
    <w:p w14:paraId="196688B4" w14:textId="77777777" w:rsidR="0023213C" w:rsidRPr="0023213C" w:rsidRDefault="0023213C" w:rsidP="00FC76F9">
      <w:pPr>
        <w:spacing w:after="0" w:line="240" w:lineRule="auto"/>
        <w:ind w:left="142" w:firstLine="284"/>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За  2021 година са влезли в сила </w:t>
      </w:r>
      <w:r w:rsidRPr="0023213C">
        <w:rPr>
          <w:rFonts w:ascii="Times New Roman" w:eastAsia="Times New Roman" w:hAnsi="Times New Roman" w:cs="Times New Roman"/>
          <w:b/>
          <w:sz w:val="28"/>
          <w:szCs w:val="28"/>
          <w:u w:val="single"/>
        </w:rPr>
        <w:t>9 броя</w:t>
      </w:r>
      <w:r w:rsidRPr="0023213C">
        <w:rPr>
          <w:rFonts w:ascii="Times New Roman" w:eastAsia="Times New Roman" w:hAnsi="Times New Roman" w:cs="Times New Roman"/>
          <w:b/>
          <w:sz w:val="28"/>
          <w:szCs w:val="28"/>
        </w:rPr>
        <w:t xml:space="preserve"> оправдателни присъди и решения</w:t>
      </w:r>
      <w:r w:rsidRPr="0023213C">
        <w:rPr>
          <w:rFonts w:ascii="Times New Roman" w:eastAsia="Times New Roman" w:hAnsi="Times New Roman" w:cs="Times New Roman"/>
          <w:sz w:val="28"/>
          <w:szCs w:val="28"/>
        </w:rPr>
        <w:t xml:space="preserve">. С влязъл в сила съдебен акт са оправдани </w:t>
      </w:r>
      <w:r w:rsidRPr="0023213C">
        <w:rPr>
          <w:rFonts w:ascii="Times New Roman" w:eastAsia="Times New Roman" w:hAnsi="Times New Roman" w:cs="Times New Roman"/>
          <w:b/>
          <w:sz w:val="28"/>
          <w:szCs w:val="28"/>
        </w:rPr>
        <w:t>9 лица</w:t>
      </w:r>
      <w:r w:rsidRPr="0023213C">
        <w:rPr>
          <w:rFonts w:ascii="Times New Roman" w:eastAsia="Times New Roman" w:hAnsi="Times New Roman" w:cs="Times New Roman"/>
          <w:sz w:val="28"/>
          <w:szCs w:val="28"/>
        </w:rPr>
        <w:t xml:space="preserve">.  Съотношението спрямо внесените прокурорски актове е  било 1,26 %, а спрямо решените от съда дела-  1,25 % </w:t>
      </w:r>
    </w:p>
    <w:p w14:paraId="0D97195E" w14:textId="77777777" w:rsidR="0023213C" w:rsidRPr="0023213C" w:rsidRDefault="0023213C" w:rsidP="00FC76F9">
      <w:pPr>
        <w:spacing w:after="0" w:line="240" w:lineRule="auto"/>
        <w:ind w:left="142" w:firstLine="284"/>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За отчетния период на 2020 година са влезли в сила </w:t>
      </w:r>
      <w:r w:rsidRPr="0023213C">
        <w:rPr>
          <w:rFonts w:ascii="Times New Roman" w:eastAsia="Times New Roman" w:hAnsi="Times New Roman" w:cs="Times New Roman"/>
          <w:b/>
          <w:sz w:val="28"/>
          <w:szCs w:val="28"/>
          <w:u w:val="single"/>
        </w:rPr>
        <w:t>10 броя</w:t>
      </w:r>
      <w:r w:rsidRPr="0023213C">
        <w:rPr>
          <w:rFonts w:ascii="Times New Roman" w:eastAsia="Times New Roman" w:hAnsi="Times New Roman" w:cs="Times New Roman"/>
          <w:b/>
          <w:sz w:val="28"/>
          <w:szCs w:val="28"/>
        </w:rPr>
        <w:t xml:space="preserve"> оправдателни присъди и решения</w:t>
      </w:r>
      <w:r w:rsidRPr="0023213C">
        <w:rPr>
          <w:rFonts w:ascii="Times New Roman" w:eastAsia="Times New Roman" w:hAnsi="Times New Roman" w:cs="Times New Roman"/>
          <w:sz w:val="28"/>
          <w:szCs w:val="28"/>
        </w:rPr>
        <w:t xml:space="preserve">. С влязъл в сила съдебен акт са оправдани </w:t>
      </w:r>
      <w:r w:rsidRPr="0023213C">
        <w:rPr>
          <w:rFonts w:ascii="Times New Roman" w:eastAsia="Times New Roman" w:hAnsi="Times New Roman" w:cs="Times New Roman"/>
          <w:b/>
          <w:sz w:val="28"/>
          <w:szCs w:val="28"/>
        </w:rPr>
        <w:t>10 лица.</w:t>
      </w:r>
      <w:r w:rsidRPr="0023213C">
        <w:rPr>
          <w:rFonts w:ascii="Times New Roman" w:eastAsia="Times New Roman" w:hAnsi="Times New Roman" w:cs="Times New Roman"/>
          <w:sz w:val="28"/>
          <w:szCs w:val="28"/>
        </w:rPr>
        <w:t xml:space="preserve"> Съотношението  спрямо внесените прокурорски актове е  било 1, 28%, а спрямо решените от съда дела- 1, 34%. </w:t>
      </w:r>
    </w:p>
    <w:p w14:paraId="78B4D28F" w14:textId="77777777" w:rsidR="0023213C" w:rsidRPr="0023213C" w:rsidRDefault="0023213C" w:rsidP="00FC76F9">
      <w:pPr>
        <w:spacing w:after="0" w:line="240" w:lineRule="auto"/>
        <w:ind w:left="142" w:firstLine="284"/>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Съпоставката сочи на  </w:t>
      </w:r>
      <w:r w:rsidRPr="0023213C">
        <w:rPr>
          <w:rFonts w:ascii="Times New Roman" w:eastAsia="Times New Roman" w:hAnsi="Times New Roman" w:cs="Times New Roman"/>
          <w:i/>
          <w:sz w:val="28"/>
          <w:szCs w:val="28"/>
        </w:rPr>
        <w:t xml:space="preserve">завишаване  </w:t>
      </w:r>
      <w:r w:rsidRPr="0023213C">
        <w:rPr>
          <w:rFonts w:ascii="Times New Roman" w:eastAsia="Times New Roman" w:hAnsi="Times New Roman" w:cs="Times New Roman"/>
          <w:sz w:val="28"/>
          <w:szCs w:val="28"/>
        </w:rPr>
        <w:t>и спрямо двата предходни периода, като подобно е и процентното отношение.</w:t>
      </w:r>
    </w:p>
    <w:p w14:paraId="4BFEA69E" w14:textId="77777777" w:rsidR="0023213C" w:rsidRPr="0023213C" w:rsidRDefault="0023213C" w:rsidP="00FC76F9">
      <w:pPr>
        <w:spacing w:after="0" w:line="240" w:lineRule="auto"/>
        <w:ind w:left="142" w:firstLine="284"/>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Осъдените и санкционирани лица с влязъл в сила съдебен акт за 2022 година са </w:t>
      </w:r>
      <w:r w:rsidRPr="0023213C">
        <w:rPr>
          <w:rFonts w:ascii="Times New Roman" w:eastAsia="Times New Roman" w:hAnsi="Times New Roman" w:cs="Times New Roman"/>
          <w:b/>
          <w:sz w:val="28"/>
          <w:szCs w:val="28"/>
        </w:rPr>
        <w:t>687 броя</w:t>
      </w:r>
      <w:r w:rsidRPr="0023213C">
        <w:rPr>
          <w:rFonts w:ascii="Times New Roman" w:eastAsia="Times New Roman" w:hAnsi="Times New Roman" w:cs="Times New Roman"/>
          <w:sz w:val="28"/>
          <w:szCs w:val="28"/>
        </w:rPr>
        <w:t xml:space="preserve">  и така относителният дял на оправдани спрямопосъдени лица е 1, 75%.</w:t>
      </w:r>
    </w:p>
    <w:p w14:paraId="034AE02E" w14:textId="77777777" w:rsidR="0023213C" w:rsidRPr="0023213C" w:rsidRDefault="0023213C" w:rsidP="00FC76F9">
      <w:pPr>
        <w:spacing w:after="0" w:line="240" w:lineRule="auto"/>
        <w:ind w:left="142" w:firstLine="284"/>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lastRenderedPageBreak/>
        <w:t xml:space="preserve">      Осъдените и санкционирани лица с влязъл в сила съдебен акт за 2021 година са  били </w:t>
      </w:r>
      <w:r w:rsidRPr="0023213C">
        <w:rPr>
          <w:rFonts w:ascii="Times New Roman" w:eastAsia="Times New Roman" w:hAnsi="Times New Roman" w:cs="Times New Roman"/>
          <w:b/>
          <w:sz w:val="28"/>
          <w:szCs w:val="28"/>
        </w:rPr>
        <w:t>707 броя</w:t>
      </w:r>
      <w:r w:rsidRPr="0023213C">
        <w:rPr>
          <w:rFonts w:ascii="Times New Roman" w:eastAsia="Times New Roman" w:hAnsi="Times New Roman" w:cs="Times New Roman"/>
          <w:sz w:val="28"/>
          <w:szCs w:val="28"/>
        </w:rPr>
        <w:t xml:space="preserve"> и така относителният дял на оправдани спрямо осъдени лица е   1, 27 % .</w:t>
      </w:r>
    </w:p>
    <w:p w14:paraId="6A8703F3" w14:textId="77777777" w:rsidR="0023213C" w:rsidRPr="0023213C" w:rsidRDefault="0023213C" w:rsidP="00FC76F9">
      <w:pPr>
        <w:spacing w:after="0" w:line="240" w:lineRule="auto"/>
        <w:ind w:left="142" w:firstLine="284"/>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Осъдените и санкционирани лица  с влязъл в сила съдебен акт за 2020 година са  били </w:t>
      </w:r>
      <w:r w:rsidRPr="0023213C">
        <w:rPr>
          <w:rFonts w:ascii="Times New Roman" w:eastAsia="Times New Roman" w:hAnsi="Times New Roman" w:cs="Times New Roman"/>
          <w:b/>
          <w:sz w:val="28"/>
          <w:szCs w:val="28"/>
        </w:rPr>
        <w:t>747 броя</w:t>
      </w:r>
      <w:r w:rsidRPr="0023213C">
        <w:rPr>
          <w:rFonts w:ascii="Times New Roman" w:eastAsia="Times New Roman" w:hAnsi="Times New Roman" w:cs="Times New Roman"/>
          <w:sz w:val="28"/>
          <w:szCs w:val="28"/>
        </w:rPr>
        <w:t xml:space="preserve"> и  относителният дял</w:t>
      </w:r>
      <w:r w:rsidRPr="0023213C">
        <w:rPr>
          <w:rFonts w:ascii="Times New Roman" w:eastAsia="Times New Roman" w:hAnsi="Times New Roman" w:cs="Times New Roman"/>
          <w:sz w:val="28"/>
          <w:szCs w:val="28"/>
          <w:lang w:val="en-US"/>
        </w:rPr>
        <w:t xml:space="preserve"> </w:t>
      </w:r>
      <w:r w:rsidRPr="0023213C">
        <w:rPr>
          <w:rFonts w:ascii="Times New Roman" w:eastAsia="Times New Roman" w:hAnsi="Times New Roman" w:cs="Times New Roman"/>
          <w:sz w:val="28"/>
          <w:szCs w:val="28"/>
        </w:rPr>
        <w:t>на оправдани спрямо осъдени лица е 1, 34 %.</w:t>
      </w:r>
    </w:p>
    <w:p w14:paraId="58AF66CE" w14:textId="77777777" w:rsidR="0023213C" w:rsidRPr="0023213C" w:rsidRDefault="0023213C" w:rsidP="00FC76F9">
      <w:pPr>
        <w:spacing w:after="0" w:line="240" w:lineRule="auto"/>
        <w:ind w:left="142" w:firstLine="284"/>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Забелязва се  </w:t>
      </w:r>
      <w:r w:rsidRPr="0023213C">
        <w:rPr>
          <w:rFonts w:ascii="Times New Roman" w:eastAsia="Times New Roman" w:hAnsi="Times New Roman" w:cs="Times New Roman"/>
          <w:i/>
          <w:sz w:val="28"/>
          <w:szCs w:val="28"/>
        </w:rPr>
        <w:t>леко завишаване</w:t>
      </w:r>
      <w:r w:rsidRPr="0023213C">
        <w:rPr>
          <w:rFonts w:ascii="Times New Roman" w:eastAsia="Times New Roman" w:hAnsi="Times New Roman" w:cs="Times New Roman"/>
          <w:sz w:val="28"/>
          <w:szCs w:val="28"/>
        </w:rPr>
        <w:t xml:space="preserve"> </w:t>
      </w:r>
      <w:r w:rsidRPr="0023213C">
        <w:rPr>
          <w:rFonts w:ascii="Times New Roman" w:eastAsia="Times New Roman" w:hAnsi="Times New Roman" w:cs="Times New Roman"/>
          <w:b/>
          <w:sz w:val="28"/>
          <w:szCs w:val="28"/>
        </w:rPr>
        <w:t>броя оправдателните присъди</w:t>
      </w:r>
      <w:r w:rsidRPr="0023213C">
        <w:rPr>
          <w:rFonts w:ascii="Times New Roman" w:eastAsia="Times New Roman" w:hAnsi="Times New Roman" w:cs="Times New Roman"/>
          <w:sz w:val="28"/>
          <w:szCs w:val="28"/>
        </w:rPr>
        <w:t xml:space="preserve"> и </w:t>
      </w:r>
      <w:r w:rsidRPr="0023213C">
        <w:rPr>
          <w:rFonts w:ascii="Times New Roman" w:eastAsia="Times New Roman" w:hAnsi="Times New Roman" w:cs="Times New Roman"/>
          <w:b/>
          <w:sz w:val="28"/>
          <w:szCs w:val="28"/>
        </w:rPr>
        <w:t xml:space="preserve">броя на оправданите лица </w:t>
      </w:r>
      <w:r w:rsidRPr="0023213C">
        <w:rPr>
          <w:rFonts w:ascii="Times New Roman" w:eastAsia="Times New Roman" w:hAnsi="Times New Roman" w:cs="Times New Roman"/>
          <w:sz w:val="28"/>
          <w:szCs w:val="28"/>
        </w:rPr>
        <w:t xml:space="preserve">в съпоставка и  с  двата предходни периода. </w:t>
      </w:r>
    </w:p>
    <w:p w14:paraId="5C07E266" w14:textId="77777777" w:rsidR="0023213C" w:rsidRPr="0023213C" w:rsidRDefault="0023213C" w:rsidP="00FC76F9">
      <w:pPr>
        <w:spacing w:after="0" w:line="240" w:lineRule="auto"/>
        <w:ind w:left="142" w:firstLine="284"/>
        <w:jc w:val="both"/>
        <w:rPr>
          <w:rFonts w:ascii="Times New Roman" w:eastAsia="Times New Roman" w:hAnsi="Times New Roman" w:cs="Times New Roman"/>
          <w:sz w:val="28"/>
          <w:szCs w:val="28"/>
        </w:rPr>
      </w:pPr>
    </w:p>
    <w:p w14:paraId="35853CAB" w14:textId="77777777" w:rsidR="0023213C" w:rsidRPr="0023213C" w:rsidRDefault="0023213C" w:rsidP="00FC76F9">
      <w:pPr>
        <w:spacing w:after="0" w:line="240" w:lineRule="auto"/>
        <w:ind w:left="142" w:firstLine="284"/>
        <w:jc w:val="both"/>
        <w:rPr>
          <w:rFonts w:ascii="Times New Roman" w:eastAsia="Times New Roman" w:hAnsi="Times New Roman" w:cs="Times New Roman"/>
          <w:b/>
          <w:i/>
          <w:smallCaps/>
          <w:sz w:val="28"/>
          <w:szCs w:val="28"/>
        </w:rPr>
      </w:pPr>
      <w:r w:rsidRPr="0023213C">
        <w:rPr>
          <w:rFonts w:ascii="Times New Roman" w:eastAsia="Times New Roman" w:hAnsi="Times New Roman" w:cs="Times New Roman"/>
          <w:b/>
          <w:i/>
          <w:smallCaps/>
          <w:sz w:val="28"/>
          <w:szCs w:val="28"/>
        </w:rPr>
        <w:t xml:space="preserve">   анализ на оправдателните присъди. обобщения</w:t>
      </w:r>
    </w:p>
    <w:p w14:paraId="53754F40" w14:textId="77777777" w:rsidR="0023213C" w:rsidRPr="0023213C" w:rsidRDefault="0023213C" w:rsidP="00FC76F9">
      <w:pPr>
        <w:spacing w:after="0" w:line="240" w:lineRule="auto"/>
        <w:ind w:left="142" w:firstLine="284"/>
        <w:jc w:val="both"/>
        <w:rPr>
          <w:rFonts w:ascii="Times New Roman" w:eastAsia="Times New Roman" w:hAnsi="Times New Roman" w:cs="Times New Roman"/>
          <w:b/>
          <w:i/>
          <w:smallCaps/>
          <w:sz w:val="28"/>
          <w:szCs w:val="28"/>
        </w:rPr>
      </w:pPr>
    </w:p>
    <w:p w14:paraId="566E3000" w14:textId="77777777" w:rsidR="0023213C" w:rsidRPr="0023213C" w:rsidRDefault="0023213C" w:rsidP="00FC76F9">
      <w:pPr>
        <w:tabs>
          <w:tab w:val="left" w:pos="-3544"/>
        </w:tabs>
        <w:spacing w:after="0" w:line="240" w:lineRule="auto"/>
        <w:ind w:firstLine="709"/>
        <w:jc w:val="both"/>
        <w:rPr>
          <w:rFonts w:ascii="Times New Roman" w:eastAsia="Times New Roman" w:hAnsi="Times New Roman" w:cs="Times New Roman"/>
          <w:b/>
          <w:smallCaps/>
          <w:sz w:val="28"/>
          <w:szCs w:val="28"/>
          <w:u w:val="single"/>
        </w:rPr>
      </w:pPr>
      <w:r w:rsidRPr="0023213C">
        <w:rPr>
          <w:rFonts w:ascii="Times New Roman" w:eastAsia="Times New Roman" w:hAnsi="Times New Roman" w:cs="Times New Roman"/>
          <w:b/>
          <w:smallCaps/>
          <w:sz w:val="28"/>
          <w:szCs w:val="28"/>
          <w:u w:val="single"/>
        </w:rPr>
        <w:t>Окръжна прокуратура-Монтана</w:t>
      </w:r>
    </w:p>
    <w:p w14:paraId="5C346377" w14:textId="77777777" w:rsidR="0023213C" w:rsidRPr="0023213C" w:rsidRDefault="0023213C" w:rsidP="00FC76F9">
      <w:pPr>
        <w:spacing w:after="0" w:line="240" w:lineRule="auto"/>
        <w:ind w:firstLine="709"/>
        <w:jc w:val="both"/>
        <w:rPr>
          <w:rFonts w:ascii="Times New Roman" w:eastAsia="Times New Roman" w:hAnsi="Times New Roman" w:cs="Times New Roman"/>
          <w:sz w:val="28"/>
          <w:szCs w:val="28"/>
          <w:u w:val="single"/>
        </w:rPr>
      </w:pPr>
    </w:p>
    <w:p w14:paraId="60D8A28C" w14:textId="77777777" w:rsidR="0023213C" w:rsidRPr="0023213C" w:rsidRDefault="0023213C" w:rsidP="00FC76F9">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През 20</w:t>
      </w:r>
      <w:r w:rsidRPr="0023213C">
        <w:rPr>
          <w:rFonts w:ascii="Times New Roman" w:eastAsia="Times New Roman" w:hAnsi="Times New Roman" w:cs="Times New Roman"/>
          <w:sz w:val="28"/>
          <w:szCs w:val="28"/>
          <w:lang w:val="en-US"/>
        </w:rPr>
        <w:t>2</w:t>
      </w:r>
      <w:r w:rsidRPr="0023213C">
        <w:rPr>
          <w:rFonts w:ascii="Times New Roman" w:eastAsia="Times New Roman" w:hAnsi="Times New Roman" w:cs="Times New Roman"/>
          <w:sz w:val="28"/>
          <w:szCs w:val="28"/>
        </w:rPr>
        <w:t xml:space="preserve">2 година  за Окръжна прокуратура-Монтана са влезли в сила </w:t>
      </w:r>
      <w:r w:rsidRPr="0023213C">
        <w:rPr>
          <w:rFonts w:ascii="Times New Roman" w:eastAsia="Times New Roman" w:hAnsi="Times New Roman" w:cs="Times New Roman"/>
          <w:b/>
          <w:sz w:val="28"/>
          <w:szCs w:val="28"/>
        </w:rPr>
        <w:t>2 (два) броя оправдателни присъди</w:t>
      </w:r>
      <w:r w:rsidRPr="0023213C">
        <w:rPr>
          <w:rFonts w:ascii="Times New Roman" w:eastAsia="Times New Roman" w:hAnsi="Times New Roman" w:cs="Times New Roman"/>
          <w:sz w:val="28"/>
          <w:szCs w:val="28"/>
        </w:rPr>
        <w:t xml:space="preserve">, с които са оправдани </w:t>
      </w:r>
      <w:r w:rsidRPr="0023213C">
        <w:rPr>
          <w:rFonts w:ascii="Times New Roman" w:eastAsia="Times New Roman" w:hAnsi="Times New Roman" w:cs="Times New Roman"/>
          <w:b/>
          <w:sz w:val="28"/>
          <w:szCs w:val="28"/>
        </w:rPr>
        <w:t>2 /две/</w:t>
      </w:r>
      <w:r w:rsidRPr="0023213C">
        <w:rPr>
          <w:rFonts w:ascii="Times New Roman" w:eastAsia="Times New Roman" w:hAnsi="Times New Roman" w:cs="Times New Roman"/>
          <w:sz w:val="28"/>
          <w:szCs w:val="28"/>
        </w:rPr>
        <w:t xml:space="preserve"> лица, както следва:</w:t>
      </w:r>
    </w:p>
    <w:p w14:paraId="71E0B849" w14:textId="77777777" w:rsidR="0023213C" w:rsidRPr="0023213C" w:rsidRDefault="0023213C" w:rsidP="00FC76F9">
      <w:pPr>
        <w:spacing w:after="0" w:line="240" w:lineRule="auto"/>
        <w:ind w:firstLine="709"/>
        <w:jc w:val="both"/>
        <w:rPr>
          <w:rFonts w:ascii="Times New Roman" w:eastAsia="Times New Roman" w:hAnsi="Times New Roman" w:cs="Times New Roman"/>
          <w:b/>
          <w:i/>
          <w:sz w:val="28"/>
          <w:szCs w:val="28"/>
        </w:rPr>
      </w:pPr>
      <w:r w:rsidRPr="0023213C">
        <w:rPr>
          <w:rFonts w:ascii="Times New Roman" w:eastAsia="Times New Roman" w:hAnsi="Times New Roman" w:cs="Times New Roman"/>
          <w:b/>
          <w:sz w:val="28"/>
          <w:szCs w:val="28"/>
          <w:lang w:val="en-US"/>
        </w:rPr>
        <w:t xml:space="preserve">1. </w:t>
      </w:r>
      <w:proofErr w:type="spellStart"/>
      <w:r w:rsidRPr="0023213C">
        <w:rPr>
          <w:rFonts w:ascii="Times New Roman" w:eastAsia="Times New Roman" w:hAnsi="Times New Roman" w:cs="Times New Roman"/>
          <w:b/>
          <w:sz w:val="28"/>
          <w:szCs w:val="28"/>
          <w:lang w:val="en-US"/>
        </w:rPr>
        <w:t>По</w:t>
      </w:r>
      <w:proofErr w:type="spellEnd"/>
      <w:r w:rsidRPr="0023213C">
        <w:rPr>
          <w:rFonts w:ascii="Times New Roman" w:eastAsia="Times New Roman" w:hAnsi="Times New Roman" w:cs="Times New Roman"/>
          <w:b/>
          <w:sz w:val="28"/>
          <w:szCs w:val="28"/>
          <w:lang w:val="en-US"/>
        </w:rPr>
        <w:t xml:space="preserve"> НОХД № </w:t>
      </w:r>
      <w:r w:rsidRPr="0023213C">
        <w:rPr>
          <w:rFonts w:ascii="Times New Roman" w:eastAsia="Times New Roman" w:hAnsi="Times New Roman" w:cs="Times New Roman"/>
          <w:b/>
          <w:sz w:val="28"/>
          <w:szCs w:val="28"/>
        </w:rPr>
        <w:t>256</w:t>
      </w:r>
      <w:r w:rsidRPr="0023213C">
        <w:rPr>
          <w:rFonts w:ascii="Times New Roman" w:eastAsia="Times New Roman" w:hAnsi="Times New Roman" w:cs="Times New Roman"/>
          <w:b/>
          <w:sz w:val="28"/>
          <w:szCs w:val="28"/>
          <w:lang w:val="en-US"/>
        </w:rPr>
        <w:t>/ 1</w:t>
      </w:r>
      <w:r w:rsidRPr="0023213C">
        <w:rPr>
          <w:rFonts w:ascii="Times New Roman" w:eastAsia="Times New Roman" w:hAnsi="Times New Roman" w:cs="Times New Roman"/>
          <w:b/>
          <w:sz w:val="28"/>
          <w:szCs w:val="28"/>
        </w:rPr>
        <w:t>7</w:t>
      </w:r>
      <w:r w:rsidRPr="0023213C">
        <w:rPr>
          <w:rFonts w:ascii="Times New Roman" w:eastAsia="Times New Roman" w:hAnsi="Times New Roman" w:cs="Times New Roman"/>
          <w:b/>
          <w:sz w:val="28"/>
          <w:szCs w:val="28"/>
          <w:lang w:val="en-US"/>
        </w:rPr>
        <w:t xml:space="preserve"> г. </w:t>
      </w:r>
      <w:proofErr w:type="spellStart"/>
      <w:r w:rsidRPr="0023213C">
        <w:rPr>
          <w:rFonts w:ascii="Times New Roman" w:eastAsia="Times New Roman" w:hAnsi="Times New Roman" w:cs="Times New Roman"/>
          <w:b/>
          <w:sz w:val="28"/>
          <w:szCs w:val="28"/>
          <w:lang w:val="en-US"/>
        </w:rPr>
        <w:t>по</w:t>
      </w:r>
      <w:proofErr w:type="spellEnd"/>
      <w:r w:rsidRPr="0023213C">
        <w:rPr>
          <w:rFonts w:ascii="Times New Roman" w:eastAsia="Times New Roman" w:hAnsi="Times New Roman" w:cs="Times New Roman"/>
          <w:b/>
          <w:sz w:val="28"/>
          <w:szCs w:val="28"/>
          <w:lang w:val="en-US"/>
        </w:rPr>
        <w:t xml:space="preserve"> </w:t>
      </w:r>
      <w:proofErr w:type="spellStart"/>
      <w:r w:rsidRPr="0023213C">
        <w:rPr>
          <w:rFonts w:ascii="Times New Roman" w:eastAsia="Times New Roman" w:hAnsi="Times New Roman" w:cs="Times New Roman"/>
          <w:b/>
          <w:sz w:val="28"/>
          <w:szCs w:val="28"/>
          <w:lang w:val="en-US"/>
        </w:rPr>
        <w:t>описа</w:t>
      </w:r>
      <w:proofErr w:type="spellEnd"/>
      <w:r w:rsidRPr="0023213C">
        <w:rPr>
          <w:rFonts w:ascii="Times New Roman" w:eastAsia="Times New Roman" w:hAnsi="Times New Roman" w:cs="Times New Roman"/>
          <w:b/>
          <w:sz w:val="28"/>
          <w:szCs w:val="28"/>
          <w:lang w:val="en-US"/>
        </w:rPr>
        <w:t xml:space="preserve"> </w:t>
      </w:r>
      <w:proofErr w:type="spellStart"/>
      <w:r w:rsidRPr="0023213C">
        <w:rPr>
          <w:rFonts w:ascii="Times New Roman" w:eastAsia="Times New Roman" w:hAnsi="Times New Roman" w:cs="Times New Roman"/>
          <w:b/>
          <w:sz w:val="28"/>
          <w:szCs w:val="28"/>
          <w:lang w:val="en-US"/>
        </w:rPr>
        <w:t>на</w:t>
      </w:r>
      <w:proofErr w:type="spellEnd"/>
      <w:r w:rsidRPr="0023213C">
        <w:rPr>
          <w:rFonts w:ascii="Times New Roman" w:eastAsia="Times New Roman" w:hAnsi="Times New Roman" w:cs="Times New Roman"/>
          <w:b/>
          <w:sz w:val="28"/>
          <w:szCs w:val="28"/>
          <w:lang w:val="en-US"/>
        </w:rPr>
        <w:t xml:space="preserve"> МОС</w:t>
      </w:r>
      <w:r w:rsidRPr="0023213C">
        <w:rPr>
          <w:rFonts w:ascii="Times New Roman" w:eastAsia="Times New Roman" w:hAnsi="Times New Roman" w:cs="Times New Roman"/>
          <w:sz w:val="28"/>
          <w:szCs w:val="28"/>
          <w:lang w:val="en-US"/>
        </w:rPr>
        <w:t xml:space="preserve"> – </w:t>
      </w:r>
      <w:proofErr w:type="spellStart"/>
      <w:r w:rsidRPr="0023213C">
        <w:rPr>
          <w:rFonts w:ascii="Times New Roman" w:eastAsia="Times New Roman" w:hAnsi="Times New Roman" w:cs="Times New Roman"/>
          <w:sz w:val="28"/>
          <w:szCs w:val="28"/>
          <w:lang w:val="en-US"/>
        </w:rPr>
        <w:t>Повдигнат</w:t>
      </w:r>
      <w:proofErr w:type="spellEnd"/>
      <w:r w:rsidRPr="0023213C">
        <w:rPr>
          <w:rFonts w:ascii="Times New Roman" w:eastAsia="Times New Roman" w:hAnsi="Times New Roman" w:cs="Times New Roman"/>
          <w:sz w:val="28"/>
          <w:szCs w:val="28"/>
        </w:rPr>
        <w:t xml:space="preserve">о е обвинение по </w:t>
      </w:r>
      <w:r w:rsidRPr="0023213C">
        <w:rPr>
          <w:rFonts w:ascii="Times New Roman" w:eastAsia="Times New Roman" w:hAnsi="Times New Roman" w:cs="Times New Roman"/>
          <w:b/>
          <w:i/>
          <w:sz w:val="28"/>
          <w:szCs w:val="28"/>
        </w:rPr>
        <w:t>чл. 203, ал. 1 от НК</w:t>
      </w:r>
      <w:r w:rsidRPr="0023213C">
        <w:rPr>
          <w:rFonts w:ascii="Times New Roman" w:eastAsia="Times New Roman" w:hAnsi="Times New Roman" w:cs="Times New Roman"/>
          <w:sz w:val="28"/>
          <w:szCs w:val="28"/>
        </w:rPr>
        <w:t xml:space="preserve">. Присъдата на МОС е оправдателна, подаден  е въззивен протест. Достигнато е до потвърждаване на оправдателния съдебен акт на </w:t>
      </w:r>
      <w:r w:rsidRPr="0023213C">
        <w:rPr>
          <w:rFonts w:ascii="Times New Roman" w:eastAsia="Times New Roman" w:hAnsi="Times New Roman" w:cs="Times New Roman"/>
          <w:sz w:val="28"/>
          <w:szCs w:val="28"/>
          <w:u w:val="single"/>
        </w:rPr>
        <w:t>22. 02. 22</w:t>
      </w:r>
      <w:r w:rsidRPr="0023213C">
        <w:rPr>
          <w:rFonts w:ascii="Times New Roman" w:eastAsia="Times New Roman" w:hAnsi="Times New Roman" w:cs="Times New Roman"/>
          <w:sz w:val="28"/>
          <w:szCs w:val="28"/>
        </w:rPr>
        <w:t xml:space="preserve"> г. Оправдателната присъда се дължи на противоречива съдебна практика, свързана с тълкуването на закона, което не компрометира тезата на прокурора. Разсъждава се различно по обективните и субективни признаци от конкретния престъпен състав / </w:t>
      </w:r>
      <w:r w:rsidRPr="0023213C">
        <w:rPr>
          <w:rFonts w:ascii="Times New Roman" w:eastAsia="Times New Roman" w:hAnsi="Times New Roman" w:cs="Times New Roman"/>
          <w:b/>
          <w:i/>
          <w:sz w:val="28"/>
          <w:szCs w:val="28"/>
        </w:rPr>
        <w:t xml:space="preserve">т. 5 от Раздел </w:t>
      </w:r>
      <w:r w:rsidRPr="0023213C">
        <w:rPr>
          <w:rFonts w:ascii="Times New Roman" w:eastAsia="Times New Roman" w:hAnsi="Times New Roman" w:cs="Times New Roman"/>
          <w:b/>
          <w:i/>
          <w:sz w:val="28"/>
          <w:szCs w:val="28"/>
          <w:lang w:val="en-US"/>
        </w:rPr>
        <w:t>II</w:t>
      </w:r>
      <w:r w:rsidRPr="0023213C">
        <w:rPr>
          <w:rFonts w:ascii="Times New Roman" w:eastAsia="Times New Roman" w:hAnsi="Times New Roman" w:cs="Times New Roman"/>
          <w:b/>
          <w:i/>
          <w:sz w:val="28"/>
          <w:szCs w:val="28"/>
        </w:rPr>
        <w:t xml:space="preserve"> на Приложение № 5/;</w:t>
      </w:r>
    </w:p>
    <w:p w14:paraId="550ACA25" w14:textId="77777777" w:rsidR="0023213C" w:rsidRPr="0023213C" w:rsidRDefault="0023213C" w:rsidP="00FC76F9">
      <w:pPr>
        <w:spacing w:after="0" w:line="240" w:lineRule="auto"/>
        <w:ind w:firstLine="709"/>
        <w:jc w:val="both"/>
        <w:rPr>
          <w:rFonts w:ascii="Times New Roman" w:eastAsia="Times New Roman" w:hAnsi="Times New Roman" w:cs="Times New Roman"/>
          <w:i/>
          <w:sz w:val="28"/>
          <w:szCs w:val="28"/>
        </w:rPr>
      </w:pPr>
      <w:r w:rsidRPr="0023213C">
        <w:rPr>
          <w:rFonts w:ascii="Times New Roman" w:eastAsia="Times New Roman" w:hAnsi="Times New Roman" w:cs="Times New Roman"/>
          <w:b/>
          <w:sz w:val="28"/>
          <w:szCs w:val="28"/>
        </w:rPr>
        <w:t>2. По НОХД № 17/19 г. по описа на МОС-</w:t>
      </w:r>
      <w:r w:rsidRPr="0023213C">
        <w:rPr>
          <w:rFonts w:ascii="Times New Roman" w:eastAsia="Times New Roman" w:hAnsi="Times New Roman" w:cs="Times New Roman"/>
          <w:sz w:val="28"/>
          <w:szCs w:val="28"/>
        </w:rPr>
        <w:t xml:space="preserve">Повдигнато е обвинение по </w:t>
      </w:r>
      <w:r w:rsidRPr="0023213C">
        <w:rPr>
          <w:rFonts w:ascii="Times New Roman" w:eastAsia="Times New Roman" w:hAnsi="Times New Roman" w:cs="Times New Roman"/>
          <w:b/>
          <w:i/>
          <w:sz w:val="28"/>
          <w:szCs w:val="28"/>
        </w:rPr>
        <w:t>чл. 115, във вр. с чл. 18, ал. 1 от НК</w:t>
      </w:r>
      <w:r w:rsidRPr="0023213C">
        <w:rPr>
          <w:rFonts w:ascii="Times New Roman" w:eastAsia="Times New Roman" w:hAnsi="Times New Roman" w:cs="Times New Roman"/>
          <w:sz w:val="28"/>
          <w:szCs w:val="28"/>
        </w:rPr>
        <w:t xml:space="preserve">. Достигнало се е до окончателно потвърждаване на първоначално оправдателната присъда на </w:t>
      </w:r>
      <w:r w:rsidRPr="0023213C">
        <w:rPr>
          <w:rFonts w:ascii="Times New Roman" w:eastAsia="Times New Roman" w:hAnsi="Times New Roman" w:cs="Times New Roman"/>
          <w:sz w:val="28"/>
          <w:szCs w:val="28"/>
          <w:u w:val="single"/>
        </w:rPr>
        <w:t>21. 06. 22 г.</w:t>
      </w:r>
    </w:p>
    <w:p w14:paraId="19F9D093" w14:textId="77777777" w:rsidR="0023213C" w:rsidRPr="0023213C" w:rsidRDefault="0023213C" w:rsidP="00FC76F9">
      <w:pPr>
        <w:spacing w:after="0" w:line="240" w:lineRule="auto"/>
        <w:ind w:firstLine="709"/>
        <w:jc w:val="both"/>
        <w:rPr>
          <w:rFonts w:ascii="Times New Roman" w:eastAsia="Times New Roman" w:hAnsi="Times New Roman" w:cs="Times New Roman"/>
          <w:b/>
          <w:i/>
          <w:sz w:val="28"/>
          <w:szCs w:val="28"/>
        </w:rPr>
      </w:pPr>
      <w:r w:rsidRPr="0023213C">
        <w:rPr>
          <w:rFonts w:ascii="Times New Roman" w:eastAsia="Times New Roman" w:hAnsi="Times New Roman" w:cs="Times New Roman"/>
          <w:sz w:val="28"/>
          <w:szCs w:val="28"/>
        </w:rPr>
        <w:t xml:space="preserve"> Оправдателната присъда се дължи на противоречива съдебна практика, свързана с тълкуването на закона, което не компрометира тезата на прокурора. Разсъждава се различно по субективната страна на деянието/ </w:t>
      </w:r>
      <w:r w:rsidRPr="0023213C">
        <w:rPr>
          <w:rFonts w:ascii="Times New Roman" w:eastAsia="Times New Roman" w:hAnsi="Times New Roman" w:cs="Times New Roman"/>
          <w:b/>
          <w:i/>
          <w:sz w:val="28"/>
          <w:szCs w:val="28"/>
        </w:rPr>
        <w:t xml:space="preserve">т. 5 от Раздел </w:t>
      </w:r>
      <w:r w:rsidRPr="0023213C">
        <w:rPr>
          <w:rFonts w:ascii="Times New Roman" w:eastAsia="Times New Roman" w:hAnsi="Times New Roman" w:cs="Times New Roman"/>
          <w:b/>
          <w:i/>
          <w:sz w:val="28"/>
          <w:szCs w:val="28"/>
          <w:lang w:val="en-US"/>
        </w:rPr>
        <w:t>II</w:t>
      </w:r>
      <w:r w:rsidRPr="0023213C">
        <w:rPr>
          <w:rFonts w:ascii="Times New Roman" w:eastAsia="Times New Roman" w:hAnsi="Times New Roman" w:cs="Times New Roman"/>
          <w:b/>
          <w:i/>
          <w:sz w:val="28"/>
          <w:szCs w:val="28"/>
        </w:rPr>
        <w:t xml:space="preserve"> на Приложение № 5/.</w:t>
      </w:r>
    </w:p>
    <w:p w14:paraId="1FC356CB" w14:textId="77777777" w:rsidR="0023213C" w:rsidRPr="0023213C" w:rsidRDefault="0023213C" w:rsidP="00FC76F9">
      <w:pPr>
        <w:spacing w:after="0" w:line="240" w:lineRule="auto"/>
        <w:ind w:firstLine="709"/>
        <w:jc w:val="both"/>
        <w:rPr>
          <w:rFonts w:ascii="Times New Roman" w:eastAsia="Times New Roman" w:hAnsi="Times New Roman" w:cs="Times New Roman"/>
          <w:sz w:val="24"/>
          <w:szCs w:val="24"/>
          <w:lang w:val="en-US"/>
        </w:rPr>
      </w:pPr>
    </w:p>
    <w:p w14:paraId="23E576D9" w14:textId="77777777" w:rsidR="0023213C" w:rsidRPr="0023213C" w:rsidRDefault="0023213C" w:rsidP="00FC76F9">
      <w:pPr>
        <w:spacing w:after="0" w:line="240" w:lineRule="auto"/>
        <w:ind w:firstLine="709"/>
        <w:jc w:val="both"/>
        <w:rPr>
          <w:rFonts w:ascii="Times New Roman" w:eastAsia="Times New Roman" w:hAnsi="Times New Roman" w:cs="Times New Roman"/>
          <w:b/>
          <w:smallCaps/>
          <w:sz w:val="28"/>
          <w:szCs w:val="28"/>
          <w:u w:val="single"/>
        </w:rPr>
      </w:pPr>
      <w:r w:rsidRPr="0023213C">
        <w:rPr>
          <w:rFonts w:ascii="Times New Roman" w:eastAsia="Times New Roman" w:hAnsi="Times New Roman" w:cs="Times New Roman"/>
          <w:sz w:val="28"/>
          <w:szCs w:val="28"/>
        </w:rPr>
        <w:t xml:space="preserve">  </w:t>
      </w:r>
      <w:r w:rsidRPr="0023213C">
        <w:rPr>
          <w:rFonts w:ascii="Times New Roman" w:eastAsia="Times New Roman" w:hAnsi="Times New Roman" w:cs="Times New Roman"/>
          <w:b/>
          <w:smallCaps/>
          <w:sz w:val="28"/>
          <w:szCs w:val="28"/>
          <w:u w:val="single"/>
        </w:rPr>
        <w:t xml:space="preserve">Районна прокуратура-Монтана </w:t>
      </w:r>
    </w:p>
    <w:p w14:paraId="350D3927" w14:textId="77777777" w:rsidR="0023213C" w:rsidRPr="0023213C" w:rsidRDefault="0023213C" w:rsidP="00FC76F9">
      <w:pPr>
        <w:spacing w:after="0" w:line="240" w:lineRule="auto"/>
        <w:jc w:val="both"/>
        <w:rPr>
          <w:rFonts w:ascii="Times New Roman" w:eastAsia="Times New Roman" w:hAnsi="Times New Roman" w:cs="Times New Roman"/>
          <w:sz w:val="28"/>
          <w:szCs w:val="28"/>
          <w:lang w:val="en-US"/>
        </w:rPr>
      </w:pPr>
    </w:p>
    <w:p w14:paraId="57564A3C" w14:textId="77777777" w:rsidR="0023213C" w:rsidRPr="0023213C" w:rsidRDefault="0023213C" w:rsidP="00FC76F9">
      <w:pPr>
        <w:spacing w:after="0" w:line="240" w:lineRule="auto"/>
        <w:jc w:val="both"/>
        <w:rPr>
          <w:rFonts w:ascii="Times New Roman" w:hAnsi="Times New Roman" w:cs="Times New Roman"/>
          <w:sz w:val="28"/>
          <w:szCs w:val="28"/>
        </w:rPr>
      </w:pPr>
      <w:r w:rsidRPr="0023213C">
        <w:rPr>
          <w:rFonts w:ascii="Times New Roman" w:eastAsia="Times New Roman" w:hAnsi="Times New Roman" w:cs="Times New Roman"/>
          <w:sz w:val="28"/>
          <w:szCs w:val="28"/>
        </w:rPr>
        <w:t xml:space="preserve">              </w:t>
      </w:r>
      <w:r w:rsidRPr="0023213C">
        <w:rPr>
          <w:rFonts w:ascii="Times New Roman" w:hAnsi="Times New Roman" w:cs="Times New Roman"/>
          <w:sz w:val="28"/>
          <w:szCs w:val="28"/>
        </w:rPr>
        <w:t>През 2022 год. са в</w:t>
      </w:r>
      <w:r w:rsidRPr="0023213C">
        <w:rPr>
          <w:rFonts w:ascii="Times New Roman" w:hAnsi="Times New Roman" w:cs="Times New Roman"/>
          <w:b/>
          <w:sz w:val="28"/>
          <w:szCs w:val="28"/>
        </w:rPr>
        <w:t>лезли  в сила</w:t>
      </w:r>
      <w:r w:rsidRPr="0023213C">
        <w:rPr>
          <w:rFonts w:ascii="Times New Roman" w:hAnsi="Times New Roman" w:cs="Times New Roman"/>
          <w:sz w:val="28"/>
          <w:szCs w:val="28"/>
        </w:rPr>
        <w:t xml:space="preserve">    7</w:t>
      </w:r>
      <w:r w:rsidRPr="0023213C">
        <w:rPr>
          <w:rFonts w:ascii="Times New Roman" w:hAnsi="Times New Roman" w:cs="Times New Roman"/>
          <w:b/>
          <w:i/>
          <w:sz w:val="28"/>
          <w:szCs w:val="28"/>
        </w:rPr>
        <w:t xml:space="preserve"> / седем/</w:t>
      </w:r>
      <w:r w:rsidRPr="0023213C">
        <w:rPr>
          <w:rFonts w:ascii="Times New Roman" w:hAnsi="Times New Roman" w:cs="Times New Roman"/>
          <w:b/>
          <w:sz w:val="28"/>
          <w:szCs w:val="28"/>
        </w:rPr>
        <w:t xml:space="preserve">  </w:t>
      </w:r>
      <w:r w:rsidRPr="0023213C">
        <w:rPr>
          <w:rFonts w:ascii="Times New Roman" w:hAnsi="Times New Roman" w:cs="Times New Roman"/>
          <w:b/>
          <w:i/>
          <w:sz w:val="28"/>
          <w:szCs w:val="28"/>
        </w:rPr>
        <w:t xml:space="preserve">броя  оправдателни присъди </w:t>
      </w:r>
      <w:r w:rsidRPr="0023213C">
        <w:rPr>
          <w:rFonts w:ascii="Times New Roman" w:hAnsi="Times New Roman" w:cs="Times New Roman"/>
          <w:sz w:val="28"/>
          <w:szCs w:val="28"/>
        </w:rPr>
        <w:t>по внесени обвинителни актове и 3</w:t>
      </w:r>
      <w:r w:rsidRPr="0023213C">
        <w:rPr>
          <w:rFonts w:ascii="Times New Roman" w:hAnsi="Times New Roman" w:cs="Times New Roman"/>
          <w:b/>
          <w:i/>
          <w:sz w:val="28"/>
          <w:szCs w:val="28"/>
        </w:rPr>
        <w:t>/ три/ броя оправдателни</w:t>
      </w:r>
      <w:r w:rsidRPr="0023213C">
        <w:rPr>
          <w:rFonts w:ascii="Times New Roman" w:hAnsi="Times New Roman" w:cs="Times New Roman"/>
          <w:sz w:val="28"/>
          <w:szCs w:val="28"/>
        </w:rPr>
        <w:t xml:space="preserve"> </w:t>
      </w:r>
      <w:r w:rsidRPr="0023213C">
        <w:rPr>
          <w:rFonts w:ascii="Times New Roman" w:hAnsi="Times New Roman" w:cs="Times New Roman"/>
          <w:b/>
          <w:i/>
          <w:sz w:val="28"/>
          <w:szCs w:val="28"/>
        </w:rPr>
        <w:t>решения</w:t>
      </w:r>
      <w:r w:rsidRPr="0023213C">
        <w:rPr>
          <w:rFonts w:ascii="Times New Roman" w:hAnsi="Times New Roman" w:cs="Times New Roman"/>
          <w:sz w:val="28"/>
          <w:szCs w:val="28"/>
        </w:rPr>
        <w:t xml:space="preserve"> по предложения по чл. 78 а от НК.  Оправдани са 10 лица.</w:t>
      </w:r>
    </w:p>
    <w:p w14:paraId="246ABB10" w14:textId="77777777" w:rsidR="0023213C" w:rsidRPr="0023213C" w:rsidRDefault="0023213C" w:rsidP="00FC76F9">
      <w:pPr>
        <w:spacing w:after="0" w:line="240" w:lineRule="auto"/>
        <w:jc w:val="both"/>
        <w:rPr>
          <w:rFonts w:ascii="Times New Roman" w:hAnsi="Times New Roman" w:cs="Times New Roman"/>
          <w:sz w:val="28"/>
          <w:szCs w:val="28"/>
        </w:rPr>
      </w:pPr>
      <w:r w:rsidRPr="0023213C">
        <w:rPr>
          <w:rFonts w:ascii="Times New Roman" w:hAnsi="Times New Roman" w:cs="Times New Roman"/>
          <w:sz w:val="28"/>
          <w:szCs w:val="28"/>
        </w:rPr>
        <w:t xml:space="preserve">  </w:t>
      </w:r>
    </w:p>
    <w:p w14:paraId="2D97116E" w14:textId="77777777" w:rsidR="0023213C" w:rsidRPr="0023213C" w:rsidRDefault="0023213C" w:rsidP="00FC76F9">
      <w:pPr>
        <w:spacing w:after="0" w:line="240" w:lineRule="auto"/>
        <w:ind w:firstLine="993"/>
        <w:jc w:val="both"/>
        <w:rPr>
          <w:rFonts w:ascii="Times New Roman" w:hAnsi="Times New Roman" w:cs="Times New Roman"/>
          <w:b/>
          <w:sz w:val="28"/>
          <w:szCs w:val="28"/>
        </w:rPr>
      </w:pPr>
      <w:r w:rsidRPr="0023213C">
        <w:rPr>
          <w:rFonts w:ascii="Times New Roman" w:hAnsi="Times New Roman" w:cs="Times New Roman"/>
          <w:sz w:val="28"/>
          <w:szCs w:val="28"/>
        </w:rPr>
        <w:t xml:space="preserve"> </w:t>
      </w:r>
    </w:p>
    <w:p w14:paraId="178480C8"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b/>
          <w:sz w:val="28"/>
          <w:szCs w:val="28"/>
        </w:rPr>
        <w:t>1.</w:t>
      </w:r>
      <w:r w:rsidRPr="0023213C">
        <w:rPr>
          <w:rFonts w:ascii="Times New Roman" w:hAnsi="Times New Roman" w:cs="Times New Roman"/>
          <w:sz w:val="28"/>
          <w:szCs w:val="28"/>
        </w:rPr>
        <w:t xml:space="preserve">  </w:t>
      </w:r>
      <w:r w:rsidRPr="0023213C">
        <w:rPr>
          <w:rFonts w:ascii="Times New Roman" w:hAnsi="Times New Roman" w:cs="Times New Roman"/>
          <w:b/>
          <w:sz w:val="28"/>
          <w:szCs w:val="28"/>
        </w:rPr>
        <w:t>Оправдателна присъда № 2 по НОХД № 604/2021 год. на РС - Монтана, постановена на 02.07.2021 год., в сила от 10.01.2022 год.</w:t>
      </w:r>
    </w:p>
    <w:p w14:paraId="514D27A3"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НОХД № 604/2021 год. на РС - Монтана , по внесен от РП - Монтана обвинителен акт на срещу И.Т. А., за престъпление по чл. 354в, ал. 1 от НК.</w:t>
      </w:r>
    </w:p>
    <w:p w14:paraId="17F66DC9"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С присъда  по НОХД № 604/2021 год. на РС - Монтана, Апостолов е признат за НЕВИНОВЕН по повдигнатото му обвинение. Присъдата е протестирана и потвърдена с Оправдателно решение на ОС - Монтана.</w:t>
      </w:r>
    </w:p>
    <w:p w14:paraId="63DE7C21"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lastRenderedPageBreak/>
        <w:t>И двете съдебни инстанции са приели, че има извършено деяние формално, но същото не съставлява престъпление, т. е. приложили са разпоредбата на чл. 9, ал. 2 от НК – обществената опасност на деянието е явно незначителна.</w:t>
      </w:r>
    </w:p>
    <w:p w14:paraId="694CDC19" w14:textId="77777777" w:rsidR="0023213C" w:rsidRPr="0023213C" w:rsidRDefault="0023213C" w:rsidP="00FC76F9">
      <w:pPr>
        <w:spacing w:after="0" w:line="240" w:lineRule="auto"/>
        <w:ind w:firstLine="993"/>
        <w:jc w:val="both"/>
        <w:rPr>
          <w:rFonts w:ascii="Times New Roman" w:hAnsi="Times New Roman" w:cs="Times New Roman"/>
          <w:b/>
          <w:i/>
          <w:sz w:val="28"/>
          <w:szCs w:val="28"/>
          <w:u w:val="single"/>
        </w:rPr>
      </w:pPr>
      <w:r w:rsidRPr="0023213C">
        <w:rPr>
          <w:rFonts w:ascii="Times New Roman" w:hAnsi="Times New Roman" w:cs="Times New Roman"/>
          <w:sz w:val="28"/>
          <w:szCs w:val="28"/>
        </w:rPr>
        <w:t xml:space="preserve">Според прокурора от РП – Монтана, отговарящ за „НСН“, оправдателната присъда се дължи </w:t>
      </w:r>
      <w:r w:rsidRPr="0023213C">
        <w:rPr>
          <w:rFonts w:ascii="Times New Roman" w:hAnsi="Times New Roman" w:cs="Times New Roman"/>
          <w:b/>
          <w:i/>
          <w:sz w:val="28"/>
          <w:szCs w:val="28"/>
        </w:rPr>
        <w:t xml:space="preserve">на противоречива съдебна практика, която не компрометира тезата на прокурора, внесъл обвинителния акт или поддържал обвинението, т.е. </w:t>
      </w:r>
      <w:r w:rsidRPr="0023213C">
        <w:rPr>
          <w:rFonts w:ascii="Times New Roman" w:hAnsi="Times New Roman" w:cs="Times New Roman"/>
          <w:b/>
          <w:i/>
          <w:sz w:val="28"/>
          <w:szCs w:val="28"/>
          <w:u w:val="single"/>
        </w:rPr>
        <w:t>по т.5 от Приложение № 5.</w:t>
      </w:r>
    </w:p>
    <w:p w14:paraId="44A48A51" w14:textId="77777777" w:rsidR="0023213C" w:rsidRPr="0023213C" w:rsidRDefault="0023213C" w:rsidP="00FC76F9">
      <w:pPr>
        <w:spacing w:after="0" w:line="240" w:lineRule="auto"/>
        <w:ind w:firstLine="993"/>
        <w:jc w:val="both"/>
        <w:rPr>
          <w:rFonts w:ascii="Times New Roman" w:hAnsi="Times New Roman" w:cs="Times New Roman"/>
          <w:b/>
          <w:color w:val="FF0000"/>
          <w:sz w:val="28"/>
          <w:szCs w:val="28"/>
        </w:rPr>
      </w:pPr>
    </w:p>
    <w:p w14:paraId="775B1A17" w14:textId="77777777" w:rsidR="0023213C" w:rsidRPr="0023213C" w:rsidRDefault="0023213C" w:rsidP="00FC76F9">
      <w:pPr>
        <w:spacing w:after="0" w:line="240" w:lineRule="auto"/>
        <w:ind w:firstLine="993"/>
        <w:jc w:val="both"/>
        <w:rPr>
          <w:rFonts w:ascii="Times New Roman" w:hAnsi="Times New Roman" w:cs="Times New Roman"/>
          <w:b/>
          <w:sz w:val="28"/>
          <w:szCs w:val="28"/>
        </w:rPr>
      </w:pPr>
      <w:r w:rsidRPr="0023213C">
        <w:rPr>
          <w:rFonts w:ascii="Times New Roman" w:hAnsi="Times New Roman" w:cs="Times New Roman"/>
          <w:b/>
          <w:sz w:val="28"/>
          <w:szCs w:val="28"/>
        </w:rPr>
        <w:t>2. Оправдателна присъда по НОХД № 434/2019 год. на РС – Берковица от 28.05.2021 год.</w:t>
      </w:r>
    </w:p>
    <w:p w14:paraId="7D04EE4C"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НОХД № 434/2019 год. по описа на Берковица е образувано по обвинителен акт срещу Т.А. А., за престъпление по чл. 167, ал. 2 , вр. с чл. 26, ал. 1 от НК.</w:t>
      </w:r>
    </w:p>
    <w:p w14:paraId="4136C2E2"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С присъда по НОХД от 28.05.2021 год., Антонов е признат за НЕВИНОВЕН по повдигнатото му обвинение. Присъдата е протестирана и потвърдена с Оправдателно решение на ОС - Монтана от 24.01.2022 год.</w:t>
      </w:r>
    </w:p>
    <w:p w14:paraId="6CDF39E1"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Съдът е констатирал, че повдигнатото обвинение не е доказано по безспорен и категоричен начин, не са събрани достатъчно доказателства, които да подкрепят обвинителната теза.</w:t>
      </w:r>
    </w:p>
    <w:p w14:paraId="4ABC6E84" w14:textId="77777777" w:rsidR="0023213C" w:rsidRPr="0023213C" w:rsidRDefault="0023213C" w:rsidP="00FC76F9">
      <w:pPr>
        <w:spacing w:after="0" w:line="240" w:lineRule="auto"/>
        <w:ind w:firstLine="993"/>
        <w:jc w:val="both"/>
        <w:rPr>
          <w:rFonts w:ascii="Times New Roman" w:hAnsi="Times New Roman" w:cs="Times New Roman"/>
          <w:b/>
          <w:i/>
          <w:sz w:val="28"/>
          <w:szCs w:val="28"/>
          <w:u w:val="single"/>
        </w:rPr>
      </w:pPr>
      <w:r w:rsidRPr="0023213C">
        <w:rPr>
          <w:rFonts w:ascii="Times New Roman" w:hAnsi="Times New Roman" w:cs="Times New Roman"/>
          <w:sz w:val="28"/>
          <w:szCs w:val="28"/>
        </w:rPr>
        <w:t xml:space="preserve">Според прокурора от РП – Монтана, отговарящ за „НСН“, </w:t>
      </w:r>
      <w:r w:rsidRPr="0023213C">
        <w:rPr>
          <w:rFonts w:ascii="Times New Roman" w:hAnsi="Times New Roman" w:cs="Times New Roman"/>
          <w:b/>
          <w:i/>
          <w:sz w:val="28"/>
          <w:szCs w:val="28"/>
        </w:rPr>
        <w:t xml:space="preserve">оправдателната присъда се дължи в голяма степен на неправилно квалифициране на деянието с обвинителния акт, т.е. </w:t>
      </w:r>
      <w:r w:rsidRPr="0023213C">
        <w:rPr>
          <w:rFonts w:ascii="Times New Roman" w:hAnsi="Times New Roman" w:cs="Times New Roman"/>
          <w:b/>
          <w:i/>
          <w:sz w:val="28"/>
          <w:szCs w:val="28"/>
          <w:u w:val="single"/>
        </w:rPr>
        <w:t>по т. 1 от Приложение № 5.</w:t>
      </w:r>
    </w:p>
    <w:p w14:paraId="39E88882" w14:textId="77777777" w:rsidR="0023213C" w:rsidRPr="0023213C" w:rsidRDefault="0023213C" w:rsidP="00FC76F9">
      <w:pPr>
        <w:spacing w:after="0" w:line="240" w:lineRule="auto"/>
        <w:ind w:firstLine="993"/>
        <w:jc w:val="both"/>
        <w:rPr>
          <w:rFonts w:ascii="Times New Roman" w:hAnsi="Times New Roman" w:cs="Times New Roman"/>
          <w:sz w:val="28"/>
          <w:szCs w:val="28"/>
        </w:rPr>
      </w:pPr>
    </w:p>
    <w:p w14:paraId="28C9B2CD" w14:textId="77777777" w:rsidR="0023213C" w:rsidRPr="0023213C" w:rsidRDefault="0023213C" w:rsidP="00FC76F9">
      <w:pPr>
        <w:spacing w:after="0" w:line="240" w:lineRule="auto"/>
        <w:ind w:firstLine="993"/>
        <w:jc w:val="both"/>
        <w:rPr>
          <w:rFonts w:ascii="Times New Roman" w:hAnsi="Times New Roman" w:cs="Times New Roman"/>
          <w:b/>
          <w:sz w:val="28"/>
          <w:szCs w:val="28"/>
        </w:rPr>
      </w:pPr>
      <w:r w:rsidRPr="0023213C">
        <w:rPr>
          <w:rFonts w:ascii="Times New Roman" w:hAnsi="Times New Roman" w:cs="Times New Roman"/>
          <w:b/>
          <w:sz w:val="28"/>
          <w:szCs w:val="28"/>
        </w:rPr>
        <w:t xml:space="preserve">3. Оправдателна присъда № 40/08.12.2021 год. по НОХД № 195/2021 год. на РС – Лом. </w:t>
      </w:r>
    </w:p>
    <w:p w14:paraId="5CDD3890"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НОХД № 195/2021 год. по описа на РС - Лом е образувано по внесен от МРП - ТОЛ обвинителен акт срещу Н. Й. Н., за престъпление по чл. 354в, ал. 1 от НК.</w:t>
      </w:r>
    </w:p>
    <w:p w14:paraId="2DCFE134"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С присъда  по НОХД № 195/2021 год. на РС – Лом, Нинов е признат за НЕВИНОВЕН по повдигнатото му обвинение. Присъдата е протестирана и потвърдена с Въззивно решение  на ОС - Монтана от 09.03.2022 год.</w:t>
      </w:r>
    </w:p>
    <w:p w14:paraId="1AFF4928"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По време на съдебното следствие са събрани нови доказателства:  при извършен разпит на вещото лице, експертът е заявил, че намереното засадено и иззето растение, което реагира на коноп ( марихуана ) с нето тегло 510 гр. се е било самозасадило от семка, която констатация в хода на досъдебното производство не е била отразена; подсъдимият е заявил, че не е полагал грижи за отглеждане на растението;</w:t>
      </w:r>
    </w:p>
    <w:p w14:paraId="4EA63F06" w14:textId="77777777" w:rsidR="0023213C" w:rsidRPr="0023213C" w:rsidRDefault="0023213C" w:rsidP="00FC76F9">
      <w:pPr>
        <w:spacing w:after="0" w:line="240" w:lineRule="auto"/>
        <w:ind w:firstLine="993"/>
        <w:jc w:val="both"/>
        <w:rPr>
          <w:rFonts w:ascii="Times New Roman" w:hAnsi="Times New Roman" w:cs="Times New Roman"/>
          <w:b/>
          <w:i/>
          <w:sz w:val="28"/>
          <w:szCs w:val="28"/>
          <w:u w:val="single"/>
        </w:rPr>
      </w:pPr>
      <w:r w:rsidRPr="0023213C">
        <w:rPr>
          <w:rFonts w:ascii="Times New Roman" w:hAnsi="Times New Roman" w:cs="Times New Roman"/>
          <w:sz w:val="28"/>
          <w:szCs w:val="28"/>
        </w:rPr>
        <w:t xml:space="preserve">Според прокурора от РП – Монтана, отговарящ за „НСН“, </w:t>
      </w:r>
      <w:r w:rsidRPr="0023213C">
        <w:rPr>
          <w:rFonts w:ascii="Times New Roman" w:hAnsi="Times New Roman" w:cs="Times New Roman"/>
          <w:b/>
          <w:i/>
          <w:sz w:val="28"/>
          <w:szCs w:val="28"/>
        </w:rPr>
        <w:t xml:space="preserve">оправдателната присъда се дължи в голяма степен на събирането на нови доказателства в съдебната фаза, които не са могли да бъдат установени на досъдебното производство, т.е. по </w:t>
      </w:r>
      <w:r w:rsidRPr="0023213C">
        <w:rPr>
          <w:rFonts w:ascii="Times New Roman" w:hAnsi="Times New Roman" w:cs="Times New Roman"/>
          <w:b/>
          <w:i/>
          <w:sz w:val="28"/>
          <w:szCs w:val="28"/>
          <w:u w:val="single"/>
        </w:rPr>
        <w:t xml:space="preserve">т. 4 от Приложение № 5. </w:t>
      </w:r>
    </w:p>
    <w:p w14:paraId="5ACCAB8F" w14:textId="77777777" w:rsidR="0023213C" w:rsidRPr="0023213C" w:rsidRDefault="0023213C" w:rsidP="00FC76F9">
      <w:pPr>
        <w:spacing w:after="0" w:line="240" w:lineRule="auto"/>
        <w:ind w:firstLine="993"/>
        <w:jc w:val="both"/>
        <w:rPr>
          <w:rFonts w:ascii="Times New Roman" w:hAnsi="Times New Roman" w:cs="Times New Roman"/>
          <w:sz w:val="28"/>
          <w:szCs w:val="28"/>
        </w:rPr>
      </w:pPr>
    </w:p>
    <w:p w14:paraId="03D3C0EB" w14:textId="77777777" w:rsidR="00547E6E" w:rsidRDefault="00547E6E" w:rsidP="00FC76F9">
      <w:pPr>
        <w:spacing w:after="0" w:line="240" w:lineRule="auto"/>
        <w:ind w:firstLine="993"/>
        <w:jc w:val="both"/>
        <w:rPr>
          <w:rFonts w:ascii="Times New Roman" w:hAnsi="Times New Roman" w:cs="Times New Roman"/>
          <w:b/>
          <w:sz w:val="28"/>
          <w:szCs w:val="28"/>
        </w:rPr>
      </w:pPr>
    </w:p>
    <w:p w14:paraId="78DE79BE"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b/>
          <w:sz w:val="28"/>
          <w:szCs w:val="28"/>
        </w:rPr>
        <w:lastRenderedPageBreak/>
        <w:t>4. Оправдателно решение № 126/07.12.2021 год. по АНД № 1271/2021 год. на РС – Монтана</w:t>
      </w:r>
      <w:r w:rsidRPr="0023213C">
        <w:rPr>
          <w:rFonts w:ascii="Times New Roman" w:hAnsi="Times New Roman" w:cs="Times New Roman"/>
          <w:sz w:val="28"/>
          <w:szCs w:val="28"/>
        </w:rPr>
        <w:t>.</w:t>
      </w:r>
    </w:p>
    <w:p w14:paraId="09F16457"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АНД № 1271/2021 год. на РС - Монтана е било образувано по внесено предложение от РП – Монтана за освобождаване от наказателна отговорност с налагане на административно наказание на обвиняемата А. Г. И.  по повдигнатото  обвинение за престъпление по чл. 227б, ал. 2 вр. с ал. 1 от НК. С Решение от 07.12.2021 год. Районен съд – Монтана е признал обвиняемата за НЕВИНОВНА.</w:t>
      </w:r>
    </w:p>
    <w:p w14:paraId="0CA309E4"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Решението е протестирано и потвърдено с Решение № 29 по ВАНД № 29/2022 год. на ОС - Монтана от 28.03.2022 год.</w:t>
      </w:r>
    </w:p>
    <w:p w14:paraId="65BF30B7"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В хода на съдебното следствие са събрани нови доказателства - важен свидетел е променил показанията си, както и вещото лице е променило съществено изготвеното заключение.</w:t>
      </w:r>
    </w:p>
    <w:p w14:paraId="72BCC1DB" w14:textId="77777777" w:rsidR="0023213C" w:rsidRPr="0023213C" w:rsidRDefault="0023213C" w:rsidP="00FC76F9">
      <w:pPr>
        <w:spacing w:after="0" w:line="240" w:lineRule="auto"/>
        <w:ind w:firstLine="993"/>
        <w:jc w:val="both"/>
        <w:rPr>
          <w:rFonts w:ascii="Times New Roman" w:hAnsi="Times New Roman" w:cs="Times New Roman"/>
          <w:b/>
          <w:i/>
          <w:sz w:val="28"/>
          <w:szCs w:val="28"/>
          <w:u w:val="single"/>
        </w:rPr>
      </w:pPr>
      <w:r w:rsidRPr="0023213C">
        <w:rPr>
          <w:rFonts w:ascii="Times New Roman" w:hAnsi="Times New Roman" w:cs="Times New Roman"/>
          <w:sz w:val="28"/>
          <w:szCs w:val="28"/>
        </w:rPr>
        <w:t xml:space="preserve">Според прокурора от РП – Монтана, отговарящ за „НСН“, </w:t>
      </w:r>
      <w:r w:rsidRPr="0023213C">
        <w:rPr>
          <w:rFonts w:ascii="Times New Roman" w:hAnsi="Times New Roman" w:cs="Times New Roman"/>
          <w:b/>
          <w:i/>
          <w:sz w:val="28"/>
          <w:szCs w:val="28"/>
        </w:rPr>
        <w:t xml:space="preserve">оправдателното решение се дължи на събирането на нови доказателства в съдебната фаза, които не са могли да бъдат установени на досъдебното производство, т.е. </w:t>
      </w:r>
      <w:r w:rsidRPr="0023213C">
        <w:rPr>
          <w:rFonts w:ascii="Times New Roman" w:hAnsi="Times New Roman" w:cs="Times New Roman"/>
          <w:b/>
          <w:i/>
          <w:sz w:val="28"/>
          <w:szCs w:val="28"/>
          <w:u w:val="single"/>
        </w:rPr>
        <w:t>по т. 4 от Приложение № 5.</w:t>
      </w:r>
    </w:p>
    <w:p w14:paraId="4E65E58B" w14:textId="77777777" w:rsidR="0023213C" w:rsidRPr="0023213C" w:rsidRDefault="0023213C" w:rsidP="00FC76F9">
      <w:pPr>
        <w:spacing w:after="0" w:line="240" w:lineRule="auto"/>
        <w:ind w:firstLine="993"/>
        <w:jc w:val="both"/>
        <w:rPr>
          <w:rFonts w:ascii="Times New Roman" w:hAnsi="Times New Roman" w:cs="Times New Roman"/>
          <w:sz w:val="28"/>
          <w:szCs w:val="28"/>
        </w:rPr>
      </w:pPr>
    </w:p>
    <w:p w14:paraId="3623F06B"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b/>
          <w:sz w:val="28"/>
          <w:szCs w:val="28"/>
        </w:rPr>
        <w:t>5. Оправдателна присъда № 16/19.04.2022 год. по НОХД № 557/2021 год. на РС – Лом.</w:t>
      </w:r>
    </w:p>
    <w:p w14:paraId="1BCB1A6E"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НОХД № 557/2021 год. по описа на РС - Лом е образувано по внесен от РП - Лом обвинителен срещу Е. Б. Е. за престъпление по чл. 339, ал. 1 от НК.</w:t>
      </w:r>
    </w:p>
    <w:p w14:paraId="59C1B478"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С присъда № 16/19.04.2022 год. РС – Лом е признал подсъдимия за НЕВИНОВЕН по повдигнатото му обвинение. Присъдата е протестирана и потвърдена с Въззивно решение на ОС - Монтана от 16. 06. 2022 год.</w:t>
      </w:r>
    </w:p>
    <w:p w14:paraId="77353682"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Съдът е констатирал, че престъплението, за което е повдигнато обвинение, не е доказано по безспорен и категоричен начин авторството на деянието, т.е. липсват безспорни и категорични доказателства за съпричастност на обвиняемия да е извършил престъплението, в което е обвинен.</w:t>
      </w:r>
    </w:p>
    <w:p w14:paraId="4F790E0A" w14:textId="77777777" w:rsidR="0023213C" w:rsidRPr="0023213C" w:rsidRDefault="0023213C" w:rsidP="00FC76F9">
      <w:pPr>
        <w:spacing w:after="0" w:line="240" w:lineRule="auto"/>
        <w:ind w:firstLine="993"/>
        <w:jc w:val="both"/>
        <w:rPr>
          <w:rFonts w:ascii="Times New Roman" w:hAnsi="Times New Roman" w:cs="Times New Roman"/>
          <w:b/>
          <w:i/>
          <w:sz w:val="28"/>
          <w:szCs w:val="28"/>
          <w:u w:val="single"/>
        </w:rPr>
      </w:pPr>
      <w:r w:rsidRPr="0023213C">
        <w:rPr>
          <w:rFonts w:ascii="Times New Roman" w:hAnsi="Times New Roman" w:cs="Times New Roman"/>
          <w:sz w:val="28"/>
          <w:szCs w:val="28"/>
        </w:rPr>
        <w:t xml:space="preserve">Според прокурора от РП – Монтана, отговарящ за „НСН“, </w:t>
      </w:r>
      <w:r w:rsidRPr="0023213C">
        <w:rPr>
          <w:rFonts w:ascii="Times New Roman" w:hAnsi="Times New Roman" w:cs="Times New Roman"/>
          <w:b/>
          <w:i/>
          <w:sz w:val="28"/>
          <w:szCs w:val="28"/>
        </w:rPr>
        <w:t xml:space="preserve">оправдателната присъда се дължи в голяма степен на неправилно квалифициране на деянието с обвинителния акт, т.е. </w:t>
      </w:r>
      <w:r w:rsidRPr="0023213C">
        <w:rPr>
          <w:rFonts w:ascii="Times New Roman" w:hAnsi="Times New Roman" w:cs="Times New Roman"/>
          <w:b/>
          <w:i/>
          <w:sz w:val="28"/>
          <w:szCs w:val="28"/>
          <w:u w:val="single"/>
        </w:rPr>
        <w:t>по т. 1 от Приложение № 5.</w:t>
      </w:r>
    </w:p>
    <w:p w14:paraId="721C765D" w14:textId="77777777" w:rsidR="0023213C" w:rsidRPr="0023213C" w:rsidRDefault="0023213C" w:rsidP="00FC76F9">
      <w:pPr>
        <w:spacing w:after="0" w:line="240" w:lineRule="auto"/>
        <w:ind w:firstLine="993"/>
        <w:jc w:val="both"/>
        <w:rPr>
          <w:rFonts w:ascii="Times New Roman" w:hAnsi="Times New Roman" w:cs="Times New Roman"/>
          <w:sz w:val="28"/>
          <w:szCs w:val="28"/>
        </w:rPr>
      </w:pPr>
    </w:p>
    <w:p w14:paraId="48F5BABB" w14:textId="77777777" w:rsidR="0023213C" w:rsidRPr="0023213C" w:rsidRDefault="0023213C" w:rsidP="00FC76F9">
      <w:pPr>
        <w:spacing w:after="0" w:line="240" w:lineRule="auto"/>
        <w:ind w:firstLine="993"/>
        <w:jc w:val="both"/>
        <w:rPr>
          <w:rFonts w:ascii="Times New Roman" w:hAnsi="Times New Roman" w:cs="Times New Roman"/>
          <w:b/>
          <w:sz w:val="28"/>
          <w:szCs w:val="28"/>
        </w:rPr>
      </w:pPr>
      <w:r w:rsidRPr="0023213C">
        <w:rPr>
          <w:rFonts w:ascii="Times New Roman" w:hAnsi="Times New Roman" w:cs="Times New Roman"/>
          <w:b/>
          <w:sz w:val="28"/>
          <w:szCs w:val="28"/>
        </w:rPr>
        <w:t>6. Оправдателно решение № 47 по ВАНД № 197/2022 год. на ОС - Монтана от 06.07.2022 год.</w:t>
      </w:r>
    </w:p>
    <w:p w14:paraId="160975F9"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АНД № 269/2021 год. на РС - Лом е било образувано по внесено предложение от РП – Монтана за освобождаване от наказателна отговорност с налагане на административно наказание на обвиняемия Й. Ц. Й. по повдигнатото му обвинение за престъпление по чл. 345, ал. 1 от НК. С Решение № 4/29.06.2021 год.  Районен съд – Лом е признал обвиняемия за ВИНОВЕН.</w:t>
      </w:r>
    </w:p>
    <w:p w14:paraId="03FF835D"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lastRenderedPageBreak/>
        <w:t>Решението е обжалвано от обвиняемия и с Решение № 47 по ВАНД № 197/2022 год. на ОС - Монтана от 06.07.2022 год. въззивния съд е оправдал Йорданов на основание чл. 9, ал. 2 от НК.</w:t>
      </w:r>
    </w:p>
    <w:p w14:paraId="7C5F3935"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Въззивният съд е приел, че деянието макар и формално да осъществява престъпния състав на повдигнатото обвинение, бележи ниска степен на обществена опасност, поради което не съставлява престъпление от общ характер, административно нарушение.</w:t>
      </w:r>
    </w:p>
    <w:p w14:paraId="6C22AFD2" w14:textId="77777777" w:rsidR="0023213C" w:rsidRPr="0023213C" w:rsidRDefault="0023213C" w:rsidP="00FC76F9">
      <w:pPr>
        <w:spacing w:after="0" w:line="240" w:lineRule="auto"/>
        <w:ind w:firstLine="993"/>
        <w:jc w:val="both"/>
        <w:rPr>
          <w:rFonts w:ascii="Times New Roman" w:hAnsi="Times New Roman" w:cs="Times New Roman"/>
          <w:b/>
          <w:i/>
          <w:sz w:val="28"/>
          <w:szCs w:val="28"/>
        </w:rPr>
      </w:pPr>
      <w:r w:rsidRPr="0023213C">
        <w:rPr>
          <w:rFonts w:ascii="Times New Roman" w:hAnsi="Times New Roman" w:cs="Times New Roman"/>
          <w:sz w:val="28"/>
          <w:szCs w:val="28"/>
        </w:rPr>
        <w:t xml:space="preserve">Според прокурора от РП – Монтана, отговарящ за „НСН“, </w:t>
      </w:r>
      <w:r w:rsidRPr="0023213C">
        <w:rPr>
          <w:rFonts w:ascii="Times New Roman" w:hAnsi="Times New Roman" w:cs="Times New Roman"/>
          <w:b/>
          <w:i/>
          <w:sz w:val="28"/>
          <w:szCs w:val="28"/>
        </w:rPr>
        <w:t xml:space="preserve">оправдателното решение се дължи в голяма степен на противоречива съдебна практика, промяна на доминиращата практика или други обстоятелства, свързани с тълкуването на закона, които не компрометират тезата на прокурора, внесъл обвинителния акт или поддържал обвинението, т.е. по </w:t>
      </w:r>
      <w:r w:rsidRPr="0023213C">
        <w:rPr>
          <w:rFonts w:ascii="Times New Roman" w:hAnsi="Times New Roman" w:cs="Times New Roman"/>
          <w:b/>
          <w:i/>
          <w:sz w:val="28"/>
          <w:szCs w:val="28"/>
          <w:u w:val="single"/>
        </w:rPr>
        <w:t>т. 5 от Приложение № 5.</w:t>
      </w:r>
    </w:p>
    <w:p w14:paraId="09BFF803" w14:textId="77777777" w:rsidR="0023213C" w:rsidRPr="0023213C" w:rsidRDefault="0023213C" w:rsidP="00FC76F9">
      <w:pPr>
        <w:spacing w:after="0" w:line="240" w:lineRule="auto"/>
        <w:ind w:firstLine="993"/>
        <w:jc w:val="both"/>
        <w:rPr>
          <w:rFonts w:ascii="Times New Roman" w:hAnsi="Times New Roman" w:cs="Times New Roman"/>
          <w:b/>
          <w:i/>
          <w:sz w:val="28"/>
          <w:szCs w:val="28"/>
        </w:rPr>
      </w:pPr>
    </w:p>
    <w:p w14:paraId="249A5426"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b/>
          <w:sz w:val="28"/>
          <w:szCs w:val="28"/>
        </w:rPr>
        <w:t>7. Оправдателно решение № 89/11.07.2022 год. по АНД № 546/2021 год. на РС – Лом от 11.07.2022 год.</w:t>
      </w:r>
    </w:p>
    <w:p w14:paraId="4F9AED1A"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АНД № 546/2021 год. на РС - Лом е било образувано по внесено предложение от РП – Монтана за освобождаване от наказателна отговорност с налагане на административно наказание на обвиняемия В. Р. Й. по повдигнатото му обвинение за престъпление по чл. 345, ал. 2 вр. с ал. 1 от НК. С Решение от 11.07.2022 год. Районен съд – Лом е признал обвиняемият за НЕВИНОВЕН.</w:t>
      </w:r>
    </w:p>
    <w:p w14:paraId="0586DA3D"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Решението не е протестирано и е влязло в сила от 26.07.2022 год.</w:t>
      </w:r>
    </w:p>
    <w:p w14:paraId="216EF6D5"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Съдът е признал обвиняемия за невинен, прилагайки разпоредбата на чл. 9, ал.2 от НК – явна незначителната обществена опасност на деянието и дееца.</w:t>
      </w:r>
    </w:p>
    <w:p w14:paraId="39000459" w14:textId="77777777" w:rsidR="0023213C" w:rsidRPr="0023213C" w:rsidRDefault="0023213C" w:rsidP="00FC76F9">
      <w:pPr>
        <w:spacing w:after="0" w:line="240" w:lineRule="auto"/>
        <w:ind w:firstLine="993"/>
        <w:jc w:val="both"/>
        <w:rPr>
          <w:rFonts w:ascii="Times New Roman" w:hAnsi="Times New Roman" w:cs="Times New Roman"/>
          <w:b/>
          <w:i/>
          <w:sz w:val="28"/>
          <w:szCs w:val="28"/>
          <w:u w:val="single"/>
        </w:rPr>
      </w:pPr>
      <w:r w:rsidRPr="0023213C">
        <w:rPr>
          <w:rFonts w:ascii="Times New Roman" w:hAnsi="Times New Roman" w:cs="Times New Roman"/>
          <w:sz w:val="28"/>
          <w:szCs w:val="28"/>
        </w:rPr>
        <w:t xml:space="preserve">Според прокурора от РП – Монтана, отговарящ за „НСН“, </w:t>
      </w:r>
      <w:r w:rsidRPr="0023213C">
        <w:rPr>
          <w:rFonts w:ascii="Times New Roman" w:hAnsi="Times New Roman" w:cs="Times New Roman"/>
          <w:b/>
          <w:i/>
          <w:sz w:val="28"/>
          <w:szCs w:val="28"/>
        </w:rPr>
        <w:t xml:space="preserve">оправдателното решение се дължи на противоречива съдебна практика, промяна на доминиращата практика или други обстоятелства, свързани с тълкуването на закона, които не компрометират тезата на прокурора, внесъл обвинителния акт или поддържал обвинението, т.е. </w:t>
      </w:r>
      <w:r w:rsidRPr="0023213C">
        <w:rPr>
          <w:rFonts w:ascii="Times New Roman" w:hAnsi="Times New Roman" w:cs="Times New Roman"/>
          <w:b/>
          <w:i/>
          <w:sz w:val="28"/>
          <w:szCs w:val="28"/>
          <w:u w:val="single"/>
        </w:rPr>
        <w:t>по т. 5 от Приложение № 5.</w:t>
      </w:r>
    </w:p>
    <w:p w14:paraId="50B3A24C" w14:textId="77777777" w:rsidR="0023213C" w:rsidRPr="0023213C" w:rsidRDefault="0023213C" w:rsidP="00FC76F9">
      <w:pPr>
        <w:spacing w:after="0" w:line="240" w:lineRule="auto"/>
        <w:ind w:firstLine="993"/>
        <w:jc w:val="both"/>
        <w:rPr>
          <w:rFonts w:ascii="Times New Roman" w:hAnsi="Times New Roman" w:cs="Times New Roman"/>
          <w:sz w:val="28"/>
          <w:szCs w:val="28"/>
        </w:rPr>
      </w:pPr>
    </w:p>
    <w:p w14:paraId="166620E4" w14:textId="77777777" w:rsidR="0023213C" w:rsidRPr="0023213C" w:rsidRDefault="0023213C" w:rsidP="00FC76F9">
      <w:pPr>
        <w:spacing w:after="0" w:line="240" w:lineRule="auto"/>
        <w:jc w:val="both"/>
        <w:rPr>
          <w:rFonts w:ascii="Times New Roman" w:hAnsi="Times New Roman" w:cs="Times New Roman"/>
          <w:sz w:val="28"/>
          <w:szCs w:val="28"/>
        </w:rPr>
      </w:pPr>
      <w:r w:rsidRPr="0023213C">
        <w:rPr>
          <w:rFonts w:ascii="Times New Roman" w:hAnsi="Times New Roman" w:cs="Times New Roman"/>
          <w:b/>
          <w:sz w:val="28"/>
          <w:szCs w:val="28"/>
        </w:rPr>
        <w:t xml:space="preserve">           8. Оправдателна присъда № 260023/16.12.2021 год. по НОХД № 1685/2020 год. на РС – Монтана</w:t>
      </w:r>
      <w:r w:rsidRPr="0023213C">
        <w:rPr>
          <w:rFonts w:ascii="Times New Roman" w:hAnsi="Times New Roman" w:cs="Times New Roman"/>
          <w:sz w:val="28"/>
          <w:szCs w:val="28"/>
        </w:rPr>
        <w:t>.</w:t>
      </w:r>
    </w:p>
    <w:p w14:paraId="67089827"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НОХД № 1685/2020 год. по описа на РС - Монтана е било образувано по внесен от РП – Монтана обвинителен акт срещу Н. Я. В. за престъпление по чл. 234, ал. 1 от НК.</w:t>
      </w:r>
    </w:p>
    <w:p w14:paraId="4FC1FB64"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С присъда  по НОХД № 1685/2020 год., РС – Монтана е признал подсъдимата за НЕВИНОВНА по повдигнатото ѝ обвинение. Присъдата е протестирана и потвърдена с Въззивно решение № 71 по ВНОХД № 28/2022 год. на ОС - Монтана от 29.07.2022 год.</w:t>
      </w:r>
    </w:p>
    <w:p w14:paraId="5FD60265"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 xml:space="preserve">  В съдебно заседание са назначени и изготвени две повторни органолептични експертизи, в резултат на които се е променило заключението относно годността на намерения и иззет тютюн – т.е. същият е станал негоден предмет на престъплението, респ. на обвинението, което от своя страна е дало </w:t>
      </w:r>
      <w:r w:rsidRPr="0023213C">
        <w:rPr>
          <w:rFonts w:ascii="Times New Roman" w:hAnsi="Times New Roman" w:cs="Times New Roman"/>
          <w:sz w:val="28"/>
          <w:szCs w:val="28"/>
        </w:rPr>
        <w:lastRenderedPageBreak/>
        <w:t>основание на съда да приеме, че обвинението не е доказано по несъмнен начин.</w:t>
      </w:r>
    </w:p>
    <w:p w14:paraId="3026B914" w14:textId="77777777" w:rsidR="0023213C" w:rsidRPr="0023213C" w:rsidRDefault="0023213C" w:rsidP="00FC76F9">
      <w:pPr>
        <w:spacing w:after="0" w:line="240" w:lineRule="auto"/>
        <w:ind w:firstLine="993"/>
        <w:jc w:val="both"/>
        <w:rPr>
          <w:rFonts w:ascii="Times New Roman" w:hAnsi="Times New Roman" w:cs="Times New Roman"/>
          <w:b/>
          <w:i/>
          <w:sz w:val="28"/>
          <w:szCs w:val="28"/>
        </w:rPr>
      </w:pPr>
      <w:r w:rsidRPr="0023213C">
        <w:rPr>
          <w:rFonts w:ascii="Times New Roman" w:hAnsi="Times New Roman" w:cs="Times New Roman"/>
          <w:sz w:val="28"/>
          <w:szCs w:val="28"/>
        </w:rPr>
        <w:t xml:space="preserve">Според прокурора от РП – Монтана, отговарящ за „НСН“, </w:t>
      </w:r>
      <w:r w:rsidRPr="0023213C">
        <w:rPr>
          <w:rFonts w:ascii="Times New Roman" w:hAnsi="Times New Roman" w:cs="Times New Roman"/>
          <w:b/>
          <w:i/>
          <w:sz w:val="28"/>
          <w:szCs w:val="28"/>
        </w:rPr>
        <w:t xml:space="preserve">оправдателната присъда се дължи в голяма степен събирането на нови доказателства в съдебната фаза, които не са могли да бъдат установени на досъдебното, т.е. </w:t>
      </w:r>
      <w:r w:rsidRPr="0023213C">
        <w:rPr>
          <w:rFonts w:ascii="Times New Roman" w:hAnsi="Times New Roman" w:cs="Times New Roman"/>
          <w:b/>
          <w:i/>
          <w:sz w:val="28"/>
          <w:szCs w:val="28"/>
          <w:u w:val="single"/>
        </w:rPr>
        <w:t>по т. 4 от Приложение № 5.</w:t>
      </w:r>
    </w:p>
    <w:p w14:paraId="58970CAE" w14:textId="77777777" w:rsidR="0023213C" w:rsidRPr="0023213C" w:rsidRDefault="0023213C" w:rsidP="00FC76F9">
      <w:pPr>
        <w:spacing w:after="0" w:line="240" w:lineRule="auto"/>
        <w:ind w:firstLine="993"/>
        <w:jc w:val="both"/>
        <w:rPr>
          <w:rFonts w:ascii="Times New Roman" w:hAnsi="Times New Roman" w:cs="Times New Roman"/>
          <w:b/>
          <w:i/>
          <w:sz w:val="28"/>
          <w:szCs w:val="28"/>
        </w:rPr>
      </w:pPr>
    </w:p>
    <w:p w14:paraId="35CE55F0"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b/>
          <w:sz w:val="28"/>
          <w:szCs w:val="28"/>
        </w:rPr>
        <w:t>9. Оправдателна присъда 11/27.04.2021 год. по НОХД № 1958/2019 год. на РС – Монтана</w:t>
      </w:r>
      <w:r w:rsidRPr="0023213C">
        <w:rPr>
          <w:rFonts w:ascii="Times New Roman" w:hAnsi="Times New Roman" w:cs="Times New Roman"/>
          <w:sz w:val="28"/>
          <w:szCs w:val="28"/>
        </w:rPr>
        <w:t>.</w:t>
      </w:r>
    </w:p>
    <w:p w14:paraId="47C3B326"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НОХД № 1958/2019 год. по описа на РС - Монтана е било образувано по внесен от РП – Монтана обвинителен акт срещу П. Р. Ц., за престъпление по чл. 131, ал.1, т. 12, прдл. 2 вр. с чл. 129, ал. 2 вр. с ал. 1  от НК.</w:t>
      </w:r>
    </w:p>
    <w:p w14:paraId="39BCA647"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С присъда по НОХД № 1958/2019 год., РС – Монтана е признал подсъдимия за НЕВИНОВЕН по повдигнатото му обвинение. Присъдата е протестирана и потвърдена с Въззивно решение на ОС - Монтана от 09. 08. 2022 год.</w:t>
      </w:r>
    </w:p>
    <w:p w14:paraId="1543B3BC"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И двете съдебни инстанции са приели, че извършеното деяние не е доказано по безспорен и категоричен начин, което обаче по никакъв начин не компрометира тезата на прокурора, внесъл обвинителния акт и го поддържал в хода на съдебното следствие.</w:t>
      </w:r>
    </w:p>
    <w:p w14:paraId="6152E0C7" w14:textId="77777777" w:rsidR="0023213C" w:rsidRPr="0023213C" w:rsidRDefault="0023213C" w:rsidP="00FC76F9">
      <w:pPr>
        <w:spacing w:after="0" w:line="240" w:lineRule="auto"/>
        <w:ind w:firstLine="993"/>
        <w:jc w:val="both"/>
        <w:rPr>
          <w:rFonts w:ascii="Times New Roman" w:hAnsi="Times New Roman" w:cs="Times New Roman"/>
          <w:b/>
          <w:i/>
          <w:sz w:val="28"/>
          <w:szCs w:val="28"/>
        </w:rPr>
      </w:pPr>
      <w:r w:rsidRPr="0023213C">
        <w:rPr>
          <w:rFonts w:ascii="Times New Roman" w:hAnsi="Times New Roman" w:cs="Times New Roman"/>
          <w:sz w:val="28"/>
          <w:szCs w:val="28"/>
        </w:rPr>
        <w:t xml:space="preserve">Според прокурора от РП – Монтана, отговарящ за „НСН“, </w:t>
      </w:r>
      <w:r w:rsidRPr="0023213C">
        <w:rPr>
          <w:rFonts w:ascii="Times New Roman" w:hAnsi="Times New Roman" w:cs="Times New Roman"/>
          <w:b/>
          <w:i/>
          <w:sz w:val="28"/>
          <w:szCs w:val="28"/>
        </w:rPr>
        <w:t xml:space="preserve">оправдателната присъда се дължи на противоречива съдебна практика, промяна на доминиращата практика или други обстоятелства, свързани с тълкуването на закона, които не компрометират тезата на прокурора, внесъл обвинителния акт или поддържал обвинението, т.е. </w:t>
      </w:r>
      <w:r w:rsidRPr="0023213C">
        <w:rPr>
          <w:rFonts w:ascii="Times New Roman" w:hAnsi="Times New Roman" w:cs="Times New Roman"/>
          <w:b/>
          <w:i/>
          <w:sz w:val="28"/>
          <w:szCs w:val="28"/>
          <w:u w:val="single"/>
        </w:rPr>
        <w:t>по т. 5 от Приложение № 5.</w:t>
      </w:r>
    </w:p>
    <w:p w14:paraId="438615F3" w14:textId="77777777" w:rsidR="0023213C" w:rsidRPr="0023213C" w:rsidRDefault="0023213C" w:rsidP="00FC76F9">
      <w:pPr>
        <w:spacing w:after="0" w:line="240" w:lineRule="auto"/>
        <w:ind w:firstLine="993"/>
        <w:jc w:val="both"/>
        <w:rPr>
          <w:rFonts w:ascii="Times New Roman" w:hAnsi="Times New Roman" w:cs="Times New Roman"/>
          <w:sz w:val="28"/>
          <w:szCs w:val="28"/>
        </w:rPr>
      </w:pPr>
    </w:p>
    <w:p w14:paraId="0A04D516" w14:textId="77777777" w:rsidR="0023213C" w:rsidRPr="0023213C" w:rsidRDefault="0023213C" w:rsidP="00FC76F9">
      <w:pPr>
        <w:spacing w:after="0" w:line="240" w:lineRule="auto"/>
        <w:jc w:val="both"/>
        <w:rPr>
          <w:rFonts w:ascii="Times New Roman" w:hAnsi="Times New Roman" w:cs="Times New Roman"/>
          <w:sz w:val="28"/>
          <w:szCs w:val="28"/>
        </w:rPr>
      </w:pPr>
      <w:r w:rsidRPr="0023213C">
        <w:rPr>
          <w:rFonts w:ascii="Times New Roman" w:hAnsi="Times New Roman" w:cs="Times New Roman"/>
          <w:b/>
          <w:sz w:val="28"/>
          <w:szCs w:val="28"/>
        </w:rPr>
        <w:t xml:space="preserve">             10. Оправдателна присъда  по НОХД № 192/2019 год. на РС – Лом</w:t>
      </w:r>
      <w:r w:rsidRPr="0023213C">
        <w:rPr>
          <w:rFonts w:ascii="Times New Roman" w:hAnsi="Times New Roman" w:cs="Times New Roman"/>
          <w:sz w:val="28"/>
          <w:szCs w:val="28"/>
        </w:rPr>
        <w:t>.</w:t>
      </w:r>
    </w:p>
    <w:p w14:paraId="766F5D3E"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НОХД № 192/2019 год. по описа на РС - Лом е било образувано по внесен от РП – Монтана обвинителен акт срещу К. М. К. ,за престъпление по чл. 195, ал. 1, т. 3 и т. 7 от НК.</w:t>
      </w:r>
    </w:p>
    <w:p w14:paraId="295912D4"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С присъда по НОХД № 192/2019год., РС – Лом е признал подсъдимия за НЕВИНОВЕН по повдигнатото му обвинение, тъй като е приел, че обвинението е недоказано по безспорен и категоричен начин. Присъдата е протестирана и потвърдена с Въззивно решение № 98 по ВНОХД № 148/2022 год. на ОС - Монтана от 10.11.2022 год.</w:t>
      </w:r>
    </w:p>
    <w:p w14:paraId="593419DE" w14:textId="77777777" w:rsidR="0023213C" w:rsidRPr="0023213C" w:rsidRDefault="0023213C" w:rsidP="00FC76F9">
      <w:pPr>
        <w:spacing w:after="0" w:line="240" w:lineRule="auto"/>
        <w:ind w:firstLine="993"/>
        <w:jc w:val="both"/>
        <w:rPr>
          <w:rFonts w:ascii="Times New Roman" w:hAnsi="Times New Roman" w:cs="Times New Roman"/>
          <w:sz w:val="28"/>
          <w:szCs w:val="28"/>
        </w:rPr>
      </w:pPr>
      <w:r w:rsidRPr="0023213C">
        <w:rPr>
          <w:rFonts w:ascii="Times New Roman" w:hAnsi="Times New Roman" w:cs="Times New Roman"/>
          <w:sz w:val="28"/>
          <w:szCs w:val="28"/>
        </w:rPr>
        <w:t>Въззивният съд е констатирал, че обвинението е доказано безспорно и категорично, но с оглед дългия период на провеждане на съдебния процес ( не по вина на подсъдимия ) и ниската стойност на отнетото имущество, е оправдал подсъдимия на основание разпоредбата на чл. 9, ал. 2 от НК – явно незначителната обществена опасност на конкретното деяние..</w:t>
      </w:r>
    </w:p>
    <w:p w14:paraId="3ED14519" w14:textId="77777777" w:rsidR="0023213C" w:rsidRPr="0023213C" w:rsidRDefault="0023213C" w:rsidP="00FC76F9">
      <w:pPr>
        <w:spacing w:after="0" w:line="240" w:lineRule="auto"/>
        <w:ind w:firstLine="993"/>
        <w:jc w:val="both"/>
        <w:rPr>
          <w:rFonts w:ascii="Times New Roman" w:hAnsi="Times New Roman" w:cs="Times New Roman"/>
          <w:b/>
          <w:i/>
          <w:sz w:val="28"/>
          <w:szCs w:val="28"/>
        </w:rPr>
      </w:pPr>
      <w:r w:rsidRPr="0023213C">
        <w:rPr>
          <w:rFonts w:ascii="Times New Roman" w:hAnsi="Times New Roman" w:cs="Times New Roman"/>
          <w:sz w:val="28"/>
          <w:szCs w:val="28"/>
        </w:rPr>
        <w:t xml:space="preserve">Според прокурора от РП – Монтана, отговарящ за „НСН“, </w:t>
      </w:r>
      <w:r w:rsidRPr="0023213C">
        <w:rPr>
          <w:rFonts w:ascii="Times New Roman" w:hAnsi="Times New Roman" w:cs="Times New Roman"/>
          <w:b/>
          <w:i/>
          <w:sz w:val="28"/>
          <w:szCs w:val="28"/>
        </w:rPr>
        <w:t xml:space="preserve">оправдателната присъда се дължи на противоречива съдебна практика, промяна на доминиращата практика или други обстоятелства, свързани с тълкуването на закона, които не компрометират тезата на прокурора, </w:t>
      </w:r>
      <w:r w:rsidRPr="0023213C">
        <w:rPr>
          <w:rFonts w:ascii="Times New Roman" w:hAnsi="Times New Roman" w:cs="Times New Roman"/>
          <w:b/>
          <w:i/>
          <w:sz w:val="28"/>
          <w:szCs w:val="28"/>
        </w:rPr>
        <w:lastRenderedPageBreak/>
        <w:t xml:space="preserve">внесъл обвинителния акт или поддържал обвинението, т.е. по </w:t>
      </w:r>
      <w:r w:rsidRPr="0023213C">
        <w:rPr>
          <w:rFonts w:ascii="Times New Roman" w:hAnsi="Times New Roman" w:cs="Times New Roman"/>
          <w:b/>
          <w:i/>
          <w:sz w:val="28"/>
          <w:szCs w:val="28"/>
          <w:u w:val="single"/>
        </w:rPr>
        <w:t>т. 5 от Приложение № 5.</w:t>
      </w:r>
    </w:p>
    <w:p w14:paraId="7D5495B0" w14:textId="77777777" w:rsidR="0023213C" w:rsidRPr="0023213C" w:rsidRDefault="0023213C" w:rsidP="00FC76F9">
      <w:pPr>
        <w:spacing w:line="240" w:lineRule="auto"/>
        <w:ind w:firstLine="993"/>
        <w:jc w:val="both"/>
        <w:rPr>
          <w:sz w:val="28"/>
          <w:szCs w:val="28"/>
        </w:rPr>
      </w:pPr>
    </w:p>
    <w:p w14:paraId="30FF7753" w14:textId="77777777" w:rsidR="0023213C" w:rsidRPr="0023213C" w:rsidRDefault="0023213C" w:rsidP="00FC76F9">
      <w:pPr>
        <w:spacing w:after="0" w:line="240" w:lineRule="auto"/>
        <w:jc w:val="both"/>
        <w:rPr>
          <w:rFonts w:ascii="Times New Roman" w:eastAsia="Times New Roman" w:hAnsi="Times New Roman" w:cs="Times New Roman"/>
          <w:b/>
          <w:i/>
          <w:smallCaps/>
          <w:sz w:val="28"/>
          <w:szCs w:val="28"/>
        </w:rPr>
      </w:pPr>
      <w:r w:rsidRPr="0023213C">
        <w:rPr>
          <w:sz w:val="28"/>
          <w:szCs w:val="28"/>
        </w:rPr>
        <w:t xml:space="preserve">         </w:t>
      </w:r>
      <w:r w:rsidRPr="0023213C">
        <w:rPr>
          <w:rFonts w:ascii="Times New Roman" w:eastAsia="Times New Roman" w:hAnsi="Times New Roman" w:cs="Times New Roman"/>
          <w:b/>
          <w:i/>
          <w:smallCaps/>
          <w:sz w:val="28"/>
          <w:szCs w:val="28"/>
        </w:rPr>
        <w:t xml:space="preserve">Обобщен анализ  на причините за постановяване на влезлите в сила и подробно посочени оправдателни  присъди. </w:t>
      </w:r>
    </w:p>
    <w:p w14:paraId="539184B1" w14:textId="77777777" w:rsidR="0023213C" w:rsidRPr="0023213C" w:rsidRDefault="0023213C" w:rsidP="00FC76F9">
      <w:pPr>
        <w:spacing w:after="0" w:line="240" w:lineRule="auto"/>
        <w:ind w:firstLine="709"/>
        <w:jc w:val="both"/>
        <w:rPr>
          <w:rFonts w:ascii="Times New Roman" w:eastAsia="Times New Roman" w:hAnsi="Times New Roman" w:cs="Times New Roman"/>
          <w:sz w:val="28"/>
          <w:szCs w:val="28"/>
        </w:rPr>
      </w:pPr>
    </w:p>
    <w:p w14:paraId="109C5677" w14:textId="77777777" w:rsidR="0023213C" w:rsidRPr="0023213C" w:rsidRDefault="0023213C" w:rsidP="00FC76F9">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През 2022  година, както и за предходните  два отчетни периода, няма значими НОХД, които да са приключили с оправдателна присъда.</w:t>
      </w:r>
    </w:p>
    <w:p w14:paraId="58ADD6BD" w14:textId="77777777" w:rsidR="0023213C" w:rsidRPr="0023213C" w:rsidRDefault="0023213C" w:rsidP="00FC76F9">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По начало причините за този неблагоприятен за прокуратурата  изход по наказателните дела, се определят така: грешки и пропуски, допуснати </w:t>
      </w:r>
      <w:r w:rsidRPr="0023213C">
        <w:rPr>
          <w:rFonts w:ascii="Times New Roman" w:eastAsia="Times New Roman" w:hAnsi="Times New Roman" w:cs="Times New Roman"/>
          <w:i/>
          <w:sz w:val="28"/>
          <w:szCs w:val="28"/>
        </w:rPr>
        <w:t>в досъдебното производство</w:t>
      </w:r>
      <w:r w:rsidRPr="0023213C">
        <w:rPr>
          <w:rFonts w:ascii="Times New Roman" w:eastAsia="Times New Roman" w:hAnsi="Times New Roman" w:cs="Times New Roman"/>
          <w:sz w:val="28"/>
          <w:szCs w:val="28"/>
        </w:rPr>
        <w:t xml:space="preserve">; обстоятелства, настъпили </w:t>
      </w:r>
      <w:r w:rsidRPr="0023213C">
        <w:rPr>
          <w:rFonts w:ascii="Times New Roman" w:eastAsia="Times New Roman" w:hAnsi="Times New Roman" w:cs="Times New Roman"/>
          <w:i/>
          <w:sz w:val="28"/>
          <w:szCs w:val="28"/>
        </w:rPr>
        <w:t xml:space="preserve">в съдебна фаза- представени нови доказателства </w:t>
      </w:r>
      <w:r w:rsidRPr="0023213C">
        <w:rPr>
          <w:rFonts w:ascii="Times New Roman" w:eastAsia="Times New Roman" w:hAnsi="Times New Roman" w:cs="Times New Roman"/>
          <w:sz w:val="28"/>
          <w:szCs w:val="28"/>
        </w:rPr>
        <w:t>- през този отчетен период –</w:t>
      </w:r>
      <w:r w:rsidRPr="0023213C">
        <w:rPr>
          <w:rFonts w:ascii="Times New Roman" w:eastAsia="Times New Roman" w:hAnsi="Times New Roman" w:cs="Times New Roman"/>
          <w:sz w:val="28"/>
          <w:szCs w:val="28"/>
          <w:u w:val="single"/>
        </w:rPr>
        <w:t>3 броя оправдателни</w:t>
      </w:r>
      <w:r w:rsidRPr="0023213C">
        <w:rPr>
          <w:rFonts w:ascii="Times New Roman" w:eastAsia="Times New Roman" w:hAnsi="Times New Roman" w:cs="Times New Roman"/>
          <w:sz w:val="28"/>
          <w:szCs w:val="28"/>
        </w:rPr>
        <w:t xml:space="preserve"> присъди са постановени  по тази причина;  </w:t>
      </w:r>
      <w:r w:rsidRPr="0023213C">
        <w:rPr>
          <w:rFonts w:ascii="Times New Roman" w:eastAsia="Times New Roman" w:hAnsi="Times New Roman" w:cs="Times New Roman"/>
          <w:i/>
          <w:sz w:val="28"/>
          <w:szCs w:val="28"/>
        </w:rPr>
        <w:t>други</w:t>
      </w:r>
      <w:r w:rsidRPr="0023213C">
        <w:rPr>
          <w:rFonts w:ascii="Times New Roman" w:eastAsia="Times New Roman" w:hAnsi="Times New Roman" w:cs="Times New Roman"/>
          <w:sz w:val="28"/>
          <w:szCs w:val="28"/>
        </w:rPr>
        <w:t xml:space="preserve"> причини, които могат да бъдат и най-често са - промяна на доминиращата практика без компрометиране тезата на прокурора-   7 броя оправдателни присъди – 2 броя  по  дела на ОП-Монтана и 5 броя по дела на РП- Монтана, </w:t>
      </w:r>
      <w:r w:rsidRPr="0023213C">
        <w:rPr>
          <w:rFonts w:ascii="Times New Roman" w:eastAsia="Times New Roman" w:hAnsi="Times New Roman" w:cs="Times New Roman"/>
          <w:i/>
          <w:sz w:val="28"/>
          <w:szCs w:val="28"/>
        </w:rPr>
        <w:t>различна интерпретация</w:t>
      </w:r>
      <w:r w:rsidRPr="0023213C">
        <w:rPr>
          <w:rFonts w:ascii="Times New Roman" w:eastAsia="Times New Roman" w:hAnsi="Times New Roman" w:cs="Times New Roman"/>
          <w:sz w:val="28"/>
          <w:szCs w:val="28"/>
        </w:rPr>
        <w:t xml:space="preserve"> на доказателствата-  няма през настоящия отчетен период. </w:t>
      </w:r>
    </w:p>
    <w:p w14:paraId="201403C1" w14:textId="77777777" w:rsidR="0023213C" w:rsidRPr="0023213C" w:rsidRDefault="0023213C" w:rsidP="00FC76F9">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Причините  за оправдателните актове на съда в регион – Монтана за отчетния период могат да бъдат обобщени така /по честота/:</w:t>
      </w:r>
    </w:p>
    <w:p w14:paraId="3AE0B697" w14:textId="77777777" w:rsidR="0023213C" w:rsidRPr="0023213C" w:rsidRDefault="0023213C" w:rsidP="00FC76F9">
      <w:pPr>
        <w:spacing w:after="0" w:line="240" w:lineRule="auto"/>
        <w:jc w:val="both"/>
        <w:rPr>
          <w:rFonts w:ascii="Times New Roman" w:eastAsia="Times New Roman" w:hAnsi="Times New Roman" w:cs="Times New Roman"/>
          <w:sz w:val="28"/>
          <w:szCs w:val="28"/>
        </w:rPr>
      </w:pPr>
      <w:r w:rsidRPr="0023213C">
        <w:rPr>
          <w:rFonts w:ascii="Times New Roman" w:eastAsia="Times New Roman" w:hAnsi="Times New Roman" w:cs="Times New Roman"/>
          <w:b/>
          <w:i/>
          <w:sz w:val="28"/>
          <w:szCs w:val="28"/>
        </w:rPr>
        <w:t xml:space="preserve">                  -  Промяна на доминиращата практика, без компрометиране тезата на прокурора,</w:t>
      </w:r>
      <w:r w:rsidRPr="0023213C">
        <w:rPr>
          <w:rFonts w:ascii="Times New Roman" w:eastAsia="Times New Roman" w:hAnsi="Times New Roman" w:cs="Times New Roman"/>
          <w:sz w:val="28"/>
          <w:szCs w:val="28"/>
        </w:rPr>
        <w:t xml:space="preserve"> свързана с различна интерпретация на доказателствата и противоречива съдебна практика –  7</w:t>
      </w:r>
      <w:r w:rsidRPr="0023213C">
        <w:rPr>
          <w:rFonts w:ascii="Times New Roman" w:eastAsia="Times New Roman" w:hAnsi="Times New Roman" w:cs="Times New Roman"/>
          <w:sz w:val="28"/>
          <w:szCs w:val="28"/>
          <w:u w:val="single"/>
        </w:rPr>
        <w:t xml:space="preserve"> броя</w:t>
      </w:r>
      <w:r w:rsidRPr="0023213C">
        <w:rPr>
          <w:rFonts w:ascii="Times New Roman" w:eastAsia="Times New Roman" w:hAnsi="Times New Roman" w:cs="Times New Roman"/>
          <w:sz w:val="28"/>
          <w:szCs w:val="28"/>
        </w:rPr>
        <w:t xml:space="preserve"> оправдателни присъди са постановени поради тази причина.</w:t>
      </w:r>
    </w:p>
    <w:p w14:paraId="59C99087" w14:textId="77777777" w:rsidR="0023213C" w:rsidRPr="0023213C" w:rsidRDefault="0023213C" w:rsidP="00FC76F9">
      <w:pPr>
        <w:spacing w:after="0" w:line="240" w:lineRule="auto"/>
        <w:jc w:val="both"/>
        <w:rPr>
          <w:rFonts w:ascii="Times New Roman" w:eastAsia="Times New Roman" w:hAnsi="Times New Roman" w:cs="Times New Roman"/>
          <w:sz w:val="28"/>
          <w:szCs w:val="28"/>
        </w:rPr>
      </w:pPr>
      <w:r w:rsidRPr="0023213C">
        <w:rPr>
          <w:rFonts w:ascii="Times New Roman" w:eastAsia="Times New Roman" w:hAnsi="Times New Roman" w:cs="Times New Roman"/>
          <w:b/>
          <w:i/>
          <w:sz w:val="28"/>
          <w:szCs w:val="28"/>
        </w:rPr>
        <w:t xml:space="preserve">           -  Неправилно квалифициране на деянието в обвинителния акт</w:t>
      </w:r>
      <w:r w:rsidRPr="0023213C">
        <w:rPr>
          <w:rFonts w:ascii="Times New Roman" w:eastAsia="Times New Roman" w:hAnsi="Times New Roman" w:cs="Times New Roman"/>
          <w:sz w:val="28"/>
          <w:szCs w:val="28"/>
        </w:rPr>
        <w:t xml:space="preserve"> - по тази причина по</w:t>
      </w:r>
      <w:r w:rsidRPr="0023213C">
        <w:rPr>
          <w:rFonts w:ascii="Times New Roman" w:eastAsia="Times New Roman" w:hAnsi="Times New Roman" w:cs="Times New Roman"/>
          <w:sz w:val="28"/>
          <w:szCs w:val="28"/>
          <w:u w:val="single"/>
        </w:rPr>
        <w:t xml:space="preserve"> 2 съдебни акта-  </w:t>
      </w:r>
      <w:r w:rsidRPr="0023213C">
        <w:rPr>
          <w:rFonts w:ascii="Times New Roman" w:eastAsia="Times New Roman" w:hAnsi="Times New Roman" w:cs="Times New Roman"/>
          <w:sz w:val="28"/>
          <w:szCs w:val="28"/>
        </w:rPr>
        <w:t xml:space="preserve"> се е достигнало до оправдателен резултат. </w:t>
      </w:r>
    </w:p>
    <w:p w14:paraId="24BA646F" w14:textId="77777777" w:rsidR="0023213C" w:rsidRPr="0023213C" w:rsidRDefault="0023213C" w:rsidP="00FC76F9">
      <w:pPr>
        <w:spacing w:after="0" w:line="240" w:lineRule="auto"/>
        <w:jc w:val="both"/>
        <w:rPr>
          <w:rFonts w:ascii="Times New Roman" w:eastAsia="Times New Roman" w:hAnsi="Times New Roman" w:cs="Times New Roman"/>
          <w:sz w:val="28"/>
          <w:szCs w:val="28"/>
        </w:rPr>
      </w:pPr>
      <w:r w:rsidRPr="0023213C">
        <w:rPr>
          <w:rFonts w:ascii="Times New Roman" w:eastAsia="Times New Roman" w:hAnsi="Times New Roman" w:cs="Times New Roman"/>
          <w:b/>
          <w:i/>
          <w:sz w:val="28"/>
          <w:szCs w:val="28"/>
        </w:rPr>
        <w:t xml:space="preserve">              -Представяне на нови доказателства в съдебна фаза</w:t>
      </w:r>
      <w:r w:rsidRPr="0023213C">
        <w:rPr>
          <w:rFonts w:ascii="Times New Roman" w:eastAsia="Times New Roman" w:hAnsi="Times New Roman" w:cs="Times New Roman"/>
          <w:sz w:val="28"/>
          <w:szCs w:val="28"/>
        </w:rPr>
        <w:t xml:space="preserve"> е причина за постановяването на </w:t>
      </w:r>
      <w:r w:rsidRPr="0023213C">
        <w:rPr>
          <w:rFonts w:ascii="Times New Roman" w:eastAsia="Times New Roman" w:hAnsi="Times New Roman" w:cs="Times New Roman"/>
          <w:sz w:val="28"/>
          <w:szCs w:val="28"/>
          <w:u w:val="single"/>
        </w:rPr>
        <w:t>2 броя</w:t>
      </w:r>
      <w:r w:rsidRPr="0023213C">
        <w:rPr>
          <w:rFonts w:ascii="Times New Roman" w:eastAsia="Times New Roman" w:hAnsi="Times New Roman" w:cs="Times New Roman"/>
          <w:sz w:val="28"/>
          <w:szCs w:val="28"/>
        </w:rPr>
        <w:t xml:space="preserve"> оправдателни присъди и </w:t>
      </w:r>
      <w:r w:rsidRPr="0023213C">
        <w:rPr>
          <w:rFonts w:ascii="Times New Roman" w:eastAsia="Times New Roman" w:hAnsi="Times New Roman" w:cs="Times New Roman"/>
          <w:sz w:val="28"/>
          <w:szCs w:val="28"/>
          <w:u w:val="single"/>
        </w:rPr>
        <w:t>1 брой</w:t>
      </w:r>
      <w:r w:rsidRPr="0023213C">
        <w:rPr>
          <w:rFonts w:ascii="Times New Roman" w:eastAsia="Times New Roman" w:hAnsi="Times New Roman" w:cs="Times New Roman"/>
          <w:sz w:val="28"/>
          <w:szCs w:val="28"/>
        </w:rPr>
        <w:t xml:space="preserve"> оправдателно решение.</w:t>
      </w:r>
    </w:p>
    <w:p w14:paraId="1DABC48D" w14:textId="77777777" w:rsidR="0023213C" w:rsidRPr="0023213C" w:rsidRDefault="0023213C" w:rsidP="00FC76F9">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Не търпи промяна заявяваното и  в предходни отчети за предишни периоди, че разследващите органи не винаги осигуряват пълнота на доказателствения материал, не винаги гарантират нужните обективност, всестранност и пълнота на разследването,  допускат  сериозни пропуски и нарушения на НПК при провежданите разпити и оформяне на протоколите и другите документи. Вярно е това, че наблюдаващият прокурор може и сам да извърши всички необходими процесуално-следствени действия, за да е сигурен, че след внасяне на обвинителния акт в съдебната фаза няма да настъпи съществена промяна, която да доведе до оправдателна присъда. Но при наличните му  и други задачи, регламентирани в НПК , не  е възможно да върши и работа, поначало регламентирана за други органи и присъща на същите. Не следва да се абсолютизира възведената в НПК възможност за прокурора да извършва сам нужните процесуално-следствени действия.</w:t>
      </w:r>
    </w:p>
    <w:p w14:paraId="61A020F9" w14:textId="77777777" w:rsidR="0023213C" w:rsidRPr="0023213C" w:rsidRDefault="0023213C" w:rsidP="00FC76F9">
      <w:pPr>
        <w:spacing w:after="0" w:line="240" w:lineRule="auto"/>
        <w:ind w:firstLine="709"/>
        <w:jc w:val="both"/>
        <w:rPr>
          <w:rFonts w:ascii="Times New Roman" w:eastAsia="Times New Roman" w:hAnsi="Times New Roman" w:cs="Times New Roman"/>
          <w:sz w:val="24"/>
          <w:szCs w:val="24"/>
          <w:lang w:val="en-US"/>
        </w:rPr>
      </w:pPr>
    </w:p>
    <w:p w14:paraId="571DE2CC" w14:textId="77777777" w:rsidR="0023213C" w:rsidRPr="0023213C" w:rsidRDefault="0023213C" w:rsidP="00FC76F9">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Arial"/>
          <w:b/>
          <w:i/>
          <w:color w:val="000000"/>
          <w:sz w:val="28"/>
          <w:u w:val="single"/>
          <w:lang w:eastAsia="bg-BG"/>
        </w:rPr>
      </w:pPr>
      <w:bookmarkStart w:id="39" w:name="_Toc127370260"/>
      <w:r w:rsidRPr="0023213C">
        <w:rPr>
          <w:rFonts w:ascii="Times New Roman" w:eastAsia="Calibri" w:hAnsi="Times New Roman" w:cs="Times New Roman"/>
          <w:b/>
          <w:i/>
          <w:color w:val="000000"/>
          <w:sz w:val="28"/>
          <w:lang w:eastAsia="bg-BG"/>
        </w:rPr>
        <w:lastRenderedPageBreak/>
        <w:t>2.3. Протести - въззивни и касационни. Относителен дял на уважените протести от разгледаните от съда. Протести срещу оправдателни присъди. Съпоставка и анализ.</w:t>
      </w:r>
      <w:bookmarkEnd w:id="39"/>
    </w:p>
    <w:p w14:paraId="30928CFE" w14:textId="77777777" w:rsidR="0023213C" w:rsidRPr="0023213C" w:rsidRDefault="0023213C" w:rsidP="00FC76F9">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През 2022 година са подадени общо </w:t>
      </w:r>
      <w:r w:rsidRPr="0023213C">
        <w:rPr>
          <w:rFonts w:ascii="Times New Roman" w:eastAsia="Times New Roman" w:hAnsi="Times New Roman" w:cs="Times New Roman"/>
          <w:b/>
          <w:sz w:val="28"/>
          <w:szCs w:val="28"/>
        </w:rPr>
        <w:t>18 броя протести</w:t>
      </w:r>
      <w:r w:rsidRPr="0023213C">
        <w:rPr>
          <w:rFonts w:ascii="Times New Roman" w:eastAsia="Times New Roman" w:hAnsi="Times New Roman" w:cs="Times New Roman"/>
          <w:sz w:val="28"/>
          <w:szCs w:val="28"/>
        </w:rPr>
        <w:t xml:space="preserve">, всички </w:t>
      </w:r>
      <w:r w:rsidRPr="0023213C">
        <w:rPr>
          <w:rFonts w:ascii="Times New Roman" w:eastAsia="Times New Roman" w:hAnsi="Times New Roman" w:cs="Times New Roman"/>
          <w:i/>
          <w:sz w:val="28"/>
          <w:szCs w:val="28"/>
        </w:rPr>
        <w:t>въззивни.</w:t>
      </w:r>
      <w:r w:rsidRPr="0023213C">
        <w:rPr>
          <w:rFonts w:ascii="Times New Roman" w:eastAsia="Times New Roman" w:hAnsi="Times New Roman" w:cs="Times New Roman"/>
          <w:sz w:val="28"/>
          <w:szCs w:val="28"/>
        </w:rPr>
        <w:t xml:space="preserve"> Касационни няма подавани.</w:t>
      </w:r>
    </w:p>
    <w:p w14:paraId="0137C0CC" w14:textId="77777777" w:rsidR="0023213C" w:rsidRPr="0023213C" w:rsidRDefault="0023213C" w:rsidP="00FC76F9">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През 2021 година са подадени общо </w:t>
      </w:r>
      <w:r w:rsidRPr="0023213C">
        <w:rPr>
          <w:rFonts w:ascii="Times New Roman" w:eastAsia="Times New Roman" w:hAnsi="Times New Roman" w:cs="Times New Roman"/>
          <w:b/>
          <w:sz w:val="28"/>
          <w:szCs w:val="28"/>
        </w:rPr>
        <w:t>30 броя</w:t>
      </w:r>
      <w:r w:rsidRPr="0023213C">
        <w:rPr>
          <w:rFonts w:ascii="Times New Roman" w:eastAsia="Times New Roman" w:hAnsi="Times New Roman" w:cs="Times New Roman"/>
          <w:sz w:val="28"/>
          <w:szCs w:val="28"/>
        </w:rPr>
        <w:t xml:space="preserve"> </w:t>
      </w:r>
      <w:r w:rsidRPr="0023213C">
        <w:rPr>
          <w:rFonts w:ascii="Times New Roman" w:eastAsia="Times New Roman" w:hAnsi="Times New Roman" w:cs="Times New Roman"/>
          <w:b/>
          <w:sz w:val="28"/>
          <w:szCs w:val="28"/>
        </w:rPr>
        <w:t>протести</w:t>
      </w:r>
      <w:r w:rsidRPr="0023213C">
        <w:rPr>
          <w:rFonts w:ascii="Times New Roman" w:eastAsia="Times New Roman" w:hAnsi="Times New Roman" w:cs="Times New Roman"/>
          <w:sz w:val="28"/>
          <w:szCs w:val="28"/>
        </w:rPr>
        <w:t xml:space="preserve"> всички </w:t>
      </w:r>
      <w:r w:rsidRPr="0023213C">
        <w:rPr>
          <w:rFonts w:ascii="Times New Roman" w:eastAsia="Times New Roman" w:hAnsi="Times New Roman" w:cs="Times New Roman"/>
          <w:i/>
          <w:sz w:val="28"/>
          <w:szCs w:val="28"/>
        </w:rPr>
        <w:t>въззивни</w:t>
      </w:r>
      <w:r w:rsidRPr="0023213C">
        <w:rPr>
          <w:rFonts w:ascii="Times New Roman" w:eastAsia="Times New Roman" w:hAnsi="Times New Roman" w:cs="Times New Roman"/>
          <w:sz w:val="28"/>
          <w:szCs w:val="28"/>
        </w:rPr>
        <w:t>. Касационни няма подавани.</w:t>
      </w:r>
    </w:p>
    <w:p w14:paraId="52EC0163" w14:textId="77777777" w:rsidR="0023213C" w:rsidRPr="0023213C" w:rsidRDefault="0023213C" w:rsidP="00FC76F9">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През 2020 година са подадени</w:t>
      </w:r>
      <w:r w:rsidRPr="0023213C">
        <w:rPr>
          <w:rFonts w:ascii="Times New Roman" w:eastAsia="Times New Roman" w:hAnsi="Times New Roman" w:cs="Times New Roman"/>
          <w:sz w:val="28"/>
          <w:szCs w:val="28"/>
          <w:lang w:val="en-US"/>
        </w:rPr>
        <w:t xml:space="preserve"> </w:t>
      </w:r>
      <w:r w:rsidRPr="0023213C">
        <w:rPr>
          <w:rFonts w:ascii="Times New Roman" w:eastAsia="Times New Roman" w:hAnsi="Times New Roman" w:cs="Times New Roman"/>
          <w:sz w:val="28"/>
          <w:szCs w:val="28"/>
        </w:rPr>
        <w:t xml:space="preserve">общо </w:t>
      </w:r>
      <w:r w:rsidRPr="0023213C">
        <w:rPr>
          <w:rFonts w:ascii="Times New Roman" w:eastAsia="Times New Roman" w:hAnsi="Times New Roman" w:cs="Times New Roman"/>
          <w:b/>
          <w:sz w:val="28"/>
          <w:szCs w:val="28"/>
          <w:lang w:val="en-US"/>
        </w:rPr>
        <w:t xml:space="preserve">11 </w:t>
      </w:r>
      <w:r w:rsidRPr="0023213C">
        <w:rPr>
          <w:rFonts w:ascii="Times New Roman" w:eastAsia="Times New Roman" w:hAnsi="Times New Roman" w:cs="Times New Roman"/>
          <w:b/>
          <w:sz w:val="28"/>
          <w:szCs w:val="28"/>
        </w:rPr>
        <w:t>броя протести</w:t>
      </w:r>
      <w:r w:rsidRPr="0023213C">
        <w:rPr>
          <w:rFonts w:ascii="Times New Roman" w:eastAsia="Times New Roman" w:hAnsi="Times New Roman" w:cs="Times New Roman"/>
          <w:sz w:val="28"/>
          <w:szCs w:val="28"/>
        </w:rPr>
        <w:t xml:space="preserve">, всички </w:t>
      </w:r>
      <w:r w:rsidRPr="0023213C">
        <w:rPr>
          <w:rFonts w:ascii="Times New Roman" w:eastAsia="Times New Roman" w:hAnsi="Times New Roman" w:cs="Times New Roman"/>
          <w:i/>
          <w:sz w:val="28"/>
          <w:szCs w:val="28"/>
        </w:rPr>
        <w:t xml:space="preserve">въззивни. </w:t>
      </w:r>
      <w:r w:rsidRPr="0023213C">
        <w:rPr>
          <w:rFonts w:ascii="Times New Roman" w:eastAsia="Times New Roman" w:hAnsi="Times New Roman" w:cs="Times New Roman"/>
          <w:sz w:val="28"/>
          <w:szCs w:val="28"/>
        </w:rPr>
        <w:t>Касационни няма подавани.</w:t>
      </w:r>
    </w:p>
    <w:p w14:paraId="42FE2468" w14:textId="77777777" w:rsidR="0023213C" w:rsidRPr="0023213C" w:rsidRDefault="0023213C" w:rsidP="00FC76F9">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Съпоставката сочи </w:t>
      </w:r>
      <w:r w:rsidRPr="0023213C">
        <w:rPr>
          <w:rFonts w:ascii="Times New Roman" w:eastAsia="Times New Roman" w:hAnsi="Times New Roman" w:cs="Times New Roman"/>
          <w:i/>
          <w:sz w:val="28"/>
          <w:szCs w:val="28"/>
        </w:rPr>
        <w:t xml:space="preserve">на завишаване  </w:t>
      </w:r>
      <w:r w:rsidRPr="0023213C">
        <w:rPr>
          <w:rFonts w:ascii="Times New Roman" w:eastAsia="Times New Roman" w:hAnsi="Times New Roman" w:cs="Times New Roman"/>
          <w:sz w:val="28"/>
          <w:szCs w:val="28"/>
        </w:rPr>
        <w:t xml:space="preserve">на въззивните протести  спрямо 2020 година </w:t>
      </w:r>
      <w:r w:rsidRPr="0023213C">
        <w:rPr>
          <w:rFonts w:ascii="Times New Roman" w:eastAsia="Times New Roman" w:hAnsi="Times New Roman" w:cs="Times New Roman"/>
          <w:i/>
          <w:sz w:val="28"/>
          <w:szCs w:val="28"/>
        </w:rPr>
        <w:t>и занижаване</w:t>
      </w:r>
      <w:r w:rsidRPr="0023213C">
        <w:rPr>
          <w:rFonts w:ascii="Times New Roman" w:eastAsia="Times New Roman" w:hAnsi="Times New Roman" w:cs="Times New Roman"/>
          <w:sz w:val="28"/>
          <w:szCs w:val="28"/>
        </w:rPr>
        <w:t xml:space="preserve"> спрямо 2021 година. Касационните протести поначало се явяват рядкост. </w:t>
      </w:r>
    </w:p>
    <w:p w14:paraId="2AC78F3C" w14:textId="77777777" w:rsidR="0023213C" w:rsidRPr="0023213C" w:rsidRDefault="0023213C" w:rsidP="00FC76F9">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b/>
          <w:sz w:val="28"/>
          <w:szCs w:val="28"/>
        </w:rPr>
        <w:t xml:space="preserve">       14 броя от протестите </w:t>
      </w:r>
      <w:r w:rsidRPr="0023213C">
        <w:rPr>
          <w:rFonts w:ascii="Times New Roman" w:eastAsia="Times New Roman" w:hAnsi="Times New Roman" w:cs="Times New Roman"/>
          <w:sz w:val="28"/>
          <w:szCs w:val="28"/>
        </w:rPr>
        <w:t>за 2022 година са срещу изцяло или частично оправдателни присъди и решения. Относителният дял спрлямо решените дела е 2, 08 %.</w:t>
      </w:r>
    </w:p>
    <w:p w14:paraId="44CEC863" w14:textId="77777777" w:rsidR="0023213C" w:rsidRPr="0023213C" w:rsidRDefault="0023213C" w:rsidP="00FC76F9">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b/>
          <w:sz w:val="28"/>
          <w:szCs w:val="28"/>
        </w:rPr>
        <w:t xml:space="preserve">        11 броя от протестите </w:t>
      </w:r>
      <w:r w:rsidRPr="0023213C">
        <w:rPr>
          <w:rFonts w:ascii="Times New Roman" w:eastAsia="Times New Roman" w:hAnsi="Times New Roman" w:cs="Times New Roman"/>
          <w:sz w:val="28"/>
          <w:szCs w:val="28"/>
        </w:rPr>
        <w:t>за 2021 година са били  срещу изцяло или частично оправдателни присъди и решения. Относителният дял спрямо решените дела е 1,53 %.</w:t>
      </w:r>
    </w:p>
    <w:p w14:paraId="4BEA64C4" w14:textId="77777777" w:rsidR="0023213C" w:rsidRPr="0023213C" w:rsidRDefault="0023213C" w:rsidP="00FC76F9">
      <w:pPr>
        <w:spacing w:after="0" w:line="240" w:lineRule="auto"/>
        <w:ind w:firstLine="709"/>
        <w:jc w:val="both"/>
        <w:rPr>
          <w:rFonts w:ascii="Times New Roman" w:eastAsia="Times New Roman" w:hAnsi="Times New Roman" w:cs="Times New Roman"/>
          <w:b/>
          <w:sz w:val="28"/>
          <w:szCs w:val="28"/>
        </w:rPr>
      </w:pPr>
      <w:r w:rsidRPr="0023213C">
        <w:rPr>
          <w:rFonts w:ascii="Times New Roman" w:eastAsia="Times New Roman" w:hAnsi="Times New Roman" w:cs="Times New Roman"/>
          <w:b/>
          <w:sz w:val="28"/>
          <w:szCs w:val="28"/>
        </w:rPr>
        <w:t xml:space="preserve">        8 броя </w:t>
      </w:r>
      <w:r w:rsidRPr="0023213C">
        <w:rPr>
          <w:rFonts w:ascii="Times New Roman" w:eastAsia="Times New Roman" w:hAnsi="Times New Roman" w:cs="Times New Roman"/>
          <w:sz w:val="28"/>
          <w:szCs w:val="28"/>
        </w:rPr>
        <w:t>от протестите  за 2020 година са  били срещу изцяло или частгично оправдателни присъди и решения.</w:t>
      </w:r>
      <w:r w:rsidRPr="0023213C">
        <w:rPr>
          <w:rFonts w:ascii="Times New Roman" w:eastAsia="Times New Roman" w:hAnsi="Times New Roman" w:cs="Times New Roman"/>
          <w:b/>
          <w:sz w:val="28"/>
          <w:szCs w:val="28"/>
        </w:rPr>
        <w:t xml:space="preserve"> </w:t>
      </w:r>
      <w:r w:rsidRPr="0023213C">
        <w:rPr>
          <w:rFonts w:ascii="Times New Roman" w:eastAsia="Times New Roman" w:hAnsi="Times New Roman" w:cs="Times New Roman"/>
          <w:sz w:val="28"/>
          <w:szCs w:val="28"/>
        </w:rPr>
        <w:t>Относителният дял спрямо решените дела</w:t>
      </w:r>
      <w:r w:rsidRPr="0023213C">
        <w:rPr>
          <w:rFonts w:ascii="Times New Roman" w:eastAsia="Times New Roman" w:hAnsi="Times New Roman" w:cs="Times New Roman"/>
          <w:b/>
          <w:sz w:val="28"/>
          <w:szCs w:val="28"/>
        </w:rPr>
        <w:t xml:space="preserve">  е </w:t>
      </w:r>
      <w:r w:rsidRPr="0023213C">
        <w:rPr>
          <w:rFonts w:ascii="Times New Roman" w:eastAsia="Times New Roman" w:hAnsi="Times New Roman" w:cs="Times New Roman"/>
          <w:sz w:val="28"/>
          <w:szCs w:val="28"/>
        </w:rPr>
        <w:t>1, 07 %</w:t>
      </w:r>
      <w:r w:rsidRPr="0023213C">
        <w:rPr>
          <w:rFonts w:ascii="Times New Roman" w:eastAsia="Times New Roman" w:hAnsi="Times New Roman" w:cs="Times New Roman"/>
          <w:b/>
          <w:sz w:val="28"/>
          <w:szCs w:val="28"/>
        </w:rPr>
        <w:t>.</w:t>
      </w:r>
    </w:p>
    <w:p w14:paraId="7A289522" w14:textId="77777777" w:rsidR="0023213C" w:rsidRPr="0023213C" w:rsidRDefault="0023213C" w:rsidP="00FC76F9">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От съдилищата са разгледани</w:t>
      </w:r>
      <w:r w:rsidRPr="0023213C">
        <w:rPr>
          <w:rFonts w:ascii="Times New Roman" w:eastAsia="Times New Roman" w:hAnsi="Times New Roman" w:cs="Times New Roman"/>
          <w:b/>
          <w:sz w:val="28"/>
          <w:szCs w:val="28"/>
        </w:rPr>
        <w:t xml:space="preserve"> 15 броя протести / </w:t>
      </w:r>
      <w:r w:rsidRPr="0023213C">
        <w:rPr>
          <w:rFonts w:ascii="Times New Roman" w:eastAsia="Times New Roman" w:hAnsi="Times New Roman" w:cs="Times New Roman"/>
          <w:sz w:val="28"/>
          <w:szCs w:val="28"/>
        </w:rPr>
        <w:t xml:space="preserve">в т. ч. внесени в предходен период/, като </w:t>
      </w:r>
      <w:r w:rsidRPr="0023213C">
        <w:rPr>
          <w:rFonts w:ascii="Times New Roman" w:eastAsia="Times New Roman" w:hAnsi="Times New Roman" w:cs="Times New Roman"/>
          <w:i/>
          <w:sz w:val="28"/>
          <w:szCs w:val="28"/>
        </w:rPr>
        <w:t>са  уважени</w:t>
      </w:r>
      <w:r w:rsidRPr="0023213C">
        <w:rPr>
          <w:rFonts w:ascii="Times New Roman" w:eastAsia="Times New Roman" w:hAnsi="Times New Roman" w:cs="Times New Roman"/>
          <w:b/>
          <w:sz w:val="28"/>
          <w:szCs w:val="28"/>
        </w:rPr>
        <w:t xml:space="preserve"> 6 броя. </w:t>
      </w:r>
      <w:r w:rsidRPr="0023213C">
        <w:rPr>
          <w:rFonts w:ascii="Times New Roman" w:eastAsia="Times New Roman" w:hAnsi="Times New Roman" w:cs="Times New Roman"/>
          <w:sz w:val="28"/>
          <w:szCs w:val="28"/>
        </w:rPr>
        <w:t>Съотношението на уважените протести спрямо внесените е 33, 3 %.</w:t>
      </w:r>
    </w:p>
    <w:p w14:paraId="01EE22B4" w14:textId="77777777" w:rsidR="0023213C" w:rsidRPr="0023213C" w:rsidRDefault="0023213C" w:rsidP="00FC76F9">
      <w:pPr>
        <w:spacing w:after="0" w:line="240" w:lineRule="auto"/>
        <w:ind w:firstLine="709"/>
        <w:jc w:val="both"/>
        <w:rPr>
          <w:rFonts w:ascii="Times New Roman" w:eastAsia="Times New Roman" w:hAnsi="Times New Roman" w:cs="Times New Roman"/>
          <w:b/>
          <w:sz w:val="28"/>
          <w:szCs w:val="28"/>
        </w:rPr>
      </w:pPr>
      <w:r w:rsidRPr="0023213C">
        <w:rPr>
          <w:rFonts w:ascii="Times New Roman" w:eastAsia="Times New Roman" w:hAnsi="Times New Roman" w:cs="Times New Roman"/>
          <w:b/>
          <w:sz w:val="28"/>
          <w:szCs w:val="28"/>
        </w:rPr>
        <w:t xml:space="preserve">  </w:t>
      </w:r>
      <w:r w:rsidRPr="0023213C">
        <w:rPr>
          <w:rFonts w:ascii="Times New Roman" w:eastAsia="Times New Roman" w:hAnsi="Times New Roman" w:cs="Times New Roman"/>
          <w:sz w:val="28"/>
          <w:szCs w:val="28"/>
        </w:rPr>
        <w:t xml:space="preserve">     Предз 2021 година от съдилищата са разгледани </w:t>
      </w:r>
      <w:r w:rsidRPr="0023213C">
        <w:rPr>
          <w:rFonts w:ascii="Times New Roman" w:eastAsia="Times New Roman" w:hAnsi="Times New Roman" w:cs="Times New Roman"/>
          <w:b/>
          <w:sz w:val="28"/>
          <w:szCs w:val="28"/>
        </w:rPr>
        <w:t>26 броя протести</w:t>
      </w:r>
      <w:r w:rsidRPr="0023213C">
        <w:rPr>
          <w:rFonts w:ascii="Times New Roman" w:eastAsia="Times New Roman" w:hAnsi="Times New Roman" w:cs="Times New Roman"/>
          <w:sz w:val="28"/>
          <w:szCs w:val="28"/>
        </w:rPr>
        <w:t xml:space="preserve">/ в т. ч. -от предходен период/, като са </w:t>
      </w:r>
      <w:r w:rsidRPr="0023213C">
        <w:rPr>
          <w:rFonts w:ascii="Times New Roman" w:eastAsia="Times New Roman" w:hAnsi="Times New Roman" w:cs="Times New Roman"/>
          <w:i/>
          <w:sz w:val="28"/>
          <w:szCs w:val="28"/>
        </w:rPr>
        <w:t>уважени</w:t>
      </w:r>
      <w:r w:rsidRPr="0023213C">
        <w:rPr>
          <w:rFonts w:ascii="Times New Roman" w:eastAsia="Times New Roman" w:hAnsi="Times New Roman" w:cs="Times New Roman"/>
          <w:sz w:val="28"/>
          <w:szCs w:val="28"/>
        </w:rPr>
        <w:t xml:space="preserve"> </w:t>
      </w:r>
      <w:r w:rsidRPr="0023213C">
        <w:rPr>
          <w:rFonts w:ascii="Times New Roman" w:eastAsia="Times New Roman" w:hAnsi="Times New Roman" w:cs="Times New Roman"/>
          <w:b/>
          <w:sz w:val="28"/>
          <w:szCs w:val="28"/>
        </w:rPr>
        <w:t>8 броя</w:t>
      </w:r>
      <w:r w:rsidRPr="0023213C">
        <w:rPr>
          <w:rFonts w:ascii="Times New Roman" w:eastAsia="Times New Roman" w:hAnsi="Times New Roman" w:cs="Times New Roman"/>
          <w:sz w:val="28"/>
          <w:szCs w:val="28"/>
        </w:rPr>
        <w:t>. Съотношението на уважените протести спрямо внесените е 30 %</w:t>
      </w:r>
      <w:r w:rsidRPr="0023213C">
        <w:rPr>
          <w:rFonts w:ascii="Times New Roman" w:eastAsia="Times New Roman" w:hAnsi="Times New Roman" w:cs="Times New Roman"/>
          <w:b/>
          <w:sz w:val="28"/>
          <w:szCs w:val="28"/>
        </w:rPr>
        <w:t xml:space="preserve"> .</w:t>
      </w:r>
    </w:p>
    <w:p w14:paraId="27B615DB"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b/>
          <w:sz w:val="28"/>
          <w:szCs w:val="28"/>
        </w:rPr>
        <w:t xml:space="preserve">        </w:t>
      </w:r>
      <w:r w:rsidRPr="0023213C">
        <w:rPr>
          <w:rFonts w:ascii="Times New Roman" w:eastAsia="Times New Roman" w:hAnsi="Times New Roman" w:cs="Times New Roman"/>
          <w:sz w:val="28"/>
          <w:szCs w:val="28"/>
        </w:rPr>
        <w:t>През 2020 година</w:t>
      </w:r>
      <w:r w:rsidRPr="0023213C">
        <w:rPr>
          <w:rFonts w:ascii="Times New Roman" w:eastAsia="Times New Roman" w:hAnsi="Times New Roman" w:cs="Times New Roman"/>
          <w:b/>
          <w:sz w:val="28"/>
          <w:szCs w:val="28"/>
        </w:rPr>
        <w:t xml:space="preserve"> о</w:t>
      </w:r>
      <w:r w:rsidRPr="0023213C">
        <w:rPr>
          <w:rFonts w:ascii="Times New Roman" w:eastAsia="Times New Roman" w:hAnsi="Times New Roman" w:cs="Times New Roman"/>
          <w:sz w:val="28"/>
          <w:szCs w:val="28"/>
        </w:rPr>
        <w:t xml:space="preserve">т съдилищата са разгледани </w:t>
      </w:r>
      <w:r w:rsidRPr="0023213C">
        <w:rPr>
          <w:rFonts w:ascii="Times New Roman" w:eastAsia="Times New Roman" w:hAnsi="Times New Roman" w:cs="Times New Roman"/>
          <w:b/>
          <w:sz w:val="28"/>
          <w:szCs w:val="28"/>
        </w:rPr>
        <w:t xml:space="preserve">12 броя протести </w:t>
      </w:r>
      <w:r w:rsidRPr="0023213C">
        <w:rPr>
          <w:rFonts w:ascii="Times New Roman" w:eastAsia="Times New Roman" w:hAnsi="Times New Roman" w:cs="Times New Roman"/>
          <w:sz w:val="28"/>
          <w:szCs w:val="28"/>
        </w:rPr>
        <w:t>/в т.ч. и протести  от предходен период</w:t>
      </w:r>
      <w:r w:rsidRPr="0023213C">
        <w:rPr>
          <w:rFonts w:ascii="Times New Roman" w:eastAsia="Times New Roman" w:hAnsi="Times New Roman" w:cs="Times New Roman"/>
          <w:b/>
          <w:sz w:val="28"/>
          <w:szCs w:val="28"/>
        </w:rPr>
        <w:t xml:space="preserve">/, </w:t>
      </w:r>
      <w:r w:rsidRPr="0023213C">
        <w:rPr>
          <w:rFonts w:ascii="Times New Roman" w:eastAsia="Times New Roman" w:hAnsi="Times New Roman" w:cs="Times New Roman"/>
          <w:sz w:val="28"/>
          <w:szCs w:val="28"/>
        </w:rPr>
        <w:t xml:space="preserve">като са </w:t>
      </w:r>
      <w:r w:rsidRPr="0023213C">
        <w:rPr>
          <w:rFonts w:ascii="Times New Roman" w:eastAsia="Times New Roman" w:hAnsi="Times New Roman" w:cs="Times New Roman"/>
          <w:i/>
          <w:sz w:val="28"/>
          <w:szCs w:val="28"/>
        </w:rPr>
        <w:t>уважени</w:t>
      </w:r>
      <w:r w:rsidRPr="0023213C">
        <w:rPr>
          <w:rFonts w:ascii="Times New Roman" w:eastAsia="Times New Roman" w:hAnsi="Times New Roman" w:cs="Times New Roman"/>
          <w:b/>
          <w:sz w:val="28"/>
          <w:szCs w:val="28"/>
        </w:rPr>
        <w:t xml:space="preserve"> 4 броя. </w:t>
      </w:r>
      <w:r w:rsidRPr="0023213C">
        <w:rPr>
          <w:rFonts w:ascii="Times New Roman" w:eastAsia="Times New Roman" w:hAnsi="Times New Roman" w:cs="Times New Roman"/>
          <w:sz w:val="28"/>
          <w:szCs w:val="28"/>
        </w:rPr>
        <w:t>Съотношението  на уважените протести спрямо внесените е било 36 %.</w:t>
      </w:r>
    </w:p>
    <w:p w14:paraId="15F378ED" w14:textId="0F712A76" w:rsidR="00E903FC" w:rsidRPr="00E903FC" w:rsidRDefault="0023213C" w:rsidP="0023213C">
      <w:pPr>
        <w:spacing w:after="0" w:line="240" w:lineRule="auto"/>
        <w:ind w:firstLine="708"/>
        <w:jc w:val="both"/>
        <w:rPr>
          <w:rFonts w:ascii="Times New Roman" w:eastAsia="Calibri" w:hAnsi="Times New Roman" w:cs="Times New Roman"/>
          <w:sz w:val="28"/>
          <w:szCs w:val="28"/>
        </w:rPr>
      </w:pPr>
      <w:r w:rsidRPr="0023213C">
        <w:rPr>
          <w:rFonts w:ascii="Times New Roman" w:eastAsia="Times New Roman" w:hAnsi="Times New Roman" w:cs="Times New Roman"/>
          <w:sz w:val="28"/>
          <w:szCs w:val="28"/>
        </w:rPr>
        <w:t xml:space="preserve">         Анализът на данните сочи на  </w:t>
      </w:r>
      <w:r w:rsidRPr="0023213C">
        <w:rPr>
          <w:rFonts w:ascii="Times New Roman" w:eastAsia="Times New Roman" w:hAnsi="Times New Roman" w:cs="Times New Roman"/>
          <w:b/>
          <w:i/>
          <w:sz w:val="28"/>
          <w:szCs w:val="28"/>
        </w:rPr>
        <w:t>леко занижаване</w:t>
      </w:r>
      <w:r w:rsidRPr="0023213C">
        <w:rPr>
          <w:rFonts w:ascii="Times New Roman" w:eastAsia="Times New Roman" w:hAnsi="Times New Roman" w:cs="Times New Roman"/>
          <w:sz w:val="28"/>
          <w:szCs w:val="28"/>
        </w:rPr>
        <w:t xml:space="preserve"> броя на уважените протести спрямо 2021 година и на </w:t>
      </w:r>
      <w:r w:rsidRPr="0023213C">
        <w:rPr>
          <w:rFonts w:ascii="Times New Roman" w:eastAsia="Times New Roman" w:hAnsi="Times New Roman" w:cs="Times New Roman"/>
          <w:b/>
          <w:i/>
          <w:sz w:val="28"/>
          <w:szCs w:val="28"/>
        </w:rPr>
        <w:t>леко завишаване</w:t>
      </w:r>
      <w:r w:rsidRPr="0023213C">
        <w:rPr>
          <w:rFonts w:ascii="Times New Roman" w:eastAsia="Times New Roman" w:hAnsi="Times New Roman" w:cs="Times New Roman"/>
          <w:sz w:val="28"/>
          <w:szCs w:val="28"/>
        </w:rPr>
        <w:t xml:space="preserve"> спрямо 2020 година, но пък  броят разгледани протести за настоящия отчетен период е по-малък.</w:t>
      </w:r>
      <w:r w:rsidR="00E903FC" w:rsidRPr="00E903FC">
        <w:rPr>
          <w:rFonts w:ascii="Times New Roman" w:eastAsia="Calibri" w:hAnsi="Times New Roman" w:cs="Times New Roman"/>
          <w:sz w:val="28"/>
          <w:szCs w:val="28"/>
        </w:rPr>
        <w:t>ъдебните производства по следствения надзор.</w:t>
      </w:r>
    </w:p>
    <w:p w14:paraId="2518DF72" w14:textId="7E015AB3" w:rsidR="00EA25BC" w:rsidRDefault="00EA25BC" w:rsidP="00E903F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Times New Roman"/>
          <w:sz w:val="28"/>
          <w:szCs w:val="28"/>
        </w:rPr>
      </w:pPr>
    </w:p>
    <w:p w14:paraId="4DDDD221" w14:textId="77777777" w:rsidR="0023213C" w:rsidRPr="0023213C" w:rsidRDefault="0023213C" w:rsidP="0023213C">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color w:val="000000"/>
          <w:sz w:val="28"/>
          <w:u w:val="single"/>
          <w:lang w:eastAsia="bg-BG"/>
        </w:rPr>
      </w:pPr>
      <w:bookmarkStart w:id="40" w:name="_Toc127370261"/>
      <w:r w:rsidRPr="0023213C">
        <w:rPr>
          <w:rFonts w:ascii="Times New Roman" w:eastAsia="Calibri" w:hAnsi="Times New Roman" w:cs="Arial"/>
          <w:b/>
          <w:color w:val="000000"/>
          <w:sz w:val="28"/>
          <w:u w:val="single"/>
          <w:lang w:eastAsia="bg-BG"/>
        </w:rPr>
        <w:t>3. Гражданско – съдебен надзор.</w:t>
      </w:r>
      <w:bookmarkEnd w:id="40"/>
    </w:p>
    <w:p w14:paraId="51D32290" w14:textId="77777777" w:rsidR="0023213C" w:rsidRPr="0023213C" w:rsidRDefault="0023213C" w:rsidP="0023213C">
      <w:pPr>
        <w:spacing w:after="0" w:line="240" w:lineRule="auto"/>
        <w:ind w:firstLine="567"/>
        <w:jc w:val="both"/>
        <w:rPr>
          <w:rFonts w:ascii="Times New Roman" w:eastAsia="Times New Roman" w:hAnsi="Times New Roman" w:cs="Times New Roman"/>
          <w:sz w:val="28"/>
          <w:szCs w:val="28"/>
          <w:lang w:eastAsia="bg-BG"/>
        </w:rPr>
      </w:pPr>
    </w:p>
    <w:p w14:paraId="2BE1E1B4" w14:textId="77777777" w:rsidR="0023213C" w:rsidRPr="0023213C" w:rsidRDefault="0023213C" w:rsidP="0023213C">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i/>
          <w:color w:val="000000"/>
          <w:sz w:val="28"/>
          <w:lang w:eastAsia="bg-BG"/>
        </w:rPr>
      </w:pPr>
      <w:bookmarkStart w:id="41" w:name="_Toc127370262"/>
      <w:r w:rsidRPr="0023213C">
        <w:rPr>
          <w:rFonts w:ascii="Times New Roman" w:eastAsia="Calibri" w:hAnsi="Times New Roman" w:cs="Arial"/>
          <w:b/>
          <w:i/>
          <w:color w:val="000000"/>
          <w:sz w:val="28"/>
          <w:lang w:eastAsia="bg-BG"/>
        </w:rPr>
        <w:t>3.1. Състояние и организация на гражданско-съдебния надзор.</w:t>
      </w:r>
      <w:bookmarkEnd w:id="41"/>
    </w:p>
    <w:p w14:paraId="139C85BE"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През отчетния период прокурорите от Окръжна прокуратура - Монтана и от РП – Монтана, ТО - Лом и ТО - Берковица са продължили да осъществяват дейността си в защита на обществения и личен интерес в случаите, определени със закон. Във всички случаи, когато са сезирани или сами са установили предпоставките за предявяване на искове, прокурорите са реализирали правомощията си в тази насока. Организацията на работата по този надзор е свързана с останалите прокурорски надзори и почива на случайния принцип на разпределение на постъпващите материали и участието </w:t>
      </w:r>
      <w:r w:rsidRPr="0023213C">
        <w:rPr>
          <w:rFonts w:ascii="Times New Roman" w:eastAsia="Times New Roman" w:hAnsi="Times New Roman" w:cs="Times New Roman"/>
          <w:sz w:val="28"/>
          <w:szCs w:val="28"/>
        </w:rPr>
        <w:lastRenderedPageBreak/>
        <w:t xml:space="preserve">в съдебно заседание по граждански дела. Прокурорите участват активно в гражданските дела, с цел разкриване на обективната истина и защита на обществения интерес и този на отделните граждани. </w:t>
      </w:r>
    </w:p>
    <w:p w14:paraId="76C38B35"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Не са установени проблеми при прилагането на гражданските закони от прокурорите в региона.</w:t>
      </w:r>
    </w:p>
    <w:p w14:paraId="46C07181"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За обема и обхвата на дейността на Окръжна прокуратура - Монтана и Районна прокуратура - Монтана, вкл. ТО - Лом и ТО - Берковица по гражданско - съдебния надзор сочат следните данни:</w:t>
      </w:r>
    </w:p>
    <w:p w14:paraId="5FCF4870"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w:t>
      </w:r>
    </w:p>
    <w:p w14:paraId="2E1AE414" w14:textId="77777777" w:rsidR="0023213C" w:rsidRPr="0023213C" w:rsidRDefault="0023213C" w:rsidP="0023213C">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i/>
          <w:color w:val="000000"/>
          <w:sz w:val="28"/>
          <w:lang w:eastAsia="bg-BG"/>
        </w:rPr>
      </w:pPr>
      <w:bookmarkStart w:id="42" w:name="_Toc127370263"/>
      <w:r w:rsidRPr="0023213C">
        <w:rPr>
          <w:rFonts w:ascii="Times New Roman" w:eastAsia="Calibri" w:hAnsi="Times New Roman" w:cs="Arial"/>
          <w:b/>
          <w:i/>
          <w:color w:val="000000"/>
          <w:sz w:val="28"/>
          <w:lang w:eastAsia="bg-BG"/>
        </w:rPr>
        <w:t>3.2. Предявени искове от прокурора. Уважени и неуважени искове.</w:t>
      </w:r>
      <w:bookmarkEnd w:id="42"/>
    </w:p>
    <w:p w14:paraId="58ACA29D" w14:textId="77777777" w:rsidR="0023213C" w:rsidRPr="0023213C" w:rsidRDefault="0023213C" w:rsidP="0023213C">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color w:val="000000"/>
          <w:sz w:val="28"/>
          <w:lang w:val="en-US" w:eastAsia="bg-BG"/>
        </w:rPr>
      </w:pPr>
      <w:bookmarkStart w:id="43" w:name="_Toc127285383"/>
      <w:bookmarkStart w:id="44" w:name="_Toc127370264"/>
      <w:r w:rsidRPr="0023213C">
        <w:rPr>
          <w:rFonts w:ascii="Times New Roman" w:eastAsia="Calibri" w:hAnsi="Times New Roman" w:cs="Arial"/>
          <w:color w:val="000000"/>
          <w:sz w:val="28"/>
          <w:lang w:eastAsia="bg-BG"/>
        </w:rPr>
        <w:t>През 2022 год. са били предявени 6 бр. искове от прокурор, които са разгледани и уважени от съда.</w:t>
      </w:r>
      <w:bookmarkEnd w:id="43"/>
      <w:bookmarkEnd w:id="44"/>
      <w:r w:rsidRPr="0023213C">
        <w:rPr>
          <w:rFonts w:ascii="Times New Roman" w:eastAsia="Calibri" w:hAnsi="Times New Roman" w:cs="Arial"/>
          <w:color w:val="000000"/>
          <w:sz w:val="28"/>
          <w:lang w:eastAsia="bg-BG"/>
        </w:rPr>
        <w:t xml:space="preserve"> </w:t>
      </w:r>
    </w:p>
    <w:p w14:paraId="71E74895" w14:textId="77777777" w:rsidR="0023213C" w:rsidRPr="0023213C" w:rsidRDefault="0023213C" w:rsidP="0023213C">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color w:val="000000"/>
          <w:sz w:val="28"/>
          <w:lang w:eastAsia="bg-BG"/>
        </w:rPr>
      </w:pPr>
      <w:bookmarkStart w:id="45" w:name="_Toc127285384"/>
      <w:bookmarkStart w:id="46" w:name="_Toc127370265"/>
      <w:r w:rsidRPr="0023213C">
        <w:rPr>
          <w:rFonts w:ascii="Times New Roman" w:eastAsia="Times New Roman" w:hAnsi="Times New Roman" w:cs="Times New Roman"/>
          <w:sz w:val="28"/>
          <w:szCs w:val="28"/>
        </w:rPr>
        <w:t>През 2021 год. са били предявени 5 броя искове.</w:t>
      </w:r>
      <w:bookmarkEnd w:id="45"/>
      <w:bookmarkEnd w:id="46"/>
    </w:p>
    <w:p w14:paraId="50D87D61" w14:textId="77777777" w:rsidR="0023213C" w:rsidRPr="0023213C" w:rsidRDefault="0023213C" w:rsidP="0023213C">
      <w:pPr>
        <w:spacing w:after="0" w:line="240" w:lineRule="auto"/>
        <w:ind w:firstLine="709"/>
        <w:jc w:val="both"/>
        <w:rPr>
          <w:rFonts w:ascii="Times New Roman" w:eastAsia="Calibri" w:hAnsi="Times New Roman" w:cs="Arial"/>
          <w:color w:val="000000"/>
          <w:sz w:val="28"/>
          <w:lang w:eastAsia="bg-BG"/>
        </w:rPr>
      </w:pPr>
      <w:r w:rsidRPr="0023213C">
        <w:rPr>
          <w:rFonts w:ascii="Times New Roman" w:eastAsia="Times New Roman" w:hAnsi="Times New Roman" w:cs="Times New Roman"/>
          <w:sz w:val="28"/>
          <w:szCs w:val="28"/>
        </w:rPr>
        <w:t>През 2020 год. са били предявени 14 броя искове</w:t>
      </w:r>
      <w:r w:rsidRPr="0023213C">
        <w:rPr>
          <w:rFonts w:ascii="Times New Roman" w:eastAsia="Calibri" w:hAnsi="Times New Roman" w:cs="Arial"/>
          <w:color w:val="000000"/>
          <w:sz w:val="28"/>
          <w:lang w:eastAsia="bg-BG"/>
        </w:rPr>
        <w:t xml:space="preserve"> по ЗЛС, ГПК и ТЗ.</w:t>
      </w:r>
    </w:p>
    <w:p w14:paraId="1C4ED8D1"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Анализът сочи, че през 2022 год. е налице леко завишаване на броя на предявените искове от тези през 2021 год. и значително занижаване на броя на предявените искове спрямо 2020 год.</w:t>
      </w:r>
    </w:p>
    <w:p w14:paraId="17E096F4"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Предявените през 2022 год. искове от прокурорите в региона на Окръжна прокуратура - Монтана са: </w:t>
      </w:r>
    </w:p>
    <w:p w14:paraId="1E0BDDFE" w14:textId="77777777" w:rsidR="0023213C" w:rsidRPr="0023213C" w:rsidRDefault="0023213C" w:rsidP="0023213C">
      <w:pPr>
        <w:numPr>
          <w:ilvl w:val="0"/>
          <w:numId w:val="43"/>
        </w:numPr>
        <w:spacing w:after="0" w:line="240" w:lineRule="auto"/>
        <w:contextualSpacing/>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с правно основание чл.155, ал.1, т.3 от Търговския закон (искане за прекратяване на търговски дружества)</w:t>
      </w:r>
      <w:r w:rsidRPr="0023213C">
        <w:rPr>
          <w:rFonts w:ascii="Times New Roman" w:eastAsia="Times New Roman" w:hAnsi="Times New Roman" w:cs="Times New Roman"/>
          <w:sz w:val="28"/>
          <w:szCs w:val="28"/>
          <w:lang w:val="en-US"/>
        </w:rPr>
        <w:t xml:space="preserve"> </w:t>
      </w:r>
      <w:r w:rsidRPr="0023213C">
        <w:rPr>
          <w:rFonts w:ascii="Times New Roman" w:eastAsia="Times New Roman" w:hAnsi="Times New Roman" w:cs="Times New Roman"/>
          <w:sz w:val="28"/>
          <w:szCs w:val="28"/>
        </w:rPr>
        <w:t xml:space="preserve"> - 4 броя;</w:t>
      </w:r>
    </w:p>
    <w:p w14:paraId="48501A76" w14:textId="77777777" w:rsidR="0023213C" w:rsidRPr="0023213C" w:rsidRDefault="0023213C" w:rsidP="0023213C">
      <w:pPr>
        <w:numPr>
          <w:ilvl w:val="0"/>
          <w:numId w:val="43"/>
        </w:numPr>
        <w:spacing w:after="0" w:line="240" w:lineRule="auto"/>
        <w:contextualSpacing/>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с правно основание чл.336 от ГПК, вр. с чл. 5 от ЗЛС (за</w:t>
      </w:r>
    </w:p>
    <w:p w14:paraId="4413FBC1" w14:textId="77777777" w:rsidR="0023213C" w:rsidRPr="0023213C" w:rsidRDefault="0023213C" w:rsidP="0023213C">
      <w:pPr>
        <w:spacing w:after="0" w:line="240" w:lineRule="auto"/>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поставяне под запрещение)</w:t>
      </w:r>
      <w:r w:rsidRPr="0023213C">
        <w:rPr>
          <w:rFonts w:ascii="Times New Roman" w:eastAsia="Times New Roman" w:hAnsi="Times New Roman" w:cs="Times New Roman"/>
          <w:sz w:val="28"/>
          <w:szCs w:val="28"/>
          <w:lang w:val="en-US"/>
        </w:rPr>
        <w:t xml:space="preserve"> </w:t>
      </w:r>
      <w:r w:rsidRPr="0023213C">
        <w:rPr>
          <w:rFonts w:ascii="Times New Roman" w:eastAsia="Times New Roman" w:hAnsi="Times New Roman" w:cs="Times New Roman"/>
          <w:sz w:val="28"/>
          <w:szCs w:val="28"/>
        </w:rPr>
        <w:t xml:space="preserve"> - 1 брой.</w:t>
      </w:r>
      <w:r w:rsidRPr="0023213C">
        <w:rPr>
          <w:rFonts w:ascii="Times New Roman" w:eastAsia="Times New Roman" w:hAnsi="Times New Roman" w:cs="Times New Roman"/>
          <w:bCs/>
          <w:sz w:val="28"/>
          <w:szCs w:val="28"/>
        </w:rPr>
        <w:t xml:space="preserve"> </w:t>
      </w:r>
    </w:p>
    <w:p w14:paraId="4DAE019D" w14:textId="77777777" w:rsidR="0023213C" w:rsidRPr="0023213C" w:rsidRDefault="0023213C" w:rsidP="0023213C">
      <w:pPr>
        <w:spacing w:after="0" w:line="240" w:lineRule="auto"/>
        <w:ind w:firstLine="708"/>
        <w:jc w:val="both"/>
        <w:rPr>
          <w:rFonts w:ascii="Times New Roman" w:eastAsia="Times New Roman" w:hAnsi="Times New Roman" w:cs="Times New Roman"/>
          <w:sz w:val="28"/>
          <w:szCs w:val="28"/>
        </w:rPr>
      </w:pPr>
      <w:r w:rsidRPr="0023213C">
        <w:rPr>
          <w:rFonts w:ascii="Times New Roman" w:eastAsia="Calibri" w:hAnsi="Times New Roman" w:cs="Times New Roman"/>
          <w:sz w:val="28"/>
          <w:szCs w:val="28"/>
        </w:rPr>
        <w:t>Предявеният иск от прокурор при РП – Монтана е с правно основание чл.133, ал.1, т.1 и т.2, във вр. с чл.132 от СК – лишаване от родителски права, като делото е</w:t>
      </w:r>
      <w:r w:rsidRPr="0023213C">
        <w:rPr>
          <w:rFonts w:ascii="Times New Roman" w:eastAsia="Times New Roman" w:hAnsi="Times New Roman" w:cs="Times New Roman"/>
          <w:bCs/>
          <w:sz w:val="28"/>
          <w:szCs w:val="28"/>
        </w:rPr>
        <w:t xml:space="preserve"> разгледано от съда и предявения иск е уважен.</w:t>
      </w:r>
    </w:p>
    <w:p w14:paraId="2780D075" w14:textId="77777777" w:rsidR="0023213C" w:rsidRPr="0023213C" w:rsidRDefault="0023213C" w:rsidP="0023213C">
      <w:pPr>
        <w:spacing w:after="0" w:line="240" w:lineRule="auto"/>
        <w:ind w:firstLine="708"/>
        <w:jc w:val="both"/>
        <w:rPr>
          <w:rFonts w:ascii="Times New Roman" w:eastAsia="Times New Roman" w:hAnsi="Times New Roman" w:cs="Times New Roman"/>
          <w:sz w:val="28"/>
          <w:szCs w:val="28"/>
        </w:rPr>
      </w:pPr>
    </w:p>
    <w:p w14:paraId="13C9EBFA" w14:textId="77777777" w:rsidR="0023213C" w:rsidRPr="0023213C" w:rsidRDefault="0023213C" w:rsidP="0023213C">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i/>
          <w:color w:val="000000"/>
          <w:sz w:val="28"/>
          <w:lang w:eastAsia="bg-BG"/>
        </w:rPr>
      </w:pPr>
      <w:bookmarkStart w:id="47" w:name="_Toc127370266"/>
      <w:r w:rsidRPr="0023213C">
        <w:rPr>
          <w:rFonts w:ascii="Times New Roman" w:eastAsia="Calibri" w:hAnsi="Times New Roman" w:cs="Arial"/>
          <w:b/>
          <w:i/>
          <w:color w:val="000000"/>
          <w:sz w:val="28"/>
          <w:lang w:eastAsia="bg-BG"/>
        </w:rPr>
        <w:t>3.3. Участие в съдебни заседания по гражданско-съдебния надзор:</w:t>
      </w:r>
      <w:bookmarkEnd w:id="47"/>
    </w:p>
    <w:p w14:paraId="446E96A2" w14:textId="77777777" w:rsidR="0023213C" w:rsidRPr="0023213C" w:rsidRDefault="0023213C" w:rsidP="0023213C">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i/>
          <w:color w:val="000000"/>
          <w:sz w:val="28"/>
          <w:lang w:eastAsia="bg-BG"/>
        </w:rPr>
      </w:pPr>
    </w:p>
    <w:p w14:paraId="6195A342" w14:textId="77777777" w:rsidR="0023213C" w:rsidRPr="0023213C" w:rsidRDefault="0023213C" w:rsidP="0023213C">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color w:val="000000"/>
          <w:sz w:val="28"/>
          <w:lang w:eastAsia="bg-BG"/>
        </w:rPr>
      </w:pPr>
      <w:bookmarkStart w:id="48" w:name="_Toc127285386"/>
      <w:bookmarkStart w:id="49" w:name="_Toc127370267"/>
      <w:r w:rsidRPr="0023213C">
        <w:rPr>
          <w:rFonts w:ascii="Times New Roman" w:eastAsia="Calibri" w:hAnsi="Times New Roman" w:cs="Arial"/>
          <w:color w:val="000000"/>
          <w:sz w:val="28"/>
          <w:lang w:eastAsia="bg-BG"/>
        </w:rPr>
        <w:t>През 2022 год. в съдебен район Монтана са образувани общо 172 бр. първоинстанционни граждански дела, от които 166 броя са решени. Прокурорите в региона са взели участие общо в 218 бр. съдебни заседания по 177 броя граждански дела.</w:t>
      </w:r>
      <w:bookmarkEnd w:id="48"/>
      <w:bookmarkEnd w:id="49"/>
    </w:p>
    <w:p w14:paraId="44A51615" w14:textId="77777777" w:rsidR="0023213C" w:rsidRPr="0023213C" w:rsidRDefault="0023213C" w:rsidP="0023213C">
      <w:pPr>
        <w:spacing w:after="0" w:line="240" w:lineRule="auto"/>
        <w:ind w:firstLine="709"/>
        <w:jc w:val="both"/>
        <w:rPr>
          <w:rFonts w:ascii="Times New Roman" w:eastAsia="Calibri" w:hAnsi="Times New Roman" w:cs="Arial"/>
          <w:color w:val="000000"/>
          <w:sz w:val="28"/>
          <w:lang w:eastAsia="bg-BG"/>
        </w:rPr>
      </w:pPr>
      <w:r w:rsidRPr="0023213C">
        <w:rPr>
          <w:rFonts w:ascii="Times New Roman" w:eastAsia="Times New Roman" w:hAnsi="Times New Roman" w:cs="Times New Roman"/>
          <w:sz w:val="28"/>
          <w:szCs w:val="28"/>
        </w:rPr>
        <w:t xml:space="preserve">През 2021 год. </w:t>
      </w:r>
      <w:r w:rsidRPr="0023213C">
        <w:rPr>
          <w:rFonts w:ascii="Times New Roman" w:eastAsia="Calibri" w:hAnsi="Times New Roman" w:cs="Arial"/>
          <w:color w:val="000000"/>
          <w:sz w:val="28"/>
          <w:lang w:eastAsia="bg-BG"/>
        </w:rPr>
        <w:t>в съдебен район Монтана са образувани общо 195 броя първоинстанционни граждански дела, от които 168 броя са решени. П</w:t>
      </w:r>
      <w:r w:rsidRPr="0023213C">
        <w:rPr>
          <w:rFonts w:ascii="Times New Roman" w:eastAsia="Times New Roman" w:hAnsi="Times New Roman" w:cs="Times New Roman"/>
          <w:sz w:val="28"/>
          <w:szCs w:val="28"/>
        </w:rPr>
        <w:t xml:space="preserve">рокурорите от региона са участвали в общо 285 броя съдебни заседания по 202 бр. граждански дела. </w:t>
      </w:r>
    </w:p>
    <w:p w14:paraId="0C4D0E2E" w14:textId="77777777" w:rsidR="0023213C" w:rsidRPr="0023213C" w:rsidRDefault="0023213C" w:rsidP="0023213C">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color w:val="000000"/>
          <w:sz w:val="28"/>
          <w:lang w:eastAsia="bg-BG"/>
        </w:rPr>
      </w:pPr>
      <w:bookmarkStart w:id="50" w:name="_Toc127285387"/>
      <w:bookmarkStart w:id="51" w:name="_Toc127370268"/>
      <w:r w:rsidRPr="0023213C">
        <w:rPr>
          <w:rFonts w:ascii="Times New Roman" w:eastAsia="Calibri" w:hAnsi="Times New Roman" w:cs="Arial"/>
          <w:color w:val="000000"/>
          <w:sz w:val="28"/>
          <w:lang w:eastAsia="bg-BG"/>
        </w:rPr>
        <w:t>През 2020 год. в съдебен район Монтана са образувани общо 145 броя първоинстанционни граждански дела, от които 137 броя са решени. През тази година прокурорите от региона на ОП - Монтана са взели участие в общо 184 съдебни заседания по</w:t>
      </w:r>
      <w:r w:rsidRPr="0023213C">
        <w:rPr>
          <w:rFonts w:ascii="Times New Roman" w:eastAsia="Calibri" w:hAnsi="Times New Roman" w:cs="Arial"/>
          <w:b/>
          <w:color w:val="000000"/>
          <w:sz w:val="28"/>
          <w:lang w:eastAsia="bg-BG"/>
        </w:rPr>
        <w:t xml:space="preserve"> </w:t>
      </w:r>
      <w:r w:rsidRPr="0023213C">
        <w:rPr>
          <w:rFonts w:ascii="Times New Roman" w:eastAsia="Calibri" w:hAnsi="Times New Roman" w:cs="Arial"/>
          <w:color w:val="000000"/>
          <w:sz w:val="28"/>
          <w:lang w:eastAsia="bg-BG"/>
        </w:rPr>
        <w:t>141</w:t>
      </w:r>
      <w:r w:rsidRPr="0023213C">
        <w:rPr>
          <w:rFonts w:ascii="Times New Roman" w:eastAsia="Calibri" w:hAnsi="Times New Roman" w:cs="Arial"/>
          <w:b/>
          <w:color w:val="000000"/>
          <w:sz w:val="28"/>
          <w:lang w:eastAsia="bg-BG"/>
        </w:rPr>
        <w:t xml:space="preserve"> </w:t>
      </w:r>
      <w:r w:rsidRPr="0023213C">
        <w:rPr>
          <w:rFonts w:ascii="Times New Roman" w:eastAsia="Calibri" w:hAnsi="Times New Roman" w:cs="Arial"/>
          <w:color w:val="000000"/>
          <w:sz w:val="28"/>
          <w:lang w:eastAsia="bg-BG"/>
        </w:rPr>
        <w:t>броя граждански дела.</w:t>
      </w:r>
      <w:bookmarkEnd w:id="50"/>
      <w:bookmarkEnd w:id="51"/>
    </w:p>
    <w:p w14:paraId="0325B96E"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Забелязва се леко занижаване на участието по граждански дела на прокурор в сравнение с предходната 2021 година и увеличение броя на участие по гражданските дела спрямо 2020 година.</w:t>
      </w:r>
    </w:p>
    <w:p w14:paraId="594765B6"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Прокурорите от Окръжна прокуратура - Монтана са участвали в 5 /пет/ въззивни граждански дела – по чл.547, вр. с чл.542 от ГПК – 2 броя; по чл.28 </w:t>
      </w:r>
      <w:r w:rsidRPr="0023213C">
        <w:rPr>
          <w:rFonts w:ascii="Times New Roman" w:eastAsia="Times New Roman" w:hAnsi="Times New Roman" w:cs="Times New Roman"/>
          <w:sz w:val="28"/>
          <w:szCs w:val="28"/>
        </w:rPr>
        <w:lastRenderedPageBreak/>
        <w:t xml:space="preserve">от ЗЗД  - 2 броя и по чл.2, ал.1, т.3 от ЗОДОВ – 1 брой. Всички дела са разгледани и решени от съда. </w:t>
      </w:r>
    </w:p>
    <w:p w14:paraId="2315CC2A"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Решени въззивни граждански дела по ЗОДОВ, приключили с осъждане на прокуратурата на РБ – 1 брой.</w:t>
      </w:r>
    </w:p>
    <w:p w14:paraId="164637F5"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По материя разгледаните граждански дела са по: СК, ЗГР, ЗЛС, ЗЗД, ТЗ и ЗОДОВ. Няма случаи граждански дела, провеждани с участието на прокурор, когато това е предвидено по закон, да са отлагани поради отсъствие на представител на прокуратурата. </w:t>
      </w:r>
    </w:p>
    <w:p w14:paraId="1EDD7D89"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Участието на прокурорите в съдебни заседания се отличава с активност при събиране на доказателства и даване на мотивирани заключения. В по - голямата си част становището на прокурора съвпада с решението на съда. </w:t>
      </w:r>
    </w:p>
    <w:p w14:paraId="3225A7D8"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p>
    <w:p w14:paraId="69A4D059" w14:textId="77777777" w:rsidR="0023213C" w:rsidRPr="0023213C" w:rsidRDefault="0023213C" w:rsidP="0023213C">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i/>
          <w:color w:val="000000"/>
          <w:sz w:val="28"/>
          <w:lang w:eastAsia="bg-BG"/>
        </w:rPr>
      </w:pPr>
      <w:bookmarkStart w:id="52" w:name="_Toc127370269"/>
      <w:r w:rsidRPr="0023213C">
        <w:rPr>
          <w:rFonts w:ascii="Times New Roman" w:eastAsia="Calibri" w:hAnsi="Times New Roman" w:cs="Arial"/>
          <w:b/>
          <w:i/>
          <w:color w:val="000000"/>
          <w:sz w:val="28"/>
          <w:lang w:eastAsia="bg-BG"/>
        </w:rPr>
        <w:t>3.4. Дейност по Закона за отнемане в полза на държавата на имущество, придобито от престъпна дейност.</w:t>
      </w:r>
      <w:bookmarkEnd w:id="52"/>
    </w:p>
    <w:p w14:paraId="72D9E016"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През 2022 год. прокурорите от региона са изпълнявали задълженията си съгласно Закона за противодействие на корупцията и за отнемане на незаконно придобитото имущество /ЗПКОНПИ/</w:t>
      </w:r>
      <w:r w:rsidRPr="0023213C">
        <w:rPr>
          <w:rFonts w:ascii="Courier New" w:eastAsia="Times New Roman" w:hAnsi="Courier New" w:cs="Courier New"/>
          <w:sz w:val="35"/>
          <w:szCs w:val="35"/>
        </w:rPr>
        <w:t xml:space="preserve"> </w:t>
      </w:r>
      <w:r w:rsidRPr="0023213C">
        <w:rPr>
          <w:rFonts w:ascii="Times New Roman" w:eastAsia="Times New Roman" w:hAnsi="Times New Roman" w:cs="Times New Roman"/>
          <w:sz w:val="28"/>
          <w:szCs w:val="28"/>
        </w:rPr>
        <w:t>и Инструкция № 513 от 11.03.2013 г. за реда и сроковете за осъществяване на взаимодействие между КОНПИ, ДАНС, МВР, органите към Министъра на финансите и Прокуратурата на РБ.</w:t>
      </w:r>
    </w:p>
    <w:p w14:paraId="2B76B291"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В изпълнение на задължението си по чл.110, ал. 1 от ЗПКОНПИ през отчетната 2022 година прокурорите от региона са изпратили общо 20 броя уведомления до КПКОНПИ /19 бр. за ОП – Монтана и 1 бр. за РП – Монтана/,  за 2021 год. – 19 броя, за 2020 год. - 11 броя уведомления. </w:t>
      </w:r>
    </w:p>
    <w:p w14:paraId="03AD20D9"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През отчетния период, както и за предходните два периода, няма образувани граждански дела по мотивирано искане на Комисията за противодействие на корупцията и за отнемане на незаконно придобитото имущество. </w:t>
      </w:r>
    </w:p>
    <w:p w14:paraId="23D1D2D7"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p>
    <w:p w14:paraId="439249D0" w14:textId="77777777" w:rsidR="0023213C" w:rsidRPr="0023213C" w:rsidRDefault="0023213C" w:rsidP="0023213C">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color w:val="000000"/>
          <w:sz w:val="28"/>
          <w:u w:val="single"/>
          <w:lang w:eastAsia="bg-BG"/>
        </w:rPr>
      </w:pPr>
      <w:bookmarkStart w:id="53" w:name="_Toc127370270"/>
      <w:r w:rsidRPr="0023213C">
        <w:rPr>
          <w:rFonts w:ascii="Times New Roman" w:eastAsia="Calibri" w:hAnsi="Times New Roman" w:cs="Arial"/>
          <w:b/>
          <w:color w:val="000000"/>
          <w:sz w:val="28"/>
          <w:u w:val="single"/>
          <w:lang w:eastAsia="bg-BG"/>
        </w:rPr>
        <w:t>4. Осъдителни решения срещу Прокуратурата на РБ на основание Закона за отговорността на държавата и общините за вреди. Изпълнение на индивидуални и общи мерки, във връзка с решенията на Европейския съд по правта на човека по дела срещу България.</w:t>
      </w:r>
      <w:bookmarkEnd w:id="53"/>
      <w:r w:rsidRPr="0023213C">
        <w:rPr>
          <w:rFonts w:ascii="Times New Roman" w:eastAsia="Calibri" w:hAnsi="Times New Roman" w:cs="Arial"/>
          <w:b/>
          <w:color w:val="000000"/>
          <w:sz w:val="28"/>
          <w:u w:val="single"/>
          <w:lang w:eastAsia="bg-BG"/>
        </w:rPr>
        <w:t xml:space="preserve"> </w:t>
      </w:r>
    </w:p>
    <w:p w14:paraId="5E2683E2"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lang w:eastAsia="bg-BG"/>
        </w:rPr>
      </w:pPr>
    </w:p>
    <w:p w14:paraId="069E4E58" w14:textId="77777777" w:rsidR="0023213C" w:rsidRPr="0023213C" w:rsidRDefault="0023213C" w:rsidP="0023213C">
      <w:pPr>
        <w:spacing w:after="0" w:line="240" w:lineRule="auto"/>
        <w:ind w:firstLine="709"/>
        <w:jc w:val="both"/>
        <w:rPr>
          <w:rFonts w:ascii="Times New Roman" w:eastAsia="Times New Roman" w:hAnsi="Times New Roman" w:cs="Times New Roman"/>
          <w:b/>
          <w:i/>
          <w:sz w:val="28"/>
          <w:szCs w:val="28"/>
        </w:rPr>
      </w:pPr>
      <w:r w:rsidRPr="0023213C">
        <w:rPr>
          <w:rFonts w:ascii="Times New Roman" w:eastAsia="Times New Roman" w:hAnsi="Times New Roman" w:cs="Times New Roman"/>
          <w:b/>
          <w:i/>
          <w:sz w:val="28"/>
          <w:szCs w:val="28"/>
        </w:rPr>
        <w:t>Изготвени протести (жалби) – уважени и неуважени. Случаи на солидарна отговорност на прокуратурата и съда по дела за обезщетение за наложена мярка задържане под стража.</w:t>
      </w:r>
    </w:p>
    <w:p w14:paraId="02304643"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p>
    <w:p w14:paraId="110425F9"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По исковете с правно основание чл.2 от ЗОДОВ, по които Прокуратурата на РБ е ответник, прокурорите от съдебния район на ОС - Монтана проявяват необходимата процесуална активност. Стремят се в максимален обем да защитават интересите на Прокуратурата на РБ, като в тази насока посочват всички факти, на които основават исканията си и представят доказателства за тях. </w:t>
      </w:r>
    </w:p>
    <w:p w14:paraId="67318CAF"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През отчетния период прокурорите от региона на ОП - Монтана са участвали в 3 броя първоинстанционни граждански дела с правно основание </w:t>
      </w:r>
      <w:r w:rsidRPr="0023213C">
        <w:rPr>
          <w:rFonts w:ascii="Times New Roman" w:eastAsia="Times New Roman" w:hAnsi="Times New Roman" w:cs="Times New Roman"/>
          <w:sz w:val="28"/>
          <w:szCs w:val="28"/>
        </w:rPr>
        <w:lastRenderedPageBreak/>
        <w:t xml:space="preserve">по чл.2, ал.1, т.3 от ЗОДОВ.  По 2 броя дела има постановени съдебни актове, с които ПРБ е осъдена да заплати обезщетения за причинени неимуществени и имуществени вреди. По 1 бр. дело  първоинстанционния съд – МРС е отхвърлил исковата молба на лицето, като неоснователна. </w:t>
      </w:r>
    </w:p>
    <w:p w14:paraId="72EF1480" w14:textId="77777777" w:rsidR="0023213C" w:rsidRPr="0023213C" w:rsidRDefault="0023213C" w:rsidP="0023213C">
      <w:pPr>
        <w:spacing w:after="0" w:line="240" w:lineRule="auto"/>
        <w:ind w:firstLine="709"/>
        <w:jc w:val="both"/>
        <w:rPr>
          <w:rFonts w:ascii="Times New Roman" w:eastAsia="Calibri" w:hAnsi="Times New Roman" w:cs="Times New Roman"/>
          <w:sz w:val="28"/>
          <w:szCs w:val="28"/>
        </w:rPr>
      </w:pPr>
      <w:r w:rsidRPr="0023213C">
        <w:rPr>
          <w:rFonts w:ascii="Times New Roman" w:eastAsia="Times New Roman" w:hAnsi="Times New Roman" w:cs="Times New Roman"/>
          <w:sz w:val="28"/>
          <w:szCs w:val="28"/>
        </w:rPr>
        <w:t>Прокурорите от региона на ОП - Монтана са обжалвали решенията на съдилищата по 2 бр. първоинстанционни дела, приключили с осъждане на ПРБ, като към момента е разгледана една от жалбите и същата е частично уважена от въззивната инстанция – САС /намален размера на присъденото обезщетение/, а другата жалба е оставена без уважение, като е потвърдено решението на МРС.</w:t>
      </w:r>
      <w:r w:rsidRPr="0023213C">
        <w:rPr>
          <w:rFonts w:ascii="Times New Roman" w:eastAsia="Calibri" w:hAnsi="Times New Roman" w:cs="Times New Roman"/>
          <w:sz w:val="28"/>
          <w:szCs w:val="28"/>
        </w:rPr>
        <w:t xml:space="preserve"> </w:t>
      </w:r>
    </w:p>
    <w:p w14:paraId="58F2672A" w14:textId="77777777" w:rsidR="0023213C" w:rsidRPr="0023213C" w:rsidRDefault="0023213C" w:rsidP="0023213C">
      <w:pPr>
        <w:spacing w:after="0" w:line="240" w:lineRule="auto"/>
        <w:ind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Прокурорите от ОП - Монтана са участвали в 1/едно/ въззивно гражданско дело по ЗОДОВ с ответник ПРБ, приключило с осъждане на прокуратурата на РБ в ОС - Монтана, като по същото е подадена касационна жалба от прокурор при МОП. Делото не е разгледано от ВКС към момента.</w:t>
      </w:r>
    </w:p>
    <w:p w14:paraId="666C890D"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Прокурорите от ОП - Монтана са обжалвали 2 броя решения на ОС - Монтана, приключили с осъждане на ПРБ, като към момента една от жалбите е разгледана и уважена от въззивния съд /САС/, а по другата жалба няма произнасяне от ВКС. </w:t>
      </w:r>
    </w:p>
    <w:p w14:paraId="6CD2ACE8" w14:textId="77777777" w:rsidR="0023213C" w:rsidRPr="0023213C" w:rsidRDefault="0023213C" w:rsidP="0023213C">
      <w:pPr>
        <w:spacing w:after="0" w:line="240" w:lineRule="auto"/>
        <w:ind w:firstLine="709"/>
        <w:jc w:val="both"/>
        <w:rPr>
          <w:rFonts w:ascii="Times New Roman" w:eastAsia="Calibri" w:hAnsi="Times New Roman" w:cs="Times New Roman"/>
          <w:sz w:val="28"/>
          <w:szCs w:val="28"/>
        </w:rPr>
      </w:pPr>
      <w:r w:rsidRPr="0023213C">
        <w:rPr>
          <w:rFonts w:ascii="Times New Roman" w:eastAsia="Times New Roman" w:hAnsi="Times New Roman" w:cs="Times New Roman"/>
          <w:sz w:val="28"/>
          <w:szCs w:val="28"/>
        </w:rPr>
        <w:t>През отчетната 2022 год. по 3 броя дела са влезли в сила съдебни решения срещу прокуратурата по ЗОДОВ, по които са присъдени обезщетения на три лица за причинени имуществени и неимуществени вреди, в размер на общо сумата от 17 000 лева.</w:t>
      </w:r>
    </w:p>
    <w:p w14:paraId="694043C7"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През предходната 2021 год. по 4 броя дела са влезли в сила решения, по които да са присъдени обезщетения за причинени имуществени и неимуществени вреди.</w:t>
      </w:r>
    </w:p>
    <w:p w14:paraId="6175211A"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През 2021 год. прокурорите от региона на ОП - Монтана са участвали в 3 броя първоинстанционни граждански дела с правно основание по чл.2, ал.1, т.3 от ЗОДОВ.</w:t>
      </w:r>
    </w:p>
    <w:p w14:paraId="6583CD4B" w14:textId="77777777" w:rsidR="0023213C" w:rsidRPr="0023213C" w:rsidRDefault="0023213C" w:rsidP="0023213C">
      <w:pPr>
        <w:spacing w:after="0" w:line="240" w:lineRule="auto"/>
        <w:ind w:firstLine="709"/>
        <w:jc w:val="both"/>
        <w:rPr>
          <w:rFonts w:ascii="Times New Roman" w:eastAsia="Calibri" w:hAnsi="Times New Roman" w:cs="Times New Roman"/>
          <w:sz w:val="28"/>
          <w:szCs w:val="28"/>
        </w:rPr>
      </w:pPr>
      <w:r w:rsidRPr="0023213C">
        <w:rPr>
          <w:rFonts w:ascii="Times New Roman" w:eastAsia="Times New Roman" w:hAnsi="Times New Roman" w:cs="Times New Roman"/>
          <w:sz w:val="28"/>
          <w:szCs w:val="28"/>
        </w:rPr>
        <w:t xml:space="preserve"> Прокурорите от ОП - Монтана са обжалвали решенията на ОС -Монтана, приключили с осъждане на ПРБ.</w:t>
      </w:r>
      <w:r w:rsidRPr="0023213C">
        <w:rPr>
          <w:rFonts w:ascii="Times New Roman" w:eastAsia="Calibri" w:hAnsi="Times New Roman" w:cs="Times New Roman"/>
          <w:sz w:val="28"/>
          <w:szCs w:val="28"/>
        </w:rPr>
        <w:t xml:space="preserve"> Прокурорите от ОП - Монтана са участвали и в 1/едно/ въззивно гражданско дело по ЗОДОВ с ответник ПРБ.</w:t>
      </w:r>
    </w:p>
    <w:p w14:paraId="0C6790D6"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През 2021 год. прокурорите от ОП - Монтана са подали 3 броя жалби срещу първоинстанционните съдебни актове.</w:t>
      </w:r>
    </w:p>
    <w:p w14:paraId="7C2C2C5E"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 През 2020 год. прокурорите от региона на ОП - Монтана са участвали в 7 броя първоинстанционни граждански дела, с правно основание по чл.2, ал.1, т.1 и т.3 от ЗОДОВ и чл.2, ал.1, т.3 от ЗОДОВ. По 7 дела има постановени съдебни актове, с които ПРБ е осъдена да заплати обезщетения за причинени неимуществени и имуществени вреди. </w:t>
      </w:r>
    </w:p>
    <w:p w14:paraId="45AF0F0E"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През 2020 год. прокурорите от ОП - Монтана са подали 3 броя жалби срещу първоинстанционните съдебни актове.</w:t>
      </w:r>
    </w:p>
    <w:p w14:paraId="67E15E21" w14:textId="77777777" w:rsidR="0023213C" w:rsidRPr="0023213C" w:rsidRDefault="0023213C" w:rsidP="0023213C">
      <w:pPr>
        <w:spacing w:after="0" w:line="240" w:lineRule="auto"/>
        <w:ind w:firstLine="709"/>
        <w:jc w:val="both"/>
        <w:rPr>
          <w:rFonts w:ascii="Times New Roman" w:eastAsia="Calibri" w:hAnsi="Times New Roman" w:cs="Times New Roman"/>
          <w:sz w:val="28"/>
          <w:szCs w:val="28"/>
        </w:rPr>
      </w:pPr>
      <w:r w:rsidRPr="0023213C">
        <w:rPr>
          <w:rFonts w:ascii="Times New Roman" w:eastAsia="Times New Roman" w:hAnsi="Times New Roman" w:cs="Times New Roman"/>
          <w:sz w:val="28"/>
          <w:szCs w:val="28"/>
        </w:rPr>
        <w:t xml:space="preserve">През 2020 год. е образувано едно въззивно гражданско дело по ЗОДОВ с ответник Прокуратурата на РБ, което е приключило с осъдително решение срещу прокуратурата. Срещу решението не е подадена касационна жалба, за което с мотивирано становище е уведомена ВКП. </w:t>
      </w:r>
    </w:p>
    <w:p w14:paraId="4BE51438"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Следователно, налице е намаляване на броя на образуваните граждански дела с правно основание чл.2 от ЗОДОВ, по които ответник е Прокуратурата </w:t>
      </w:r>
      <w:r w:rsidRPr="0023213C">
        <w:rPr>
          <w:rFonts w:ascii="Times New Roman" w:eastAsia="Times New Roman" w:hAnsi="Times New Roman" w:cs="Times New Roman"/>
          <w:sz w:val="28"/>
          <w:szCs w:val="28"/>
        </w:rPr>
        <w:lastRenderedPageBreak/>
        <w:t>на РБ през 2022 год. в сравнение с предходните две години</w:t>
      </w:r>
      <w:r w:rsidRPr="0023213C">
        <w:rPr>
          <w:rFonts w:ascii="Times New Roman" w:eastAsia="Times New Roman" w:hAnsi="Times New Roman" w:cs="Times New Roman"/>
          <w:b/>
          <w:sz w:val="28"/>
          <w:szCs w:val="28"/>
        </w:rPr>
        <w:t xml:space="preserve"> </w:t>
      </w:r>
      <w:r w:rsidRPr="0023213C">
        <w:rPr>
          <w:rFonts w:ascii="Times New Roman" w:eastAsia="Times New Roman" w:hAnsi="Times New Roman" w:cs="Times New Roman"/>
          <w:sz w:val="28"/>
          <w:szCs w:val="28"/>
        </w:rPr>
        <w:t>и на намаляване на обезщетенията по исковете по чл.2 от ЗОДОВ, по които ответник е Прокуратурата на РБ.</w:t>
      </w:r>
    </w:p>
    <w:p w14:paraId="2E458854"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В изпълнение на задълженията си и разпоредбите на ГПК, прокурорите от региона на Окръжна прокуратура - Монтана са депозирали своевременно отговор на исковите молби, с изложени възражения, както по основание, така и по размер на иска, представени са доказателства и са направени доказателствени искания. Прокурорите са участвали активно в хода на делата и са изложили подробни аргументи в пледоарията си. </w:t>
      </w:r>
    </w:p>
    <w:p w14:paraId="3C8BCC24"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През 2022 год., както и през предходните периоди, няма случаи на солидарна отговорност на прокуратурата и съда по дела за обезщетение за наложена мярка  за неотклонение „Задържане под стража“. </w:t>
      </w:r>
    </w:p>
    <w:p w14:paraId="5A2361CF" w14:textId="77777777" w:rsidR="0023213C" w:rsidRPr="0023213C" w:rsidRDefault="0023213C" w:rsidP="0023213C">
      <w:pPr>
        <w:spacing w:after="0" w:line="240" w:lineRule="auto"/>
        <w:ind w:firstLine="709"/>
        <w:jc w:val="both"/>
        <w:rPr>
          <w:rFonts w:ascii="Times New Roman" w:eastAsia="Times New Roman" w:hAnsi="Times New Roman" w:cs="Times New Roman"/>
          <w:bCs/>
          <w:sz w:val="28"/>
          <w:szCs w:val="28"/>
        </w:rPr>
      </w:pPr>
      <w:r w:rsidRPr="0023213C">
        <w:rPr>
          <w:rFonts w:ascii="Times New Roman" w:eastAsia="Times New Roman" w:hAnsi="Times New Roman" w:cs="Times New Roman"/>
          <w:bCs/>
          <w:sz w:val="28"/>
          <w:szCs w:val="28"/>
        </w:rPr>
        <w:t>От прокурорите в региона се работи по мерките за избягване на допускане на основания за осъдителни решения на Европейския съд по правата на човека в две насоки – провеждане на наказателно производство в разумен срок и избягване на осъдителни решения за прекомерна продължителност на задържане под стража.</w:t>
      </w:r>
    </w:p>
    <w:p w14:paraId="1A6C2F26" w14:textId="77777777" w:rsidR="0023213C" w:rsidRPr="0023213C" w:rsidRDefault="0023213C" w:rsidP="0023213C">
      <w:pPr>
        <w:spacing w:after="0" w:line="240" w:lineRule="auto"/>
        <w:ind w:firstLine="709"/>
        <w:jc w:val="both"/>
        <w:rPr>
          <w:rFonts w:ascii="Times New Roman" w:eastAsia="Times New Roman" w:hAnsi="Times New Roman" w:cs="Times New Roman"/>
          <w:bCs/>
          <w:sz w:val="28"/>
          <w:szCs w:val="28"/>
        </w:rPr>
      </w:pPr>
      <w:r w:rsidRPr="0023213C">
        <w:rPr>
          <w:rFonts w:ascii="Times New Roman" w:eastAsia="Times New Roman" w:hAnsi="Times New Roman" w:cs="Times New Roman"/>
          <w:bCs/>
          <w:sz w:val="28"/>
          <w:szCs w:val="28"/>
        </w:rPr>
        <w:t>По отношение на първата насока се следи за сроковете за провеждане на досъдебното производство от датата на повдигане на обвинение, като през отчетния период са били наблюдавани осем досъдебни производства, по които от датата на повдигане на обвинение са изтекли повече от една година, а по шест от тях – повече от две години. Ежемесечно са проверявани тези производства, като са предприети конкретни мерки за приключването им в най - кратък възможен срок.</w:t>
      </w:r>
    </w:p>
    <w:p w14:paraId="43597C54" w14:textId="77777777" w:rsidR="0023213C" w:rsidRPr="0023213C" w:rsidRDefault="0023213C" w:rsidP="0023213C">
      <w:pPr>
        <w:spacing w:after="0" w:line="240" w:lineRule="auto"/>
        <w:ind w:firstLine="709"/>
        <w:jc w:val="both"/>
        <w:rPr>
          <w:rFonts w:ascii="Times New Roman" w:eastAsia="Times New Roman" w:hAnsi="Times New Roman" w:cs="Times New Roman"/>
          <w:bCs/>
          <w:sz w:val="28"/>
          <w:szCs w:val="28"/>
        </w:rPr>
      </w:pPr>
      <w:r w:rsidRPr="0023213C">
        <w:rPr>
          <w:rFonts w:ascii="Times New Roman" w:eastAsia="Times New Roman" w:hAnsi="Times New Roman" w:cs="Times New Roman"/>
          <w:bCs/>
          <w:sz w:val="28"/>
          <w:szCs w:val="28"/>
        </w:rPr>
        <w:t xml:space="preserve">По отношение на втората насока се следи регистъра на лицата с наложени мерки за неотклонение „задържане под стража“, като разследването по тези досъдебни производства се провежда във възможно най - кратки срокове, а приключените досъдебни производства се решават по същество с приоритет пред другите производства. </w:t>
      </w:r>
    </w:p>
    <w:p w14:paraId="5B036CD8" w14:textId="77777777" w:rsidR="0023213C" w:rsidRPr="0023213C" w:rsidRDefault="0023213C" w:rsidP="0023213C">
      <w:pPr>
        <w:spacing w:after="0" w:line="240" w:lineRule="auto"/>
        <w:ind w:firstLine="709"/>
        <w:jc w:val="both"/>
        <w:rPr>
          <w:rFonts w:ascii="Times New Roman" w:eastAsia="Times New Roman" w:hAnsi="Times New Roman" w:cs="Times New Roman"/>
          <w:bCs/>
          <w:sz w:val="28"/>
          <w:szCs w:val="28"/>
        </w:rPr>
      </w:pPr>
      <w:r w:rsidRPr="0023213C">
        <w:rPr>
          <w:rFonts w:ascii="Times New Roman" w:eastAsia="Times New Roman" w:hAnsi="Times New Roman" w:cs="Times New Roman"/>
          <w:bCs/>
          <w:sz w:val="28"/>
          <w:szCs w:val="28"/>
        </w:rPr>
        <w:t xml:space="preserve">По отношение на продължителността на мярката – задържане за 72 часа с постановление на прокурор винаги се следи за наличието на задържане за 24 часа по реда на ЗМВР, като този срок се отчита като задържане по смисъла на НПК, а наблюдаващият прокурор взема срок с максимална продължителност от 48 часа, като в рамките на този срок делото се внася за разглеждане от съдилищата в региона. </w:t>
      </w:r>
    </w:p>
    <w:p w14:paraId="2D737B81"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bCs/>
          <w:sz w:val="28"/>
          <w:szCs w:val="28"/>
        </w:rPr>
        <w:t>Всички прокурори самостоятелно се запознават с постановените срещу България съдебни актове, постановени от ЕСПЧ, но с оглед подобряване работата, уеднаквяване прокурорската практика, недопускане на неефективно разследване както от страна на разследващите органи, така и от наблюдаващите прокурори е необходимо да бъдат проведени обучителни мероприятия на тема: „Стандартите на Европейския съд по правата на човека за ефективно разследване, събиране и оценка на доказателствата“, „И</w:t>
      </w:r>
      <w:r w:rsidRPr="0023213C">
        <w:rPr>
          <w:rFonts w:ascii="Times New Roman" w:eastAsia="Times New Roman" w:hAnsi="Times New Roman" w:cs="Times New Roman"/>
          <w:sz w:val="28"/>
          <w:szCs w:val="28"/>
        </w:rPr>
        <w:t xml:space="preserve">звършване на проверки по преписки и разследване по досъдебни производства с предмет прояви на полицейско насилие“, престъпления срещу личността и др., по които е възможно разследването да се окаже затруднено и </w:t>
      </w:r>
      <w:r w:rsidRPr="0023213C">
        <w:rPr>
          <w:rFonts w:ascii="Times New Roman" w:eastAsia="Times New Roman" w:hAnsi="Times New Roman" w:cs="Times New Roman"/>
          <w:sz w:val="28"/>
          <w:szCs w:val="28"/>
        </w:rPr>
        <w:lastRenderedPageBreak/>
        <w:t xml:space="preserve">неефективно, според наложените от ЕСПЧ стандарти и по които би могло да бъдат предявени претенции срещу България в ЕСПЧ.   </w:t>
      </w:r>
    </w:p>
    <w:p w14:paraId="4255BFF5"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В обобщение може да се посочи, че през отчетната 2022 год., както и през предходните периоди, дейността на прокуратурата в регион Монтана се определя от работата по наказателните производства: фигурата на наблюдаващия прокурор, съсредоточаване усилията върху досъдебните производства, оказване на помощ и съдействие на органите на разследването, както и участието в съдебните производства по наказателните дела. Участието на прокурорите по граждански дела се свежда до тези, по които по закон участва прокурор. Проблеми при подготовката по делата не се наблюдават.  Прокурорите участват  активно по гражданските дела, като проявяват инициатива при събиране на доказателствата и дават задълбочени и обосновани заключения.</w:t>
      </w:r>
    </w:p>
    <w:p w14:paraId="6EB1E767"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При тези обстоятелства е видно, че прокурорите в региона на Окръжна прокуратура - Монтана са участвали активно и отговорно по разглежданите граждански дела през настоящия отчетен период.</w:t>
      </w:r>
    </w:p>
    <w:p w14:paraId="3A074C9C"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p>
    <w:p w14:paraId="113B7105" w14:textId="77777777" w:rsidR="0023213C" w:rsidRPr="0023213C" w:rsidRDefault="0023213C" w:rsidP="0023213C">
      <w:pPr>
        <w:keepNext/>
        <w:shd w:val="clear" w:color="auto" w:fill="FFFFFF"/>
        <w:autoSpaceDE w:val="0"/>
        <w:autoSpaceDN w:val="0"/>
        <w:adjustRightInd w:val="0"/>
        <w:spacing w:after="0" w:line="240" w:lineRule="auto"/>
        <w:ind w:firstLine="709"/>
        <w:jc w:val="both"/>
        <w:outlineLvl w:val="1"/>
        <w:rPr>
          <w:rFonts w:ascii="Times New Roman" w:eastAsia="Calibri" w:hAnsi="Times New Roman" w:cs="Arial"/>
          <w:b/>
          <w:iCs/>
          <w:color w:val="000000"/>
          <w:sz w:val="28"/>
          <w:lang w:eastAsia="bg-BG"/>
        </w:rPr>
      </w:pPr>
      <w:bookmarkStart w:id="54" w:name="_Toc63940904"/>
      <w:bookmarkStart w:id="55" w:name="_Toc127370271"/>
      <w:r w:rsidRPr="0023213C">
        <w:rPr>
          <w:rFonts w:ascii="Times New Roman" w:eastAsia="Calibri" w:hAnsi="Times New Roman" w:cs="Arial"/>
          <w:b/>
          <w:iCs/>
          <w:color w:val="000000"/>
          <w:sz w:val="28"/>
          <w:u w:val="single"/>
          <w:lang w:eastAsia="bg-BG"/>
        </w:rPr>
        <w:t>5. Изпълнение на наказанията и други принудителни мерки</w:t>
      </w:r>
      <w:r w:rsidRPr="0023213C">
        <w:rPr>
          <w:rFonts w:ascii="Times New Roman" w:eastAsia="Calibri" w:hAnsi="Times New Roman" w:cs="Arial"/>
          <w:b/>
          <w:iCs/>
          <w:color w:val="000000"/>
          <w:sz w:val="28"/>
          <w:lang w:eastAsia="bg-BG"/>
        </w:rPr>
        <w:t>.</w:t>
      </w:r>
      <w:bookmarkEnd w:id="54"/>
      <w:bookmarkEnd w:id="55"/>
    </w:p>
    <w:p w14:paraId="306B8B3C" w14:textId="77777777" w:rsidR="0023213C" w:rsidRPr="0023213C" w:rsidRDefault="0023213C" w:rsidP="0023213C">
      <w:pPr>
        <w:shd w:val="clear" w:color="auto" w:fill="FFFFFF"/>
        <w:tabs>
          <w:tab w:val="left" w:pos="826"/>
        </w:tabs>
        <w:autoSpaceDE w:val="0"/>
        <w:autoSpaceDN w:val="0"/>
        <w:adjustRightInd w:val="0"/>
        <w:spacing w:after="0" w:line="240" w:lineRule="auto"/>
        <w:ind w:firstLine="720"/>
        <w:jc w:val="both"/>
        <w:rPr>
          <w:rFonts w:ascii="Calibri" w:eastAsia="Calibri" w:hAnsi="Calibri" w:cs="Times New Roman"/>
          <w:color w:val="000000"/>
          <w:sz w:val="28"/>
          <w:lang w:eastAsia="bg-BG"/>
        </w:rPr>
      </w:pPr>
    </w:p>
    <w:p w14:paraId="28C93C0A" w14:textId="77777777" w:rsidR="0023213C" w:rsidRPr="0023213C" w:rsidRDefault="0023213C" w:rsidP="0023213C">
      <w:pPr>
        <w:ind w:firstLine="708"/>
        <w:rPr>
          <w:rFonts w:ascii="Times New Roman" w:eastAsia="Calibri" w:hAnsi="Times New Roman" w:cs="Times New Roman"/>
          <w:b/>
          <w:i/>
          <w:sz w:val="28"/>
          <w:szCs w:val="28"/>
        </w:rPr>
      </w:pPr>
      <w:r w:rsidRPr="0023213C">
        <w:rPr>
          <w:rFonts w:ascii="Times New Roman" w:eastAsia="Calibri" w:hAnsi="Times New Roman" w:cs="Times New Roman"/>
          <w:b/>
          <w:i/>
          <w:sz w:val="28"/>
          <w:szCs w:val="28"/>
        </w:rPr>
        <w:t>5.1. Привеждане на присъдите в изпълнение – по лица.</w:t>
      </w:r>
    </w:p>
    <w:p w14:paraId="4B110ACC"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23213C">
        <w:rPr>
          <w:rFonts w:ascii="Times New Roman" w:eastAsia="Calibri" w:hAnsi="Times New Roman" w:cs="Times New Roman"/>
          <w:color w:val="000000"/>
          <w:sz w:val="28"/>
        </w:rPr>
        <w:t xml:space="preserve">През отчетния период 01.01.2021 г.– 31.12.2021 г. в Окръжна прокуратура гр. Монтана и Районна прокуратура гр. Монтана са получени за изпълнение общо </w:t>
      </w:r>
      <w:r w:rsidRPr="0023213C">
        <w:rPr>
          <w:rFonts w:ascii="Times New Roman" w:eastAsia="Calibri" w:hAnsi="Times New Roman" w:cs="Times New Roman"/>
          <w:b/>
          <w:color w:val="000000"/>
          <w:sz w:val="28"/>
        </w:rPr>
        <w:t xml:space="preserve">384 </w:t>
      </w:r>
      <w:r w:rsidRPr="0023213C">
        <w:rPr>
          <w:rFonts w:ascii="Times New Roman" w:eastAsia="Calibri" w:hAnsi="Times New Roman" w:cs="Times New Roman"/>
          <w:color w:val="000000"/>
          <w:sz w:val="28"/>
        </w:rPr>
        <w:t xml:space="preserve">присъди и споразумения, при 377 за 2021 г. и 340 за 2020 г. </w:t>
      </w:r>
    </w:p>
    <w:p w14:paraId="67D812AB"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23213C">
        <w:rPr>
          <w:rFonts w:ascii="Times New Roman" w:eastAsia="Calibri" w:hAnsi="Times New Roman" w:cs="Times New Roman"/>
          <w:color w:val="000000"/>
          <w:sz w:val="28"/>
        </w:rPr>
        <w:t>От тях:</w:t>
      </w:r>
    </w:p>
    <w:p w14:paraId="67510CCD" w14:textId="77777777" w:rsidR="0023213C" w:rsidRPr="0023213C" w:rsidRDefault="0023213C" w:rsidP="0023213C">
      <w:pPr>
        <w:autoSpaceDE w:val="0"/>
        <w:autoSpaceDN w:val="0"/>
        <w:adjustRightInd w:val="0"/>
        <w:spacing w:after="0" w:line="240" w:lineRule="auto"/>
        <w:ind w:firstLine="426"/>
        <w:jc w:val="both"/>
        <w:rPr>
          <w:rFonts w:ascii="Times New Roman" w:eastAsia="Calibri" w:hAnsi="Times New Roman" w:cs="Times New Roman"/>
          <w:color w:val="000000"/>
          <w:sz w:val="28"/>
          <w:szCs w:val="28"/>
        </w:rPr>
      </w:pPr>
      <w:r w:rsidRPr="0023213C">
        <w:rPr>
          <w:rFonts w:ascii="Times New Roman" w:eastAsia="Calibri" w:hAnsi="Times New Roman" w:cs="Times New Roman"/>
          <w:color w:val="000000"/>
          <w:sz w:val="28"/>
          <w:szCs w:val="28"/>
        </w:rPr>
        <w:t>- наказание „доживотен затвор” – 0, при 0 за 2021 г. и 0 за 2020 г.;</w:t>
      </w:r>
    </w:p>
    <w:p w14:paraId="2B64F6C8" w14:textId="77777777" w:rsidR="0023213C" w:rsidRPr="0023213C" w:rsidRDefault="0023213C" w:rsidP="0023213C">
      <w:pPr>
        <w:autoSpaceDE w:val="0"/>
        <w:autoSpaceDN w:val="0"/>
        <w:adjustRightInd w:val="0"/>
        <w:spacing w:after="0" w:line="240" w:lineRule="auto"/>
        <w:ind w:firstLine="426"/>
        <w:jc w:val="both"/>
        <w:rPr>
          <w:rFonts w:ascii="Times New Roman" w:eastAsia="Calibri" w:hAnsi="Times New Roman" w:cs="Times New Roman"/>
          <w:color w:val="000000"/>
          <w:sz w:val="28"/>
        </w:rPr>
      </w:pPr>
      <w:r w:rsidRPr="0023213C">
        <w:rPr>
          <w:rFonts w:ascii="Times New Roman" w:eastAsia="Calibri" w:hAnsi="Times New Roman" w:cs="Times New Roman"/>
          <w:color w:val="000000"/>
          <w:sz w:val="28"/>
        </w:rPr>
        <w:t>- наказание „лишаване от свобода” – 123, при 126 за 2021 г. и 130 за 2020 г.</w:t>
      </w:r>
    </w:p>
    <w:p w14:paraId="5B5C161F" w14:textId="77777777" w:rsidR="0023213C" w:rsidRPr="0023213C" w:rsidRDefault="0023213C" w:rsidP="0023213C">
      <w:pPr>
        <w:autoSpaceDE w:val="0"/>
        <w:autoSpaceDN w:val="0"/>
        <w:adjustRightInd w:val="0"/>
        <w:spacing w:after="0" w:line="240" w:lineRule="auto"/>
        <w:ind w:firstLine="426"/>
        <w:jc w:val="both"/>
        <w:rPr>
          <w:rFonts w:ascii="Times New Roman" w:eastAsia="Calibri" w:hAnsi="Times New Roman" w:cs="Times New Roman"/>
          <w:color w:val="000000"/>
          <w:sz w:val="28"/>
        </w:rPr>
      </w:pPr>
      <w:r w:rsidRPr="0023213C">
        <w:rPr>
          <w:rFonts w:ascii="Times New Roman" w:eastAsia="Calibri" w:hAnsi="Times New Roman" w:cs="Times New Roman"/>
          <w:color w:val="000000"/>
          <w:sz w:val="28"/>
        </w:rPr>
        <w:t>- наказание „лишаване от права“ по чл. 37, ал.1, т. 6 – 10 НК - 142, при 139 за 2021 г. и 111 за 2020 г.;</w:t>
      </w:r>
    </w:p>
    <w:p w14:paraId="76C97754" w14:textId="77777777" w:rsidR="0023213C" w:rsidRPr="0023213C" w:rsidRDefault="0023213C" w:rsidP="0023213C">
      <w:pPr>
        <w:autoSpaceDE w:val="0"/>
        <w:autoSpaceDN w:val="0"/>
        <w:adjustRightInd w:val="0"/>
        <w:spacing w:after="0" w:line="240" w:lineRule="auto"/>
        <w:ind w:firstLine="426"/>
        <w:jc w:val="both"/>
        <w:rPr>
          <w:rFonts w:ascii="Times New Roman" w:eastAsia="Calibri" w:hAnsi="Times New Roman" w:cs="Times New Roman"/>
          <w:color w:val="000000"/>
          <w:sz w:val="28"/>
        </w:rPr>
      </w:pPr>
      <w:r w:rsidRPr="0023213C">
        <w:rPr>
          <w:rFonts w:ascii="Times New Roman" w:eastAsia="Calibri" w:hAnsi="Times New Roman" w:cs="Times New Roman"/>
          <w:color w:val="000000"/>
          <w:sz w:val="28"/>
        </w:rPr>
        <w:t>- наказание „пробация” – 120, при 126 за 2021 г. и 98 за 2020 г.;</w:t>
      </w:r>
    </w:p>
    <w:p w14:paraId="29F3CA14" w14:textId="77777777" w:rsidR="0023213C" w:rsidRDefault="0023213C" w:rsidP="0023213C">
      <w:pPr>
        <w:autoSpaceDE w:val="0"/>
        <w:autoSpaceDN w:val="0"/>
        <w:adjustRightInd w:val="0"/>
        <w:spacing w:after="0" w:line="240" w:lineRule="auto"/>
        <w:ind w:firstLine="426"/>
        <w:jc w:val="both"/>
        <w:rPr>
          <w:rFonts w:ascii="Times New Roman" w:eastAsia="Calibri" w:hAnsi="Times New Roman" w:cs="Times New Roman"/>
          <w:color w:val="000000"/>
          <w:sz w:val="28"/>
        </w:rPr>
      </w:pPr>
      <w:r w:rsidRPr="0023213C">
        <w:rPr>
          <w:rFonts w:ascii="Times New Roman" w:eastAsia="Calibri" w:hAnsi="Times New Roman" w:cs="Times New Roman"/>
          <w:color w:val="000000"/>
          <w:sz w:val="28"/>
        </w:rPr>
        <w:t>- наказание „обществено порицание” – 12, при 11 за 2021 г. и 17 за 2020 г.;</w:t>
      </w:r>
    </w:p>
    <w:p w14:paraId="13B3A410" w14:textId="7DF64DDF" w:rsidR="0024139D" w:rsidRDefault="0024139D" w:rsidP="0023213C">
      <w:pPr>
        <w:autoSpaceDE w:val="0"/>
        <w:autoSpaceDN w:val="0"/>
        <w:adjustRightInd w:val="0"/>
        <w:spacing w:after="0" w:line="240" w:lineRule="auto"/>
        <w:ind w:firstLine="426"/>
        <w:jc w:val="both"/>
        <w:rPr>
          <w:rFonts w:ascii="Times New Roman" w:eastAsia="Calibri" w:hAnsi="Times New Roman" w:cs="Times New Roman"/>
          <w:color w:val="000000"/>
          <w:sz w:val="28"/>
        </w:rPr>
      </w:pPr>
      <w:r>
        <w:rPr>
          <w:noProof/>
          <w:lang w:eastAsia="bg-BG"/>
        </w:rPr>
        <w:drawing>
          <wp:inline distT="0" distB="0" distL="0" distR="0" wp14:anchorId="6D164F75" wp14:editId="0BF327A1">
            <wp:extent cx="5972810" cy="2919730"/>
            <wp:effectExtent l="0" t="0" r="0" b="0"/>
            <wp:docPr id="13" name="Ди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A9BA40" w14:textId="77777777" w:rsidR="0024139D" w:rsidRDefault="0024139D" w:rsidP="0023213C">
      <w:pPr>
        <w:autoSpaceDE w:val="0"/>
        <w:autoSpaceDN w:val="0"/>
        <w:adjustRightInd w:val="0"/>
        <w:spacing w:after="0" w:line="240" w:lineRule="auto"/>
        <w:ind w:firstLine="426"/>
        <w:jc w:val="both"/>
        <w:rPr>
          <w:rFonts w:ascii="Times New Roman" w:eastAsia="Calibri" w:hAnsi="Times New Roman" w:cs="Times New Roman"/>
          <w:color w:val="000000"/>
          <w:sz w:val="28"/>
        </w:rPr>
      </w:pPr>
    </w:p>
    <w:p w14:paraId="6855BD5D"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23213C">
        <w:rPr>
          <w:rFonts w:ascii="Times New Roman" w:eastAsia="Calibri" w:hAnsi="Times New Roman" w:cs="Times New Roman"/>
          <w:color w:val="000000"/>
          <w:sz w:val="28"/>
        </w:rPr>
        <w:t xml:space="preserve">Налице е тенденция за увеличаване на получените за изпълнение в региона на Окръжна прокуратура Монтана присъди и споразумения в сравнение с 2021 г. (377) и 2020 г. (340) или в процентно изражение увеличението е с 2% спрямо 2021 г. и с 11% спрямо 2020 г. </w:t>
      </w:r>
    </w:p>
    <w:p w14:paraId="3C4E8967"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23213C">
        <w:rPr>
          <w:rFonts w:ascii="Times New Roman" w:eastAsia="Calibri" w:hAnsi="Times New Roman" w:cs="Times New Roman"/>
          <w:color w:val="000000"/>
          <w:sz w:val="28"/>
        </w:rPr>
        <w:t xml:space="preserve">Налице е спрямо предходната година намаление с 2% при получените за изпълнение актове с наложено наказание „Лишаване от свобода”, като в сравнение с 2021 г. са с 3 акта по-малко, а в сравнение с 2020 г. със 7 акта по-малко или 6,6%. </w:t>
      </w:r>
    </w:p>
    <w:p w14:paraId="2BFA0E7C"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23213C">
        <w:rPr>
          <w:rFonts w:ascii="Times New Roman" w:eastAsia="Calibri" w:hAnsi="Times New Roman" w:cs="Times New Roman"/>
          <w:color w:val="000000"/>
          <w:sz w:val="28"/>
        </w:rPr>
        <w:t>Спрямо предходната година се наблюдава увеличаване с 3,2% на получените за изпълнение актове с наложено наказание „Лишаване от права по чл. 37 ал. 1 т. 6 – 10 НК”, като в сравнение с 2021 г. са с 3 акта повече, а в сравнение с 2020 г. с 31 акта повече или с 22%.</w:t>
      </w:r>
    </w:p>
    <w:p w14:paraId="330A6B43"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23213C">
        <w:rPr>
          <w:rFonts w:ascii="Times New Roman" w:eastAsia="Calibri" w:hAnsi="Times New Roman" w:cs="Times New Roman"/>
          <w:color w:val="000000"/>
          <w:sz w:val="28"/>
        </w:rPr>
        <w:t>Получените за изпълнение актове с наложено наказание „Пробация“ спрямо предходната година са намалели със 4,8%, като в сравнение с 2021 г. са с 6 акта по-малко, а в сравнение с 2020 г. - със 22 акта повече или с 9,4%.</w:t>
      </w:r>
    </w:p>
    <w:p w14:paraId="31C1B65E"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23213C">
        <w:rPr>
          <w:rFonts w:ascii="Times New Roman" w:eastAsia="Calibri" w:hAnsi="Times New Roman" w:cs="Times New Roman"/>
          <w:color w:val="000000"/>
          <w:sz w:val="28"/>
        </w:rPr>
        <w:t>Отнесено към показателите на предходната година, има увеличение с 8,4% при получените за изпълнение актове с наложено наказание „Обществено порицание”, като в сравнение с 2021 г. са с 1 акт повече, а в сравнение с 2020 г. - с 5 акта по-малко или с 29,5%.</w:t>
      </w:r>
    </w:p>
    <w:p w14:paraId="6F7E037F"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23213C">
        <w:rPr>
          <w:rFonts w:ascii="Times New Roman" w:eastAsia="Calibri" w:hAnsi="Times New Roman" w:cs="Times New Roman"/>
          <w:color w:val="000000"/>
          <w:sz w:val="28"/>
          <w:szCs w:val="28"/>
        </w:rPr>
        <w:t xml:space="preserve">Анализът на данните сочи , че най-често налагано за съдебния район на ОП Монтана, е наказанието„лишаване от права по чл. 37, ал.1, т. 6 – 10 НК“ от получените за изпълнение по лица присъди и споразумения. На второ място остава преимуществено налаганото наказание „Лишаване от свобода” и „Пробация” с изравнени показатели и на последно място е наказанието „Обществено порицание“. </w:t>
      </w:r>
    </w:p>
    <w:p w14:paraId="505906B0"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23213C">
        <w:rPr>
          <w:rFonts w:ascii="Times New Roman" w:eastAsia="Calibri" w:hAnsi="Times New Roman" w:cs="Times New Roman"/>
          <w:color w:val="000000"/>
          <w:sz w:val="28"/>
          <w:szCs w:val="28"/>
        </w:rPr>
        <w:t>За отчетната година 37% (при 36% за 2021 г. и 32,6% за 2020 г.) от получените за изпълнение по лица присъди и споразумения са с наказание „лишаване от права по чл. 37, ал.1, т. 6 – 10 НК; 32% (при 33% за 2021 г. и 38% за 2020 г.) от получените за изпълнение по лица присъди и споразумения са с наказание „Лишаване от свобода”;  31% (при 33% за 2021 г. и 28,8% за 2020 г.) с наказание „пробация“ и 3% (при 3% за 2021 г. и 5% за 2020 г.) с наказание „обществено порицание“. Налице е тенденция за динамика в налаганите наказания с оглед на това, че през предходните три години по прокурорските актове, внесени в Съда преимуществено са налагани наказания – „лишаване от права по чл. 37, ал.1, т. 6 – 10 НК“, следвано от наказанието „лишаване от свобода“. Не следва да се изключва и в бъдеще да е налице промяна в във вида на наказанията по внесените прокурорски актове за съдебен район Монтана. Налаганото приоритетно наказание „лишаване от права по чл. 37, ал.1, т. 6 – 10 НК“ и следващото го наказание „лишаване от свобода“ безспорно допринасят изпълнението на основните изисквания, залегнали в разпоредбата на чл. 36 от НК.</w:t>
      </w:r>
    </w:p>
    <w:p w14:paraId="026268FB"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23213C">
        <w:rPr>
          <w:rFonts w:ascii="Times New Roman" w:eastAsia="Calibri" w:hAnsi="Times New Roman" w:cs="Times New Roman"/>
          <w:color w:val="000000"/>
          <w:sz w:val="28"/>
        </w:rPr>
        <w:t xml:space="preserve">От общия брой на присъдите и споразуменията, получени за изпълнение през 2021 г. (384), 362 бр. са приведени в изпълнение, като са изпратени от прокурора до органите по изпълнение (при 341 за 2021 г. и при 323 за 2020 г.), </w:t>
      </w:r>
      <w:r w:rsidRPr="0023213C">
        <w:rPr>
          <w:rFonts w:ascii="Times New Roman" w:eastAsia="Calibri" w:hAnsi="Times New Roman" w:cs="Times New Roman"/>
          <w:color w:val="000000"/>
          <w:sz w:val="28"/>
        </w:rPr>
        <w:lastRenderedPageBreak/>
        <w:t>част от присъдите са изпратени за изпълнение по делегация. Съотношението на приведените в изпълнение съдебни актове спрямо получените е 94%.</w:t>
      </w:r>
    </w:p>
    <w:p w14:paraId="14620CE6"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23213C">
        <w:rPr>
          <w:rFonts w:ascii="Times New Roman" w:eastAsia="Calibri" w:hAnsi="Times New Roman" w:cs="Times New Roman"/>
          <w:color w:val="000000"/>
          <w:sz w:val="28"/>
        </w:rPr>
        <w:t>През отчетния период в прокуратурите в региона са постановени 2 бр. отлагане на наказанието „лишаване от свобода“ на основание чл. 415 от НПК, като  през предходните 2021 г. и 2020 г. не е постановявано отлагане на наказанието по реда на чл. 415 от НПК.</w:t>
      </w:r>
    </w:p>
    <w:p w14:paraId="10959160"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23213C">
        <w:rPr>
          <w:rFonts w:ascii="Times New Roman" w:eastAsia="Calibri" w:hAnsi="Times New Roman" w:cs="Times New Roman"/>
          <w:color w:val="000000"/>
          <w:sz w:val="28"/>
        </w:rPr>
        <w:t xml:space="preserve">Към края на отчетния период са останала неприведена в изпълнение 1 бр. присъда с наказание „лишаване от свобода“ поради групиране по реда на чл. 23–25 от НК с  вече изтърпяно наказание. </w:t>
      </w:r>
    </w:p>
    <w:p w14:paraId="54F6D4BC"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23213C">
        <w:rPr>
          <w:rFonts w:ascii="Times New Roman" w:eastAsia="Calibri" w:hAnsi="Times New Roman" w:cs="Times New Roman"/>
          <w:color w:val="000000"/>
          <w:sz w:val="28"/>
        </w:rPr>
        <w:t xml:space="preserve">От общия брой на присъдите и споразуменията, приведени в изпълнение (изпратени от прокурора до органите по изпълнение) през 2021 г., реално са приведени в изпълнение по лица (с получени потвърждения за начало на изпълнението по привеждане на присъдата) - 350 бр., при 296 за 2021 г. и при 306 за 2020 г. </w:t>
      </w:r>
    </w:p>
    <w:p w14:paraId="1C4C075E"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23213C">
        <w:rPr>
          <w:rFonts w:ascii="Times New Roman" w:eastAsia="Calibri" w:hAnsi="Times New Roman" w:cs="Times New Roman"/>
          <w:color w:val="000000"/>
          <w:sz w:val="28"/>
        </w:rPr>
        <w:t xml:space="preserve">Прокурорът е изпратил за изпълнение до органа по изпълнение на наказанията присъди срещу 362 лица, при 341 лица за 2021 г. и 323 за 2020 г. </w:t>
      </w:r>
    </w:p>
    <w:p w14:paraId="2BC3572C"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23213C">
        <w:rPr>
          <w:rFonts w:ascii="Times New Roman" w:eastAsia="Calibri" w:hAnsi="Times New Roman" w:cs="Times New Roman"/>
          <w:color w:val="000000"/>
          <w:sz w:val="28"/>
        </w:rPr>
        <w:t xml:space="preserve">От получените общо 384 съдебни акта по лица с наложени наказания са приведени в изпълнение актове срещу 362 лица или малко над 94 %. </w:t>
      </w:r>
    </w:p>
    <w:p w14:paraId="7FF40B65"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23213C">
        <w:rPr>
          <w:rFonts w:ascii="Times New Roman" w:eastAsia="Calibri" w:hAnsi="Times New Roman" w:cs="Times New Roman"/>
          <w:color w:val="000000"/>
          <w:sz w:val="28"/>
        </w:rPr>
        <w:t xml:space="preserve">Сравнението на данните за последните три години позволява да се направи извод за увеличаване по привеждането на получените съдебни актове по лица с наложени наказания в изпълнение спрямо 2021 г. с 21 бр. и спрямо 2019 г. с 56 бр. </w:t>
      </w:r>
    </w:p>
    <w:p w14:paraId="50662EC8"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23213C">
        <w:rPr>
          <w:rFonts w:ascii="Times New Roman" w:eastAsia="Calibri" w:hAnsi="Times New Roman" w:cs="Times New Roman"/>
          <w:color w:val="000000"/>
          <w:sz w:val="28"/>
        </w:rPr>
        <w:t xml:space="preserve">Като проблем следва да се отчете налагането и изпълнението на принудителна административна мярка  „Забрана за напускане на пределите на Република България” по отношение на лицата, спрямо които не е влязла в сила ефективна осъдителна присъда. В рамките на Европейския съюз не се прилага граничен контрол, а напускащите страната лица в посока страна от ЕС се проверяват по метода „Анализ на риска”, което позволява на лица с ефективни осъдителни присъди да напускат страната, което от своя страна изисква обявяването им за ОДИ и издаване ЕЗА, а това води до неминуемо забавяне изпълнението на влезлите в сила присъди.  </w:t>
      </w:r>
    </w:p>
    <w:p w14:paraId="7B1D89B1"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p>
    <w:p w14:paraId="37383FBD" w14:textId="77777777" w:rsidR="0023213C" w:rsidRPr="0023213C" w:rsidRDefault="0023213C" w:rsidP="0023213C">
      <w:pPr>
        <w:ind w:firstLine="708"/>
        <w:rPr>
          <w:rFonts w:ascii="Times New Roman" w:eastAsia="Calibri" w:hAnsi="Times New Roman" w:cs="Times New Roman"/>
          <w:b/>
          <w:i/>
          <w:sz w:val="28"/>
          <w:szCs w:val="28"/>
        </w:rPr>
      </w:pPr>
      <w:r w:rsidRPr="0023213C">
        <w:rPr>
          <w:rFonts w:ascii="Times New Roman" w:eastAsia="Calibri" w:hAnsi="Times New Roman" w:cs="Times New Roman"/>
          <w:b/>
          <w:i/>
          <w:sz w:val="28"/>
          <w:szCs w:val="28"/>
        </w:rPr>
        <w:t>5.2. Контрол по изпълнение на присъдите -  по лица. Принудителни мерки.</w:t>
      </w:r>
    </w:p>
    <w:p w14:paraId="03F219FE"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23213C">
        <w:rPr>
          <w:rFonts w:ascii="Times New Roman" w:eastAsia="Calibri" w:hAnsi="Times New Roman" w:cs="Times New Roman"/>
          <w:sz w:val="28"/>
        </w:rPr>
        <w:t xml:space="preserve">През 2022 г. от Окръжна </w:t>
      </w:r>
      <w:r w:rsidRPr="0023213C">
        <w:rPr>
          <w:rFonts w:ascii="Times New Roman" w:eastAsia="Calibri" w:hAnsi="Times New Roman" w:cs="Times New Roman"/>
          <w:color w:val="000000"/>
          <w:sz w:val="28"/>
        </w:rPr>
        <w:t xml:space="preserve">прокуратура - Монтана и районните прокуратури от региона са внесени 21 предложения за групиране на наказанията по реда на чл. 306 НПК (при 13 за 2021 г. и 25 за 2020 г.). От тях уважени са 19 броя (при 11 бр. за 2020 г. и 23 бр. за 2020 г.). Неуважени са 2 бр. предложения (срещу 2 бр. за 2021 г. и 0 бр. за 2020 г.). </w:t>
      </w:r>
    </w:p>
    <w:p w14:paraId="79DBE110"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23213C">
        <w:rPr>
          <w:rFonts w:ascii="Times New Roman" w:eastAsia="Calibri" w:hAnsi="Times New Roman" w:cs="Times New Roman"/>
          <w:color w:val="000000"/>
          <w:sz w:val="28"/>
        </w:rPr>
        <w:t>За отчетния период, както и за предходните 2021 г. и 2020 г.,  най–активна във връзка с производствата по групиране на наказанията е била Районна прокуратура Монтана, като е внесла 20 предложения по реда на чл. 306 НПК.</w:t>
      </w:r>
    </w:p>
    <w:p w14:paraId="03562112"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23213C">
        <w:rPr>
          <w:rFonts w:ascii="Times New Roman" w:eastAsia="Calibri" w:hAnsi="Times New Roman" w:cs="Times New Roman"/>
          <w:color w:val="000000"/>
          <w:sz w:val="28"/>
        </w:rPr>
        <w:lastRenderedPageBreak/>
        <w:t>Броят на уважените предложения е показателен за правилността и обосноваността на предложенията. Уважените предложения са 90,5% от внесените в съда.</w:t>
      </w:r>
    </w:p>
    <w:p w14:paraId="1A3F6591"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23213C">
        <w:rPr>
          <w:rFonts w:ascii="Times New Roman" w:eastAsia="Calibri" w:hAnsi="Times New Roman" w:cs="Times New Roman"/>
          <w:color w:val="000000"/>
          <w:sz w:val="28"/>
          <w:szCs w:val="28"/>
        </w:rPr>
        <w:t xml:space="preserve">Горепосочените данни дават основание да се направи извод, че в Окръжна прокуратура гр. Монтана и Районна прокуратура гр. Монтана стриктно е спазвано Указанието за дейността на прокуратурата по надзора върху изпълнение на наказанията и други принудителни мерки, утвърдено със заповед на главния прокурор на Република България № 5306/24.11.2014 г. Изпълнението на задълженията на прокурорите, осъществяващи дейност по изпълнение на наказанията, по внасяне на предложения за групиране по реда на чл.306 НПК и участие в съдебни заседания по такива производства, е от съществено значение за недопускане на неоснователно задържане над срока на лишаване от свобода по определените наказания. </w:t>
      </w:r>
    </w:p>
    <w:p w14:paraId="0D281DBB"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23213C">
        <w:rPr>
          <w:rFonts w:ascii="Times New Roman" w:eastAsia="Calibri" w:hAnsi="Times New Roman" w:cs="Times New Roman"/>
          <w:color w:val="000000"/>
          <w:sz w:val="28"/>
          <w:szCs w:val="28"/>
        </w:rPr>
        <w:t xml:space="preserve">За отчетния период в Окръжна прокуратура – Монтана не са изготвяни предложения по чл. 70 и чл. 71 НК, както и по чл. 437 и сл. от НПК. </w:t>
      </w:r>
    </w:p>
    <w:p w14:paraId="57094F4C"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23213C">
        <w:rPr>
          <w:rFonts w:ascii="Times New Roman" w:eastAsia="Calibri" w:hAnsi="Times New Roman" w:cs="Times New Roman"/>
          <w:color w:val="000000"/>
          <w:sz w:val="28"/>
          <w:szCs w:val="28"/>
        </w:rPr>
        <w:t xml:space="preserve">За отчетния период не са постановени прекъсване на изпълнението на наказание „лишаване от свобода” от окръжния прокурор на ОП Монтана по реда на чл. 448 НПК. </w:t>
      </w:r>
    </w:p>
    <w:p w14:paraId="1B33F193"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23213C">
        <w:rPr>
          <w:rFonts w:ascii="Times New Roman" w:eastAsia="Calibri" w:hAnsi="Times New Roman" w:cs="Times New Roman"/>
          <w:color w:val="000000"/>
          <w:sz w:val="28"/>
          <w:szCs w:val="28"/>
        </w:rPr>
        <w:t xml:space="preserve">Общият брой на незадържаните лица по изпратените за изпълнение присъди „лишаване от свобода” е 6, като 5 лица са осъдени в предходни периоди. За незадържаните лица, за които са налице основанията на чл. 36, ал. 1 от ЗЕЕЗА, са издадени европейски заповеди за арест и неиздирените за изпълнение на присъди лица са обявени за общодържавно издирване от МВР. </w:t>
      </w:r>
      <w:r w:rsidRPr="0023213C">
        <w:rPr>
          <w:rFonts w:ascii="Times New Roman" w:eastAsia="Calibri" w:hAnsi="Times New Roman" w:cs="Times New Roman"/>
          <w:color w:val="000000"/>
          <w:sz w:val="28"/>
        </w:rPr>
        <w:t xml:space="preserve">Налице е тенденция през отчетния период за намаляване на останалите непреведени в изпълнение присъди, по този показател спрямо 2020 г. (10 лица) и 2020 г. (15 лица). Причините за това влезлите в сила присъди и определения за одобряване на споразумения да не бъдат приведени от прокурора в изпълнение са идентични с тези от предходните отчетни години: осъдените лица са напуснали местоживеенето си и не са установени, за да бъдат задържани за изпълнение на присъдата или е отказана екстрадиция от страните по местоживеене. </w:t>
      </w:r>
    </w:p>
    <w:p w14:paraId="32C75B83"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23213C">
        <w:rPr>
          <w:rFonts w:ascii="Times New Roman" w:eastAsia="Calibri" w:hAnsi="Times New Roman" w:cs="Times New Roman"/>
          <w:color w:val="000000"/>
          <w:sz w:val="28"/>
          <w:szCs w:val="28"/>
        </w:rPr>
        <w:t xml:space="preserve">През отчетния период прокурорите са участвали в 53 бр. съдебни заседания по 40 бр. производства във връзка с изпълнение на наказанията (при 54  заседания по 44 съдебни производства за 2021 г. и 49  заседания по 43 съдебни производства за 2020  г.). </w:t>
      </w:r>
    </w:p>
    <w:p w14:paraId="250E7287"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23213C">
        <w:rPr>
          <w:rFonts w:ascii="Times New Roman" w:eastAsia="Calibri" w:hAnsi="Times New Roman" w:cs="Times New Roman"/>
          <w:color w:val="000000"/>
          <w:sz w:val="28"/>
          <w:szCs w:val="28"/>
        </w:rPr>
        <w:t>Налице е през отчетната година тенденция на устойчивост спрямо предходната отчетна година, както на производствата във връзка с изпълнение на наказанията, така и на съдебните заседания във връзка с тези производства.</w:t>
      </w:r>
    </w:p>
    <w:p w14:paraId="364C78E3" w14:textId="77777777"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p>
    <w:p w14:paraId="2EC6801F" w14:textId="77777777" w:rsidR="0023213C" w:rsidRPr="0023213C" w:rsidRDefault="0023213C" w:rsidP="0023213C">
      <w:pPr>
        <w:ind w:firstLine="708"/>
        <w:rPr>
          <w:rFonts w:ascii="Times New Roman" w:eastAsia="Calibri" w:hAnsi="Times New Roman" w:cs="Times New Roman"/>
          <w:b/>
          <w:i/>
          <w:sz w:val="28"/>
          <w:szCs w:val="28"/>
        </w:rPr>
      </w:pPr>
      <w:r w:rsidRPr="0023213C">
        <w:rPr>
          <w:rFonts w:ascii="Times New Roman" w:eastAsia="Calibri" w:hAnsi="Times New Roman" w:cs="Times New Roman"/>
          <w:b/>
          <w:i/>
          <w:sz w:val="28"/>
          <w:szCs w:val="28"/>
        </w:rPr>
        <w:t>5.3. Принудителни мерки.</w:t>
      </w:r>
    </w:p>
    <w:p w14:paraId="102DEF12" w14:textId="3844CFAF" w:rsidR="0023213C" w:rsidRP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23213C">
        <w:rPr>
          <w:rFonts w:ascii="Times New Roman" w:eastAsia="Calibri" w:hAnsi="Times New Roman" w:cs="Times New Roman"/>
          <w:color w:val="000000"/>
          <w:sz w:val="28"/>
          <w:szCs w:val="28"/>
        </w:rPr>
        <w:t xml:space="preserve">През периода 01.01.2022 г. – 31.12.2022 г. в  прокуратури от региона на Окръжна прокуратура гр. Монтана са били наблюдавани общо 84 преписки за налагане на принудителни медицински мерки, от които 78  новообразувани </w:t>
      </w:r>
      <w:r w:rsidRPr="0023213C">
        <w:rPr>
          <w:rFonts w:ascii="Times New Roman" w:eastAsia="Calibri" w:hAnsi="Times New Roman" w:cs="Times New Roman"/>
          <w:color w:val="000000"/>
          <w:sz w:val="28"/>
        </w:rPr>
        <w:t>(срещу 95 за 2021 г. и 93 за 2020 г.)</w:t>
      </w:r>
      <w:r w:rsidRPr="0023213C">
        <w:rPr>
          <w:rFonts w:ascii="Times New Roman" w:eastAsia="Calibri" w:hAnsi="Times New Roman" w:cs="Times New Roman"/>
          <w:color w:val="000000"/>
          <w:sz w:val="28"/>
          <w:szCs w:val="28"/>
        </w:rPr>
        <w:t xml:space="preserve">. Внесени са 54 предложения и искания в съда </w:t>
      </w:r>
      <w:r w:rsidRPr="0023213C">
        <w:rPr>
          <w:rFonts w:ascii="Times New Roman" w:eastAsia="Calibri" w:hAnsi="Times New Roman" w:cs="Times New Roman"/>
          <w:color w:val="000000"/>
          <w:sz w:val="28"/>
        </w:rPr>
        <w:t>(71 за 2021 г. и 66 за 2020 г.)</w:t>
      </w:r>
      <w:r w:rsidRPr="0023213C">
        <w:rPr>
          <w:rFonts w:ascii="Times New Roman" w:eastAsia="Calibri" w:hAnsi="Times New Roman" w:cs="Times New Roman"/>
          <w:color w:val="000000"/>
          <w:sz w:val="28"/>
          <w:szCs w:val="28"/>
        </w:rPr>
        <w:t xml:space="preserve">. Разгледани са от съда  52 предложения и </w:t>
      </w:r>
      <w:r w:rsidRPr="0023213C">
        <w:rPr>
          <w:rFonts w:ascii="Times New Roman" w:eastAsia="Calibri" w:hAnsi="Times New Roman" w:cs="Times New Roman"/>
          <w:color w:val="000000"/>
          <w:sz w:val="28"/>
          <w:szCs w:val="28"/>
        </w:rPr>
        <w:lastRenderedPageBreak/>
        <w:t xml:space="preserve">искания, от които са уважени 38. Прекратени са от съда производствата по 14 предложения и искания. </w:t>
      </w:r>
      <w:r w:rsidRPr="0023213C">
        <w:rPr>
          <w:rFonts w:ascii="Times New Roman" w:eastAsia="Calibri" w:hAnsi="Times New Roman" w:cs="Times New Roman"/>
          <w:color w:val="000000"/>
          <w:sz w:val="28"/>
        </w:rPr>
        <w:t>Прокурорите са участвали в 101 (през 2021 г. – 151, а през 2020 г. – 137) съдебни заседания по</w:t>
      </w:r>
      <w:r w:rsidRPr="0023213C">
        <w:rPr>
          <w:rFonts w:ascii="Times New Roman" w:eastAsia="Calibri" w:hAnsi="Times New Roman" w:cs="Times New Roman"/>
          <w:color w:val="000000"/>
          <w:sz w:val="28"/>
          <w:szCs w:val="28"/>
        </w:rPr>
        <w:t xml:space="preserve"> предложения за налагане на принудителни медицински мерки</w:t>
      </w:r>
      <w:r w:rsidRPr="0023213C">
        <w:rPr>
          <w:rFonts w:ascii="Times New Roman" w:eastAsia="Calibri" w:hAnsi="Times New Roman" w:cs="Times New Roman"/>
          <w:color w:val="000000"/>
          <w:sz w:val="28"/>
        </w:rPr>
        <w:t>.</w:t>
      </w:r>
    </w:p>
    <w:p w14:paraId="6D96FBEA" w14:textId="62980B30" w:rsidR="00EA6548"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23213C">
        <w:rPr>
          <w:rFonts w:ascii="Times New Roman" w:eastAsia="Calibri" w:hAnsi="Times New Roman" w:cs="Times New Roman"/>
          <w:color w:val="000000"/>
          <w:sz w:val="28"/>
        </w:rPr>
        <w:t xml:space="preserve">Сравнението на данните за последните три години позволява да се направи извод за тенденция за намаление с 11,6% броя на преписките </w:t>
      </w:r>
      <w:r w:rsidRPr="0023213C">
        <w:rPr>
          <w:rFonts w:ascii="Times New Roman" w:eastAsia="Calibri" w:hAnsi="Times New Roman" w:cs="Times New Roman"/>
          <w:color w:val="000000"/>
          <w:sz w:val="28"/>
          <w:szCs w:val="28"/>
        </w:rPr>
        <w:t xml:space="preserve">за налагане на принудителни медицински мерки спрямо 2021 г. и </w:t>
      </w:r>
      <w:r>
        <w:rPr>
          <w:rFonts w:ascii="Times New Roman" w:eastAsia="Calibri" w:hAnsi="Times New Roman" w:cs="Times New Roman"/>
          <w:color w:val="000000"/>
          <w:sz w:val="28"/>
          <w:szCs w:val="28"/>
        </w:rPr>
        <w:t>намаление с 9,7% спрямо 2020 г.</w:t>
      </w:r>
      <w:r w:rsidR="002645AB">
        <w:rPr>
          <w:rFonts w:ascii="Times New Roman" w:eastAsia="Calibri" w:hAnsi="Times New Roman" w:cs="Times New Roman"/>
          <w:color w:val="000000"/>
          <w:sz w:val="28"/>
          <w:szCs w:val="28"/>
        </w:rPr>
        <w:t xml:space="preserve"> </w:t>
      </w:r>
    </w:p>
    <w:p w14:paraId="630B4A78" w14:textId="77777777" w:rsidR="00EA6548" w:rsidRDefault="00EA6548" w:rsidP="00EA6548">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p>
    <w:p w14:paraId="08390482" w14:textId="77777777" w:rsidR="0023213C" w:rsidRPr="00FC76F9" w:rsidRDefault="00F0746D" w:rsidP="0023213C">
      <w:pPr>
        <w:pStyle w:val="-1"/>
        <w:ind w:firstLine="0"/>
        <w:rPr>
          <w:szCs w:val="28"/>
        </w:rPr>
      </w:pPr>
      <w:bookmarkStart w:id="56" w:name="_Toc127370272"/>
      <w:r w:rsidRPr="00FC76F9">
        <w:rPr>
          <w:iCs w:val="0"/>
          <w:szCs w:val="28"/>
          <w:lang w:val="en-US"/>
        </w:rPr>
        <w:t>III</w:t>
      </w:r>
      <w:r w:rsidRPr="00FC76F9">
        <w:rPr>
          <w:iCs w:val="0"/>
          <w:szCs w:val="28"/>
        </w:rPr>
        <w:t xml:space="preserve">. ДЕЙНОСТ ПО ИЗПЪЛНЕНИЕ НА ПРЕПОРЪКИТЕ В РАМКИТЕ НА МЕХАНИЗМА ЗА СЪТРУДНИЧЕСТВО И ПРОВЕРКА. СПЕЦИАЛЕН НАДЗОР И НАКАЗАТЕЛНИ ПРОИЗВОДСТВА, ОБРАЗУВАНИ  ЗА НЯКОИ КАТЕГОРИИ ТЕЖКИ ПРЕСТЪПЛЕНИЯ И ТАКИВА ОТ ОСОБЕН ОБЩЕСТВЕН ИНТЕРЕС, ВКЛЮЧИТЕЛНО НАБЛЮДАВАНИ </w:t>
      </w:r>
      <w:r w:rsidR="0023213C" w:rsidRPr="00FC76F9">
        <w:rPr>
          <w:szCs w:val="28"/>
        </w:rPr>
        <w:t>ОТ ВСС.</w:t>
      </w:r>
      <w:bookmarkEnd w:id="56"/>
    </w:p>
    <w:p w14:paraId="0E6E94C5" w14:textId="77777777" w:rsidR="0023213C" w:rsidRPr="0023213C" w:rsidRDefault="0023213C" w:rsidP="0023213C">
      <w:pPr>
        <w:shd w:val="clear" w:color="auto" w:fill="FFFFFF"/>
        <w:tabs>
          <w:tab w:val="left" w:pos="826"/>
        </w:tabs>
        <w:autoSpaceDE w:val="0"/>
        <w:autoSpaceDN w:val="0"/>
        <w:adjustRightInd w:val="0"/>
        <w:spacing w:after="0" w:line="240" w:lineRule="auto"/>
        <w:jc w:val="both"/>
        <w:rPr>
          <w:color w:val="000000"/>
          <w:sz w:val="24"/>
          <w:szCs w:val="24"/>
          <w:lang w:eastAsia="bg-BG"/>
        </w:rPr>
      </w:pPr>
    </w:p>
    <w:p w14:paraId="434DFD1E" w14:textId="77777777" w:rsidR="0023213C" w:rsidRPr="0023213C" w:rsidRDefault="0023213C" w:rsidP="0023213C">
      <w:pPr>
        <w:keepNext/>
        <w:numPr>
          <w:ilvl w:val="0"/>
          <w:numId w:val="33"/>
        </w:numPr>
        <w:shd w:val="clear" w:color="auto" w:fill="FFFFFF"/>
        <w:tabs>
          <w:tab w:val="left" w:pos="926"/>
        </w:tabs>
        <w:autoSpaceDE w:val="0"/>
        <w:autoSpaceDN w:val="0"/>
        <w:adjustRightInd w:val="0"/>
        <w:spacing w:after="0" w:line="240" w:lineRule="auto"/>
        <w:contextualSpacing/>
        <w:jc w:val="both"/>
        <w:outlineLvl w:val="2"/>
        <w:rPr>
          <w:rFonts w:ascii="Times New Roman" w:eastAsia="Calibri" w:hAnsi="Times New Roman" w:cs="Arial"/>
          <w:b/>
          <w:color w:val="000000"/>
          <w:sz w:val="28"/>
          <w:u w:val="single"/>
          <w:lang w:eastAsia="bg-BG"/>
        </w:rPr>
      </w:pPr>
      <w:bookmarkStart w:id="57" w:name="_Toc127370273"/>
      <w:r w:rsidRPr="0023213C">
        <w:rPr>
          <w:rFonts w:ascii="Times New Roman" w:eastAsia="Calibri" w:hAnsi="Times New Roman" w:cs="Arial"/>
          <w:b/>
          <w:color w:val="000000"/>
          <w:sz w:val="28"/>
          <w:u w:val="single"/>
          <w:lang w:eastAsia="bg-BG"/>
        </w:rPr>
        <w:t>Специален надзор</w:t>
      </w:r>
      <w:bookmarkEnd w:id="57"/>
    </w:p>
    <w:p w14:paraId="21F4408A"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Специалният надзор върху преписките и делата е регламентиран с вътрешно-ведомствен акт на главния прокурор на Република България (заповед № ЛС-729/18.03.2014 г.), с която е утвърдено Указание за специален надзор, което се спазва.Също така във връзка в изпълнение на Заповед № 371/16.03.2020 год. на Апелативен прокурор на АП София, Заповед № РД-04-36/16.03.2020 год. на Адм. Ръководител-Окръжен прокурор на ОП Монтана са взети на специален надзор досъдебните производства, образувани за престъпления по чл.355, чл.326 и др. престъпни деяния,свързани с правилата и мерките в условията на извънредно положение във връзка с развитието на болестта</w:t>
      </w:r>
      <w:r w:rsidRPr="0023213C">
        <w:rPr>
          <w:rFonts w:ascii="Times New Roman" w:eastAsia="Calibri" w:hAnsi="Times New Roman" w:cs="Times New Roman"/>
          <w:sz w:val="28"/>
          <w:szCs w:val="28"/>
          <w:lang w:val="en-US"/>
        </w:rPr>
        <w:t xml:space="preserve"> COVID</w:t>
      </w:r>
      <w:r w:rsidRPr="0023213C">
        <w:rPr>
          <w:rFonts w:ascii="Times New Roman" w:eastAsia="Calibri" w:hAnsi="Times New Roman" w:cs="Times New Roman"/>
          <w:sz w:val="28"/>
          <w:szCs w:val="28"/>
        </w:rPr>
        <w:t>-19.</w:t>
      </w:r>
    </w:p>
    <w:p w14:paraId="325CC367" w14:textId="77777777" w:rsidR="0023213C" w:rsidRPr="0023213C" w:rsidRDefault="0023213C" w:rsidP="0023213C">
      <w:pPr>
        <w:spacing w:after="0" w:line="240" w:lineRule="auto"/>
        <w:jc w:val="both"/>
        <w:rPr>
          <w:rFonts w:ascii="Times New Roman" w:eastAsia="Times New Roman" w:hAnsi="Times New Roman" w:cs="Times New Roman"/>
          <w:sz w:val="28"/>
          <w:szCs w:val="28"/>
          <w:lang w:eastAsia="bg-BG"/>
        </w:rPr>
      </w:pPr>
      <w:r w:rsidRPr="0023213C">
        <w:rPr>
          <w:rFonts w:ascii="Times New Roman" w:eastAsia="Times New Roman" w:hAnsi="Times New Roman" w:cs="Times New Roman"/>
          <w:sz w:val="28"/>
          <w:szCs w:val="28"/>
          <w:lang w:eastAsia="bg-BG"/>
        </w:rPr>
        <w:t xml:space="preserve"> Също така по отношение дейността на Окръжна прокуратура  Монтана по изпълнение на препоръките в рамките на механизма за сътрудничество са предприети мерки за повишаване ефективността на работата на прокуратурата, като за целта е засилен контролът за извършване на проверките по чл. 145 от Закона за съдебната власт и на сроковете на разследване в изпълнение задължението на прокуратурата за срочно приключване на делата по смисъла на чл. 22, ал. 2 от НПК. В този смисъл административния ръководител е упражнил контролните си функции по чл. 140, ал. 3 от ЗСВ, както в изпълнение на закона, така и за повишаване ефективността на разследването.Въведени са процедурни и други гаранции при упражняване правомощията на прокуратурата като в тази посока са утвърдени вътрешноорганизационни документи за точно и еднакво прилагане на законите и защита на законните права и интереси на гражданите, юридическите лица и държавата в правомощията по чл. 136, ал. 5 от ЗСВ;</w:t>
      </w:r>
    </w:p>
    <w:p w14:paraId="2BC11505" w14:textId="77777777" w:rsidR="0023213C" w:rsidRPr="0023213C" w:rsidRDefault="0023213C" w:rsidP="0023213C">
      <w:pPr>
        <w:spacing w:after="0" w:line="240" w:lineRule="auto"/>
        <w:jc w:val="both"/>
        <w:rPr>
          <w:rFonts w:ascii="Times New Roman" w:eastAsia="Arial Unicode MS" w:hAnsi="Times New Roman" w:cs="Times New Roman"/>
          <w:sz w:val="28"/>
          <w:szCs w:val="28"/>
          <w:lang w:val="ru-RU"/>
        </w:rPr>
      </w:pPr>
    </w:p>
    <w:p w14:paraId="2950290D" w14:textId="77777777" w:rsidR="0023213C" w:rsidRPr="0023213C" w:rsidRDefault="0023213C" w:rsidP="0023213C">
      <w:pPr>
        <w:keepNext/>
        <w:keepLines/>
        <w:numPr>
          <w:ilvl w:val="0"/>
          <w:numId w:val="45"/>
        </w:numPr>
        <w:spacing w:before="200" w:after="0"/>
        <w:jc w:val="both"/>
        <w:outlineLvl w:val="2"/>
        <w:rPr>
          <w:rFonts w:ascii="Times New Roman" w:eastAsia="Calibri" w:hAnsi="Times New Roman" w:cs="Times New Roman"/>
          <w:b/>
          <w:bCs/>
          <w:sz w:val="28"/>
        </w:rPr>
      </w:pPr>
      <w:bookmarkStart w:id="58" w:name="_Toc125539500"/>
      <w:bookmarkStart w:id="59" w:name="_Toc127370274"/>
      <w:r w:rsidRPr="0023213C">
        <w:rPr>
          <w:rFonts w:ascii="Times New Roman" w:eastAsia="Calibri" w:hAnsi="Times New Roman" w:cs="Times New Roman"/>
          <w:b/>
          <w:bCs/>
          <w:sz w:val="28"/>
        </w:rPr>
        <w:lastRenderedPageBreak/>
        <w:t>Специален надзор и наказателни производства,  образувани за някои категории тежки престъпления и такива от особен обществен интерес.</w:t>
      </w:r>
      <w:bookmarkEnd w:id="58"/>
      <w:bookmarkEnd w:id="59"/>
    </w:p>
    <w:p w14:paraId="03438F19" w14:textId="77777777" w:rsidR="0023213C" w:rsidRPr="0023213C" w:rsidRDefault="0023213C" w:rsidP="0023213C">
      <w:pPr>
        <w:spacing w:after="0" w:line="240" w:lineRule="auto"/>
        <w:jc w:val="both"/>
        <w:rPr>
          <w:rFonts w:ascii="Times New Roman" w:eastAsia="Calibri" w:hAnsi="Times New Roman" w:cs="Times New Roman"/>
          <w:bCs/>
          <w:sz w:val="28"/>
          <w:szCs w:val="28"/>
        </w:rPr>
      </w:pPr>
    </w:p>
    <w:p w14:paraId="51D56E79" w14:textId="77777777" w:rsidR="0023213C" w:rsidRPr="0023213C" w:rsidRDefault="0023213C" w:rsidP="0023213C">
      <w:pPr>
        <w:spacing w:after="0" w:line="240" w:lineRule="auto"/>
        <w:jc w:val="both"/>
        <w:rPr>
          <w:rFonts w:ascii="Times New Roman" w:eastAsia="Calibri" w:hAnsi="Times New Roman" w:cs="Times New Roman"/>
          <w:bCs/>
          <w:sz w:val="28"/>
          <w:szCs w:val="28"/>
        </w:rPr>
      </w:pPr>
      <w:r w:rsidRPr="0023213C">
        <w:rPr>
          <w:rFonts w:ascii="Times New Roman" w:eastAsia="Calibri" w:hAnsi="Times New Roman" w:cs="Times New Roman"/>
          <w:bCs/>
          <w:sz w:val="28"/>
          <w:szCs w:val="28"/>
        </w:rPr>
        <w:t xml:space="preserve">         </w:t>
      </w:r>
      <w:r w:rsidRPr="0023213C">
        <w:rPr>
          <w:rFonts w:ascii="Times New Roman" w:eastAsia="Calibri" w:hAnsi="Times New Roman" w:cs="Times New Roman"/>
          <w:sz w:val="28"/>
          <w:szCs w:val="28"/>
        </w:rPr>
        <w:t xml:space="preserve">През  2022 г. от Окръжна прокуратура - Монтана , Районна прокуратура Монтана включващо и съответните териториални отделения  са наблюдавани общо 70 бр. досъдебни производство (ДП) на </w:t>
      </w:r>
      <w:r w:rsidRPr="0023213C">
        <w:rPr>
          <w:rFonts w:ascii="Times New Roman" w:eastAsia="Calibri" w:hAnsi="Times New Roman" w:cs="Times New Roman"/>
          <w:bCs/>
          <w:sz w:val="28"/>
          <w:szCs w:val="28"/>
        </w:rPr>
        <w:t>специален надзор .</w:t>
      </w:r>
    </w:p>
    <w:p w14:paraId="03FC013D"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bCs/>
          <w:sz w:val="28"/>
          <w:szCs w:val="28"/>
        </w:rPr>
        <w:t xml:space="preserve"> </w:t>
      </w:r>
    </w:p>
    <w:p w14:paraId="75C82D24"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По видове престъпления движението на делата, взети на </w:t>
      </w:r>
      <w:r w:rsidRPr="0023213C">
        <w:rPr>
          <w:rFonts w:ascii="Times New Roman" w:eastAsia="Calibri" w:hAnsi="Times New Roman" w:cs="Times New Roman"/>
          <w:sz w:val="28"/>
          <w:szCs w:val="28"/>
          <w:u w:val="single"/>
        </w:rPr>
        <w:t>специален надзор</w:t>
      </w:r>
      <w:r w:rsidRPr="0023213C">
        <w:rPr>
          <w:rFonts w:ascii="Times New Roman" w:eastAsia="Calibri" w:hAnsi="Times New Roman" w:cs="Times New Roman"/>
          <w:sz w:val="28"/>
          <w:szCs w:val="28"/>
        </w:rPr>
        <w:t xml:space="preserve"> в ОП- Монтана ,Районна прокуратура Монтана ,включващо и съответните териториални отделения  е:</w:t>
      </w:r>
    </w:p>
    <w:p w14:paraId="1B78AFD2" w14:textId="77777777" w:rsidR="0023213C" w:rsidRPr="0023213C" w:rsidRDefault="0023213C" w:rsidP="0023213C">
      <w:pPr>
        <w:spacing w:after="0" w:line="240" w:lineRule="auto"/>
        <w:jc w:val="both"/>
        <w:rPr>
          <w:rFonts w:ascii="Times New Roman" w:eastAsia="Calibri" w:hAnsi="Times New Roman" w:cs="Times New Roman"/>
          <w:color w:val="000000"/>
          <w:sz w:val="28"/>
          <w:szCs w:val="28"/>
        </w:rPr>
      </w:pPr>
    </w:p>
    <w:tbl>
      <w:tblPr>
        <w:tblW w:w="9588" w:type="dxa"/>
        <w:tblLook w:val="01E0" w:firstRow="1" w:lastRow="1" w:firstColumn="1" w:lastColumn="1" w:noHBand="0" w:noVBand="0"/>
      </w:tblPr>
      <w:tblGrid>
        <w:gridCol w:w="9588"/>
      </w:tblGrid>
      <w:tr w:rsidR="0023213C" w:rsidRPr="0023213C" w14:paraId="03EFFE1F" w14:textId="77777777" w:rsidTr="0023213C">
        <w:tc>
          <w:tcPr>
            <w:tcW w:w="9588" w:type="dxa"/>
            <w:hideMark/>
          </w:tcPr>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2181"/>
              <w:gridCol w:w="1757"/>
              <w:gridCol w:w="2748"/>
            </w:tblGrid>
            <w:tr w:rsidR="0023213C" w:rsidRPr="0023213C" w14:paraId="69870F3C" w14:textId="77777777" w:rsidTr="0023213C">
              <w:trPr>
                <w:trHeight w:val="510"/>
              </w:trPr>
              <w:tc>
                <w:tcPr>
                  <w:tcW w:w="2689" w:type="dxa"/>
                  <w:tcBorders>
                    <w:top w:val="single" w:sz="4" w:space="0" w:color="auto"/>
                    <w:left w:val="single" w:sz="4" w:space="0" w:color="auto"/>
                    <w:bottom w:val="single" w:sz="4" w:space="0" w:color="auto"/>
                    <w:right w:val="single" w:sz="4" w:space="0" w:color="auto"/>
                  </w:tcBorders>
                  <w:hideMark/>
                </w:tcPr>
                <w:p w14:paraId="7FFDDAEF"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bCs/>
                      <w:color w:val="000000"/>
                      <w:sz w:val="24"/>
                      <w:szCs w:val="24"/>
                    </w:rPr>
                    <w:t xml:space="preserve">Престъпления </w:t>
                  </w:r>
                </w:p>
              </w:tc>
              <w:tc>
                <w:tcPr>
                  <w:tcW w:w="2195" w:type="dxa"/>
                  <w:tcBorders>
                    <w:top w:val="single" w:sz="4" w:space="0" w:color="auto"/>
                    <w:left w:val="single" w:sz="4" w:space="0" w:color="auto"/>
                    <w:bottom w:val="single" w:sz="4" w:space="0" w:color="auto"/>
                    <w:right w:val="single" w:sz="4" w:space="0" w:color="auto"/>
                  </w:tcBorders>
                  <w:hideMark/>
                </w:tcPr>
                <w:p w14:paraId="48C50640"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bCs/>
                      <w:color w:val="000000"/>
                      <w:sz w:val="24"/>
                      <w:szCs w:val="24"/>
                    </w:rPr>
                    <w:t xml:space="preserve">Наблюдавани производства </w:t>
                  </w:r>
                </w:p>
              </w:tc>
              <w:tc>
                <w:tcPr>
                  <w:tcW w:w="1775" w:type="dxa"/>
                  <w:tcBorders>
                    <w:top w:val="single" w:sz="4" w:space="0" w:color="auto"/>
                    <w:left w:val="single" w:sz="4" w:space="0" w:color="auto"/>
                    <w:bottom w:val="single" w:sz="4" w:space="0" w:color="auto"/>
                    <w:right w:val="single" w:sz="4" w:space="0" w:color="auto"/>
                  </w:tcBorders>
                  <w:hideMark/>
                </w:tcPr>
                <w:p w14:paraId="498D8FCE"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bCs/>
                      <w:color w:val="000000"/>
                      <w:sz w:val="24"/>
                      <w:szCs w:val="24"/>
                    </w:rPr>
                    <w:t xml:space="preserve">ДП, внесени в съда </w:t>
                  </w:r>
                </w:p>
              </w:tc>
              <w:tc>
                <w:tcPr>
                  <w:tcW w:w="2692" w:type="dxa"/>
                  <w:tcBorders>
                    <w:top w:val="single" w:sz="4" w:space="0" w:color="auto"/>
                    <w:left w:val="single" w:sz="4" w:space="0" w:color="auto"/>
                    <w:bottom w:val="single" w:sz="4" w:space="0" w:color="auto"/>
                    <w:right w:val="single" w:sz="4" w:space="0" w:color="auto"/>
                  </w:tcBorders>
                  <w:hideMark/>
                </w:tcPr>
                <w:p w14:paraId="56D2A169"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bCs/>
                      <w:color w:val="000000"/>
                      <w:sz w:val="24"/>
                      <w:szCs w:val="24"/>
                    </w:rPr>
                    <w:t xml:space="preserve">Осъдени/санкционирани лица с влязъл в сила съдебен акт </w:t>
                  </w:r>
                </w:p>
              </w:tc>
            </w:tr>
            <w:tr w:rsidR="0023213C" w:rsidRPr="0023213C" w14:paraId="6E836D29" w14:textId="77777777" w:rsidTr="0023213C">
              <w:trPr>
                <w:trHeight w:val="157"/>
              </w:trPr>
              <w:tc>
                <w:tcPr>
                  <w:tcW w:w="2689" w:type="dxa"/>
                  <w:tcBorders>
                    <w:top w:val="single" w:sz="4" w:space="0" w:color="auto"/>
                    <w:left w:val="single" w:sz="4" w:space="0" w:color="auto"/>
                    <w:bottom w:val="single" w:sz="4" w:space="0" w:color="auto"/>
                    <w:right w:val="single" w:sz="4" w:space="0" w:color="auto"/>
                  </w:tcBorders>
                  <w:hideMark/>
                </w:tcPr>
                <w:p w14:paraId="7D6065AE" w14:textId="77777777" w:rsidR="0023213C" w:rsidRPr="0023213C" w:rsidRDefault="0023213C" w:rsidP="0023213C">
                  <w:pPr>
                    <w:spacing w:after="0"/>
                    <w:rPr>
                      <w:rFonts w:ascii="Times New Roman" w:eastAsia="Times New Roman" w:hAnsi="Times New Roman" w:cs="Times New Roman"/>
                      <w:sz w:val="24"/>
                      <w:szCs w:val="24"/>
                    </w:rPr>
                  </w:pPr>
                  <w:r w:rsidRPr="0023213C">
                    <w:rPr>
                      <w:rFonts w:ascii="Times New Roman" w:eastAsia="Times New Roman" w:hAnsi="Times New Roman" w:cs="Times New Roman"/>
                      <w:sz w:val="24"/>
                      <w:szCs w:val="24"/>
                    </w:rPr>
                    <w:t>Корупционни престъпления /съобразно Единния каталог/</w:t>
                  </w:r>
                </w:p>
              </w:tc>
              <w:tc>
                <w:tcPr>
                  <w:tcW w:w="2195" w:type="dxa"/>
                  <w:tcBorders>
                    <w:top w:val="single" w:sz="4" w:space="0" w:color="auto"/>
                    <w:left w:val="single" w:sz="4" w:space="0" w:color="auto"/>
                    <w:bottom w:val="single" w:sz="4" w:space="0" w:color="auto"/>
                    <w:right w:val="single" w:sz="4" w:space="0" w:color="auto"/>
                  </w:tcBorders>
                  <w:hideMark/>
                </w:tcPr>
                <w:p w14:paraId="7629D232" w14:textId="77777777" w:rsidR="0023213C" w:rsidRPr="0023213C" w:rsidRDefault="0023213C" w:rsidP="0023213C">
                  <w:pPr>
                    <w:spacing w:after="0"/>
                  </w:pPr>
                  <w:r w:rsidRPr="0023213C">
                    <w:t xml:space="preserve">               </w:t>
                  </w:r>
                </w:p>
                <w:p w14:paraId="3D71D076" w14:textId="77777777" w:rsidR="0023213C" w:rsidRPr="0023213C" w:rsidRDefault="0023213C" w:rsidP="0023213C">
                  <w:pPr>
                    <w:spacing w:after="0"/>
                    <w:rPr>
                      <w:lang w:val="en-US"/>
                    </w:rPr>
                  </w:pPr>
                  <w:r w:rsidRPr="0023213C">
                    <w:t xml:space="preserve">              3               </w:t>
                  </w:r>
                </w:p>
              </w:tc>
              <w:tc>
                <w:tcPr>
                  <w:tcW w:w="1775" w:type="dxa"/>
                  <w:tcBorders>
                    <w:top w:val="single" w:sz="4" w:space="0" w:color="auto"/>
                    <w:left w:val="single" w:sz="4" w:space="0" w:color="auto"/>
                    <w:bottom w:val="single" w:sz="4" w:space="0" w:color="auto"/>
                    <w:right w:val="single" w:sz="4" w:space="0" w:color="auto"/>
                  </w:tcBorders>
                  <w:hideMark/>
                </w:tcPr>
                <w:p w14:paraId="525701ED" w14:textId="77777777" w:rsidR="0023213C" w:rsidRPr="0023213C" w:rsidRDefault="0023213C" w:rsidP="0023213C">
                  <w:pPr>
                    <w:spacing w:after="0"/>
                  </w:pPr>
                  <w:r w:rsidRPr="0023213C">
                    <w:t xml:space="preserve">       </w:t>
                  </w:r>
                </w:p>
                <w:p w14:paraId="6EF1D0BD" w14:textId="77777777" w:rsidR="0023213C" w:rsidRPr="0023213C" w:rsidRDefault="0023213C" w:rsidP="0023213C">
                  <w:pPr>
                    <w:spacing w:after="0"/>
                  </w:pPr>
                  <w:r w:rsidRPr="0023213C">
                    <w:t xml:space="preserve">               0        </w:t>
                  </w:r>
                </w:p>
              </w:tc>
              <w:tc>
                <w:tcPr>
                  <w:tcW w:w="2692" w:type="dxa"/>
                  <w:tcBorders>
                    <w:top w:val="single" w:sz="4" w:space="0" w:color="auto"/>
                    <w:left w:val="single" w:sz="4" w:space="0" w:color="auto"/>
                    <w:bottom w:val="single" w:sz="4" w:space="0" w:color="auto"/>
                    <w:right w:val="single" w:sz="4" w:space="0" w:color="auto"/>
                  </w:tcBorders>
                  <w:hideMark/>
                </w:tcPr>
                <w:p w14:paraId="4DE1D53A" w14:textId="77777777" w:rsidR="0023213C" w:rsidRPr="0023213C" w:rsidRDefault="0023213C" w:rsidP="0023213C">
                  <w:pPr>
                    <w:spacing w:after="0"/>
                  </w:pPr>
                  <w:r w:rsidRPr="0023213C">
                    <w:t xml:space="preserve">          </w:t>
                  </w:r>
                </w:p>
                <w:p w14:paraId="6BBDE191" w14:textId="77777777" w:rsidR="0023213C" w:rsidRPr="0023213C" w:rsidRDefault="0023213C" w:rsidP="0023213C">
                  <w:pPr>
                    <w:spacing w:after="0"/>
                  </w:pPr>
                  <w:r w:rsidRPr="0023213C">
                    <w:t xml:space="preserve">               0  </w:t>
                  </w:r>
                </w:p>
              </w:tc>
            </w:tr>
            <w:tr w:rsidR="0023213C" w:rsidRPr="0023213C" w14:paraId="67361CE3" w14:textId="77777777" w:rsidTr="0023213C">
              <w:trPr>
                <w:trHeight w:val="157"/>
              </w:trPr>
              <w:tc>
                <w:tcPr>
                  <w:tcW w:w="2689" w:type="dxa"/>
                  <w:tcBorders>
                    <w:top w:val="single" w:sz="4" w:space="0" w:color="auto"/>
                    <w:left w:val="single" w:sz="4" w:space="0" w:color="auto"/>
                    <w:bottom w:val="single" w:sz="4" w:space="0" w:color="auto"/>
                    <w:right w:val="single" w:sz="4" w:space="0" w:color="auto"/>
                  </w:tcBorders>
                  <w:hideMark/>
                </w:tcPr>
                <w:p w14:paraId="42FFB6E7"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 xml:space="preserve">Изпиране на пари </w:t>
                  </w:r>
                </w:p>
              </w:tc>
              <w:tc>
                <w:tcPr>
                  <w:tcW w:w="2195" w:type="dxa"/>
                  <w:tcBorders>
                    <w:top w:val="single" w:sz="4" w:space="0" w:color="auto"/>
                    <w:left w:val="single" w:sz="4" w:space="0" w:color="auto"/>
                    <w:bottom w:val="single" w:sz="4" w:space="0" w:color="auto"/>
                    <w:right w:val="single" w:sz="4" w:space="0" w:color="auto"/>
                  </w:tcBorders>
                  <w:hideMark/>
                </w:tcPr>
                <w:p w14:paraId="6718A33E"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1</w:t>
                  </w:r>
                </w:p>
              </w:tc>
              <w:tc>
                <w:tcPr>
                  <w:tcW w:w="1775" w:type="dxa"/>
                  <w:tcBorders>
                    <w:top w:val="single" w:sz="4" w:space="0" w:color="auto"/>
                    <w:left w:val="single" w:sz="4" w:space="0" w:color="auto"/>
                    <w:bottom w:val="single" w:sz="4" w:space="0" w:color="auto"/>
                    <w:right w:val="single" w:sz="4" w:space="0" w:color="auto"/>
                  </w:tcBorders>
                  <w:hideMark/>
                </w:tcPr>
                <w:p w14:paraId="373B6DDF"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c>
                <w:tcPr>
                  <w:tcW w:w="2692" w:type="dxa"/>
                  <w:tcBorders>
                    <w:top w:val="single" w:sz="4" w:space="0" w:color="auto"/>
                    <w:left w:val="single" w:sz="4" w:space="0" w:color="auto"/>
                    <w:bottom w:val="single" w:sz="4" w:space="0" w:color="auto"/>
                    <w:right w:val="single" w:sz="4" w:space="0" w:color="auto"/>
                  </w:tcBorders>
                  <w:hideMark/>
                </w:tcPr>
                <w:p w14:paraId="7DF2D083"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r>
            <w:tr w:rsidR="0023213C" w:rsidRPr="0023213C" w14:paraId="32A0370B" w14:textId="77777777" w:rsidTr="0023213C">
              <w:trPr>
                <w:trHeight w:val="157"/>
              </w:trPr>
              <w:tc>
                <w:tcPr>
                  <w:tcW w:w="2689" w:type="dxa"/>
                  <w:tcBorders>
                    <w:top w:val="single" w:sz="4" w:space="0" w:color="auto"/>
                    <w:left w:val="single" w:sz="4" w:space="0" w:color="auto"/>
                    <w:bottom w:val="single" w:sz="4" w:space="0" w:color="auto"/>
                    <w:right w:val="single" w:sz="4" w:space="0" w:color="auto"/>
                  </w:tcBorders>
                  <w:hideMark/>
                </w:tcPr>
                <w:p w14:paraId="21FF0E81"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Злоупотреби с ЕФ</w:t>
                  </w:r>
                </w:p>
              </w:tc>
              <w:tc>
                <w:tcPr>
                  <w:tcW w:w="2195" w:type="dxa"/>
                  <w:tcBorders>
                    <w:top w:val="single" w:sz="4" w:space="0" w:color="auto"/>
                    <w:left w:val="single" w:sz="4" w:space="0" w:color="auto"/>
                    <w:bottom w:val="single" w:sz="4" w:space="0" w:color="auto"/>
                    <w:right w:val="single" w:sz="4" w:space="0" w:color="auto"/>
                  </w:tcBorders>
                  <w:hideMark/>
                </w:tcPr>
                <w:p w14:paraId="50DC1CC4"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4</w:t>
                  </w:r>
                </w:p>
              </w:tc>
              <w:tc>
                <w:tcPr>
                  <w:tcW w:w="1775" w:type="dxa"/>
                  <w:tcBorders>
                    <w:top w:val="single" w:sz="4" w:space="0" w:color="auto"/>
                    <w:left w:val="single" w:sz="4" w:space="0" w:color="auto"/>
                    <w:bottom w:val="single" w:sz="4" w:space="0" w:color="auto"/>
                    <w:right w:val="single" w:sz="4" w:space="0" w:color="auto"/>
                  </w:tcBorders>
                  <w:hideMark/>
                </w:tcPr>
                <w:p w14:paraId="274863FF"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1</w:t>
                  </w:r>
                </w:p>
              </w:tc>
              <w:tc>
                <w:tcPr>
                  <w:tcW w:w="2692" w:type="dxa"/>
                  <w:tcBorders>
                    <w:top w:val="single" w:sz="4" w:space="0" w:color="auto"/>
                    <w:left w:val="single" w:sz="4" w:space="0" w:color="auto"/>
                    <w:bottom w:val="single" w:sz="4" w:space="0" w:color="auto"/>
                    <w:right w:val="single" w:sz="4" w:space="0" w:color="auto"/>
                  </w:tcBorders>
                  <w:hideMark/>
                </w:tcPr>
                <w:p w14:paraId="1F30EA7B"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r>
            <w:tr w:rsidR="0023213C" w:rsidRPr="0023213C" w14:paraId="15A89C94" w14:textId="77777777" w:rsidTr="0023213C">
              <w:trPr>
                <w:trHeight w:val="157"/>
              </w:trPr>
              <w:tc>
                <w:tcPr>
                  <w:tcW w:w="2689" w:type="dxa"/>
                  <w:tcBorders>
                    <w:top w:val="single" w:sz="4" w:space="0" w:color="auto"/>
                    <w:left w:val="single" w:sz="4" w:space="0" w:color="auto"/>
                    <w:bottom w:val="single" w:sz="4" w:space="0" w:color="auto"/>
                    <w:right w:val="single" w:sz="4" w:space="0" w:color="auto"/>
                  </w:tcBorders>
                  <w:hideMark/>
                </w:tcPr>
                <w:p w14:paraId="476C69FA" w14:textId="77777777" w:rsidR="0023213C" w:rsidRPr="0023213C" w:rsidRDefault="0023213C" w:rsidP="0023213C">
                  <w:pPr>
                    <w:spacing w:after="0"/>
                    <w:rPr>
                      <w:rFonts w:ascii="Times New Roman" w:eastAsia="Times New Roman" w:hAnsi="Times New Roman" w:cs="Times New Roman"/>
                      <w:sz w:val="24"/>
                      <w:szCs w:val="24"/>
                    </w:rPr>
                  </w:pPr>
                  <w:r w:rsidRPr="0023213C">
                    <w:rPr>
                      <w:rFonts w:ascii="Times New Roman" w:eastAsia="Times New Roman" w:hAnsi="Times New Roman" w:cs="Times New Roman"/>
                      <w:sz w:val="24"/>
                      <w:szCs w:val="24"/>
                    </w:rPr>
                    <w:t>Дела  със значим обществен интерес по преценка на ГП, зам. ГП и Апелативен прокурор.</w:t>
                  </w:r>
                </w:p>
                <w:p w14:paraId="252A7284" w14:textId="77777777" w:rsidR="0023213C" w:rsidRPr="0023213C" w:rsidRDefault="0023213C" w:rsidP="0023213C">
                  <w:pPr>
                    <w:spacing w:after="0"/>
                    <w:rPr>
                      <w:rFonts w:ascii="Times New Roman" w:eastAsia="Times New Roman" w:hAnsi="Times New Roman" w:cs="Times New Roman"/>
                      <w:sz w:val="24"/>
                      <w:szCs w:val="24"/>
                    </w:rPr>
                  </w:pPr>
                  <w:r w:rsidRPr="0023213C">
                    <w:rPr>
                      <w:rFonts w:ascii="Times New Roman" w:eastAsia="Times New Roman" w:hAnsi="Times New Roman" w:cs="Times New Roman"/>
                      <w:sz w:val="24"/>
                      <w:szCs w:val="24"/>
                    </w:rPr>
                    <w:t xml:space="preserve">фактическа и правна сложност или с важно за съдебната практика значение </w:t>
                  </w:r>
                </w:p>
              </w:tc>
              <w:tc>
                <w:tcPr>
                  <w:tcW w:w="2195" w:type="dxa"/>
                  <w:tcBorders>
                    <w:top w:val="single" w:sz="4" w:space="0" w:color="auto"/>
                    <w:left w:val="single" w:sz="4" w:space="0" w:color="auto"/>
                    <w:bottom w:val="single" w:sz="4" w:space="0" w:color="auto"/>
                    <w:right w:val="single" w:sz="4" w:space="0" w:color="auto"/>
                  </w:tcBorders>
                  <w:hideMark/>
                </w:tcPr>
                <w:p w14:paraId="6877EB7F" w14:textId="77777777" w:rsidR="0023213C" w:rsidRPr="0023213C" w:rsidRDefault="0023213C" w:rsidP="0023213C">
                  <w:pPr>
                    <w:spacing w:after="0"/>
                    <w:rPr>
                      <w:rFonts w:ascii="Times New Roman" w:eastAsia="Calibri" w:hAnsi="Times New Roman" w:cs="Times New Roman"/>
                      <w:color w:val="000000"/>
                      <w:sz w:val="24"/>
                      <w:szCs w:val="24"/>
                    </w:rPr>
                  </w:pPr>
                </w:p>
                <w:p w14:paraId="5B925428"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62</w:t>
                  </w:r>
                </w:p>
              </w:tc>
              <w:tc>
                <w:tcPr>
                  <w:tcW w:w="1775" w:type="dxa"/>
                  <w:tcBorders>
                    <w:top w:val="single" w:sz="4" w:space="0" w:color="auto"/>
                    <w:left w:val="single" w:sz="4" w:space="0" w:color="auto"/>
                    <w:bottom w:val="single" w:sz="4" w:space="0" w:color="auto"/>
                    <w:right w:val="single" w:sz="4" w:space="0" w:color="auto"/>
                  </w:tcBorders>
                  <w:hideMark/>
                </w:tcPr>
                <w:p w14:paraId="17B36763" w14:textId="77777777" w:rsidR="0023213C" w:rsidRPr="0023213C" w:rsidRDefault="0023213C" w:rsidP="0023213C">
                  <w:pPr>
                    <w:spacing w:after="0"/>
                    <w:rPr>
                      <w:rFonts w:ascii="Times New Roman" w:eastAsia="Calibri" w:hAnsi="Times New Roman" w:cs="Times New Roman"/>
                      <w:color w:val="000000"/>
                      <w:sz w:val="24"/>
                      <w:szCs w:val="24"/>
                    </w:rPr>
                  </w:pPr>
                </w:p>
                <w:p w14:paraId="5892072C"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8</w:t>
                  </w:r>
                </w:p>
              </w:tc>
              <w:tc>
                <w:tcPr>
                  <w:tcW w:w="2692" w:type="dxa"/>
                  <w:tcBorders>
                    <w:top w:val="single" w:sz="4" w:space="0" w:color="auto"/>
                    <w:left w:val="single" w:sz="4" w:space="0" w:color="auto"/>
                    <w:bottom w:val="single" w:sz="4" w:space="0" w:color="auto"/>
                    <w:right w:val="single" w:sz="4" w:space="0" w:color="auto"/>
                  </w:tcBorders>
                  <w:hideMark/>
                </w:tcPr>
                <w:p w14:paraId="752A0463" w14:textId="77777777" w:rsidR="0023213C" w:rsidRPr="0023213C" w:rsidRDefault="0023213C" w:rsidP="0023213C">
                  <w:pPr>
                    <w:spacing w:after="0"/>
                    <w:rPr>
                      <w:rFonts w:ascii="Times New Roman" w:eastAsia="Calibri" w:hAnsi="Times New Roman" w:cs="Times New Roman"/>
                      <w:color w:val="000000"/>
                      <w:sz w:val="24"/>
                      <w:szCs w:val="24"/>
                    </w:rPr>
                  </w:pPr>
                </w:p>
                <w:p w14:paraId="67F74F43"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19</w:t>
                  </w:r>
                </w:p>
              </w:tc>
            </w:tr>
          </w:tbl>
          <w:p w14:paraId="008B8813" w14:textId="77777777" w:rsidR="0023213C" w:rsidRPr="0023213C" w:rsidRDefault="0023213C" w:rsidP="0023213C"/>
        </w:tc>
      </w:tr>
    </w:tbl>
    <w:p w14:paraId="28F4AE1A" w14:textId="77777777" w:rsidR="0023213C" w:rsidRPr="0023213C" w:rsidRDefault="0023213C" w:rsidP="0023213C">
      <w:pPr>
        <w:spacing w:after="0" w:line="240" w:lineRule="auto"/>
        <w:jc w:val="both"/>
        <w:rPr>
          <w:rFonts w:ascii="Times New Roman" w:eastAsia="Calibri" w:hAnsi="Times New Roman" w:cs="Times New Roman"/>
          <w:sz w:val="28"/>
          <w:szCs w:val="28"/>
        </w:rPr>
      </w:pPr>
    </w:p>
    <w:p w14:paraId="4DC7DB51"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През отчетния период на  2022 год. са наблюдавани 3 бр. досъдебни производства  за корупционни престъпления, съобразно Единния каталог, като  в съда няма внесени досъдебни производства и няма осъдени.</w:t>
      </w:r>
    </w:p>
    <w:p w14:paraId="07359200"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Наблюдавано е 1 бр.ДП  за изпиране на пари, което е неприключено от разследващ орган в края на периода. </w:t>
      </w:r>
    </w:p>
    <w:p w14:paraId="2D2EC472"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Също така през отчетния период са наблюдавани 4  бр. ДП, образувани във връзка със злоупотреба с ЕФ, като е приключено разследването по 2 бр. ДП и 1 бр. е внесено в съда, като няма в края на периода осъдено едно лице с влязъл в сила съдебен акт.</w:t>
      </w:r>
    </w:p>
    <w:p w14:paraId="763316F6" w14:textId="5BAA738D"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Срещу кметове, зам. Кметове и представители на общински съвети, съгласно т.3.2 няма наблюдавани досъдебни производства.</w:t>
      </w:r>
    </w:p>
    <w:p w14:paraId="2104DB7F"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Също така през периода на 2022 год. са наблюдавани и 62 броя ДП, взети на специален надзор с оглед , тъй като са със значителен обществен интерес  и във връзка  с възникналата  епидемия от </w:t>
      </w:r>
      <w:r w:rsidRPr="0023213C">
        <w:rPr>
          <w:rFonts w:ascii="Times New Roman" w:eastAsia="Calibri" w:hAnsi="Times New Roman" w:cs="Times New Roman"/>
          <w:sz w:val="28"/>
          <w:szCs w:val="28"/>
          <w:lang w:val="en-US"/>
        </w:rPr>
        <w:t>COVID</w:t>
      </w:r>
      <w:r w:rsidRPr="0023213C">
        <w:rPr>
          <w:rFonts w:ascii="Times New Roman" w:eastAsia="Calibri" w:hAnsi="Times New Roman" w:cs="Times New Roman"/>
          <w:sz w:val="28"/>
          <w:szCs w:val="28"/>
        </w:rPr>
        <w:t>-19.</w:t>
      </w:r>
    </w:p>
    <w:p w14:paraId="526561FD" w14:textId="351FCD14"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lastRenderedPageBreak/>
        <w:t>От тях  са приключени от разследващ орган 58 бр.ДП, като са останали неприключени 4 бр. ДП. Прекратени са общо 32 бр. ДП, а са внесени в съда 8 бр. ДП срещу 8 бр. лица.Осъдени са и санкционирани с влязъл сила съдебен акт 18</w:t>
      </w:r>
      <w:r w:rsidR="00FC76F9">
        <w:rPr>
          <w:rFonts w:ascii="Times New Roman" w:eastAsia="Calibri" w:hAnsi="Times New Roman" w:cs="Times New Roman"/>
          <w:sz w:val="28"/>
          <w:szCs w:val="28"/>
        </w:rPr>
        <w:t xml:space="preserve"> </w:t>
      </w:r>
      <w:r w:rsidRPr="0023213C">
        <w:rPr>
          <w:rFonts w:ascii="Times New Roman" w:eastAsia="Calibri" w:hAnsi="Times New Roman" w:cs="Times New Roman"/>
          <w:sz w:val="28"/>
          <w:szCs w:val="28"/>
        </w:rPr>
        <w:t>лица.</w:t>
      </w:r>
    </w:p>
    <w:p w14:paraId="166D125C"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Налице е тенденция за  намаление на наблюдаваните досъдебни производства, взети на специален надзор в сравнение с предходния период, а така също и намаление  броя на осъдените лица в сравнение с 2021 г. и сравнение с  2019 год. </w:t>
      </w:r>
      <w:r w:rsidRPr="0023213C">
        <w:rPr>
          <w:rFonts w:ascii="Times New Roman" w:eastAsia="Calibri" w:hAnsi="Times New Roman" w:cs="Times New Roman"/>
          <w:bCs/>
          <w:sz w:val="28"/>
          <w:szCs w:val="28"/>
        </w:rPr>
        <w:t>Налага се тенденция и на намаление на броя на внесени  такива дела в съда и намаляване на броя на осъдените лица през отчетния период.</w:t>
      </w:r>
    </w:p>
    <w:p w14:paraId="71661907" w14:textId="77777777" w:rsidR="0023213C" w:rsidRPr="0023213C" w:rsidRDefault="0023213C" w:rsidP="0023213C">
      <w:pPr>
        <w:spacing w:after="0" w:line="240" w:lineRule="auto"/>
        <w:jc w:val="both"/>
        <w:rPr>
          <w:rFonts w:ascii="Times New Roman" w:eastAsia="Calibri" w:hAnsi="Times New Roman" w:cs="Times New Roman"/>
          <w:sz w:val="28"/>
          <w:szCs w:val="28"/>
        </w:rPr>
      </w:pPr>
    </w:p>
    <w:p w14:paraId="74DB17ED" w14:textId="77777777" w:rsidR="0023213C" w:rsidRPr="0023213C" w:rsidRDefault="0023213C" w:rsidP="0023213C">
      <w:pPr>
        <w:keepNext/>
        <w:numPr>
          <w:ilvl w:val="0"/>
          <w:numId w:val="33"/>
        </w:numPr>
        <w:shd w:val="clear" w:color="auto" w:fill="FFFFFF"/>
        <w:tabs>
          <w:tab w:val="left" w:pos="926"/>
        </w:tabs>
        <w:autoSpaceDE w:val="0"/>
        <w:autoSpaceDN w:val="0"/>
        <w:adjustRightInd w:val="0"/>
        <w:spacing w:after="0" w:line="240" w:lineRule="auto"/>
        <w:contextualSpacing/>
        <w:jc w:val="both"/>
        <w:outlineLvl w:val="2"/>
        <w:rPr>
          <w:rFonts w:ascii="Times New Roman" w:eastAsia="Calibri" w:hAnsi="Times New Roman" w:cs="Arial"/>
          <w:color w:val="000000"/>
          <w:sz w:val="28"/>
          <w:u w:val="single"/>
          <w:lang w:eastAsia="bg-BG"/>
        </w:rPr>
      </w:pPr>
      <w:bookmarkStart w:id="60" w:name="_Toc127370275"/>
      <w:r w:rsidRPr="0023213C">
        <w:rPr>
          <w:rFonts w:ascii="Times New Roman" w:eastAsia="Calibri" w:hAnsi="Times New Roman" w:cs="Arial"/>
          <w:color w:val="000000"/>
          <w:sz w:val="28"/>
          <w:u w:val="single"/>
          <w:lang w:eastAsia="bg-BG"/>
        </w:rPr>
        <w:t>Дела, образувани за престъпления, свързани с организираната престъпност.</w:t>
      </w:r>
      <w:bookmarkEnd w:id="60"/>
    </w:p>
    <w:p w14:paraId="1431DF01"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u w:val="single"/>
          <w:lang w:eastAsia="bg-BG"/>
        </w:rPr>
      </w:pPr>
      <w:r w:rsidRPr="00FC76F9">
        <w:rPr>
          <w:rFonts w:ascii="Times New Roman" w:eastAsia="Calibri" w:hAnsi="Times New Roman" w:cs="Arial"/>
          <w:color w:val="000000"/>
          <w:sz w:val="28"/>
          <w:lang w:eastAsia="bg-BG"/>
        </w:rPr>
        <w:t xml:space="preserve">          </w:t>
      </w:r>
      <w:bookmarkStart w:id="61" w:name="_Toc127370276"/>
      <w:r w:rsidRPr="0023213C">
        <w:rPr>
          <w:rFonts w:ascii="Times New Roman" w:eastAsia="Calibri" w:hAnsi="Times New Roman" w:cs="Arial"/>
          <w:color w:val="000000"/>
          <w:sz w:val="28"/>
          <w:u w:val="single"/>
          <w:lang w:eastAsia="bg-BG"/>
        </w:rPr>
        <w:t>През 2022 год. в Окръжна прокуратура Монтана, в следствие на закриване на Специализираната прокуратура са приети от наблюдаващите прокурори и са наблюдавани общо 5 бр. досъдебни производства, свързани с организираната престъпност. От така наблюдаваните досъдебни производства  са решени 2 бр. ДП,които са изпратени по компетентност на друга прокуратура. На производство са останали 3 бр. неприключени досъдебни производства.</w:t>
      </w:r>
      <w:bookmarkEnd w:id="61"/>
    </w:p>
    <w:p w14:paraId="5844DF3C"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През периода на  2022 г. в Окръжна прокуратура – Монтана не са образувани и наблюдавани досъдебни производства за престъпления, свързани с организираната престъпност. </w:t>
      </w:r>
    </w:p>
    <w:p w14:paraId="6534F1A3"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През  20</w:t>
      </w:r>
      <w:r w:rsidRPr="0023213C">
        <w:rPr>
          <w:rFonts w:ascii="Times New Roman" w:eastAsia="Calibri" w:hAnsi="Times New Roman" w:cs="Times New Roman"/>
          <w:sz w:val="28"/>
          <w:szCs w:val="28"/>
          <w:lang w:val="en-US"/>
        </w:rPr>
        <w:t>20</w:t>
      </w:r>
      <w:r w:rsidRPr="0023213C">
        <w:rPr>
          <w:rFonts w:ascii="Times New Roman" w:eastAsia="Calibri" w:hAnsi="Times New Roman" w:cs="Times New Roman"/>
          <w:sz w:val="28"/>
          <w:szCs w:val="28"/>
        </w:rPr>
        <w:t xml:space="preserve"> г. също не са образувани и наблюдавани досъдебни производства за престъпления, свързани с организираната престъпност.</w:t>
      </w:r>
    </w:p>
    <w:p w14:paraId="3B26E92F" w14:textId="77DB2F4C"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По тези причини не може да бъде направен анализ на делата за престъпления, свързани с организираната престъпност през отчетния период, в сравнение с предходните периоди.</w:t>
      </w:r>
    </w:p>
    <w:p w14:paraId="30464E30" w14:textId="77777777" w:rsidR="0023213C" w:rsidRPr="0023213C" w:rsidRDefault="0023213C" w:rsidP="0023213C">
      <w:pPr>
        <w:spacing w:after="0" w:line="240" w:lineRule="auto"/>
        <w:jc w:val="both"/>
        <w:rPr>
          <w:rFonts w:ascii="Times New Roman" w:eastAsia="Calibri" w:hAnsi="Times New Roman" w:cs="Times New Roman"/>
          <w:b/>
          <w:sz w:val="28"/>
          <w:szCs w:val="28"/>
        </w:rPr>
      </w:pPr>
    </w:p>
    <w:p w14:paraId="14324196"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u w:val="single"/>
          <w:lang w:eastAsia="bg-BG"/>
        </w:rPr>
      </w:pPr>
      <w:bookmarkStart w:id="62" w:name="_Toc127370277"/>
      <w:r w:rsidRPr="0023213C">
        <w:rPr>
          <w:rFonts w:ascii="Times New Roman" w:eastAsia="Calibri" w:hAnsi="Times New Roman" w:cs="Arial"/>
          <w:color w:val="000000"/>
          <w:sz w:val="28"/>
          <w:u w:val="single"/>
          <w:lang w:eastAsia="bg-BG"/>
        </w:rPr>
        <w:t>3. Дела, образувани за корупционни престъпления в региона на ОП Монтана.</w:t>
      </w:r>
      <w:bookmarkEnd w:id="62"/>
    </w:p>
    <w:tbl>
      <w:tblPr>
        <w:tblW w:w="9546"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97"/>
        <w:gridCol w:w="912"/>
        <w:gridCol w:w="919"/>
        <w:gridCol w:w="1059"/>
        <w:gridCol w:w="858"/>
        <w:gridCol w:w="1059"/>
        <w:gridCol w:w="969"/>
        <w:gridCol w:w="1041"/>
        <w:gridCol w:w="962"/>
        <w:gridCol w:w="870"/>
      </w:tblGrid>
      <w:tr w:rsidR="0023213C" w:rsidRPr="0023213C" w14:paraId="5AFFC446" w14:textId="77777777" w:rsidTr="0023213C">
        <w:trPr>
          <w:trHeight w:val="330"/>
          <w:jc w:val="center"/>
        </w:trPr>
        <w:tc>
          <w:tcPr>
            <w:tcW w:w="897" w:type="dxa"/>
            <w:tcBorders>
              <w:top w:val="single" w:sz="4" w:space="0" w:color="auto"/>
              <w:left w:val="single" w:sz="4" w:space="0" w:color="auto"/>
              <w:bottom w:val="single" w:sz="4" w:space="0" w:color="auto"/>
              <w:right w:val="single" w:sz="4" w:space="0" w:color="auto"/>
            </w:tcBorders>
            <w:hideMark/>
          </w:tcPr>
          <w:p w14:paraId="670AC92B"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Година</w:t>
            </w:r>
          </w:p>
        </w:tc>
        <w:tc>
          <w:tcPr>
            <w:tcW w:w="912" w:type="dxa"/>
            <w:tcBorders>
              <w:top w:val="single" w:sz="4" w:space="0" w:color="auto"/>
              <w:left w:val="single" w:sz="4" w:space="0" w:color="auto"/>
              <w:bottom w:val="single" w:sz="4" w:space="0" w:color="auto"/>
              <w:right w:val="single" w:sz="4" w:space="0" w:color="auto"/>
            </w:tcBorders>
            <w:hideMark/>
          </w:tcPr>
          <w:p w14:paraId="23D460DF"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Наблюдавани ДП</w:t>
            </w:r>
          </w:p>
        </w:tc>
        <w:tc>
          <w:tcPr>
            <w:tcW w:w="919" w:type="dxa"/>
            <w:tcBorders>
              <w:top w:val="single" w:sz="4" w:space="0" w:color="auto"/>
              <w:left w:val="single" w:sz="4" w:space="0" w:color="auto"/>
              <w:bottom w:val="single" w:sz="4" w:space="0" w:color="auto"/>
              <w:right w:val="single" w:sz="4" w:space="0" w:color="auto"/>
            </w:tcBorders>
            <w:hideMark/>
          </w:tcPr>
          <w:p w14:paraId="25951438"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Новообразувани ДП</w:t>
            </w:r>
          </w:p>
        </w:tc>
        <w:tc>
          <w:tcPr>
            <w:tcW w:w="1059" w:type="dxa"/>
            <w:tcBorders>
              <w:top w:val="single" w:sz="4" w:space="0" w:color="auto"/>
              <w:left w:val="single" w:sz="4" w:space="0" w:color="auto"/>
              <w:bottom w:val="single" w:sz="4" w:space="0" w:color="auto"/>
              <w:right w:val="single" w:sz="4" w:space="0" w:color="auto"/>
            </w:tcBorders>
            <w:hideMark/>
          </w:tcPr>
          <w:p w14:paraId="63356D93"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Приклю</w:t>
            </w:r>
          </w:p>
          <w:p w14:paraId="13B99A50"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чениразслед</w:t>
            </w:r>
          </w:p>
          <w:p w14:paraId="5261B6D8"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вания</w:t>
            </w:r>
          </w:p>
        </w:tc>
        <w:tc>
          <w:tcPr>
            <w:tcW w:w="858" w:type="dxa"/>
            <w:tcBorders>
              <w:top w:val="single" w:sz="4" w:space="0" w:color="auto"/>
              <w:left w:val="single" w:sz="4" w:space="0" w:color="auto"/>
              <w:bottom w:val="single" w:sz="4" w:space="0" w:color="auto"/>
              <w:right w:val="single" w:sz="4" w:space="0" w:color="auto"/>
            </w:tcBorders>
            <w:hideMark/>
          </w:tcPr>
          <w:p w14:paraId="09B056C3"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Реше-</w:t>
            </w:r>
          </w:p>
          <w:p w14:paraId="4CFD2598"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ни ДП</w:t>
            </w:r>
          </w:p>
        </w:tc>
        <w:tc>
          <w:tcPr>
            <w:tcW w:w="1059" w:type="dxa"/>
            <w:tcBorders>
              <w:top w:val="single" w:sz="4" w:space="0" w:color="auto"/>
              <w:left w:val="single" w:sz="4" w:space="0" w:color="auto"/>
              <w:bottom w:val="single" w:sz="4" w:space="0" w:color="auto"/>
              <w:right w:val="single" w:sz="4" w:space="0" w:color="auto"/>
            </w:tcBorders>
            <w:hideMark/>
          </w:tcPr>
          <w:p w14:paraId="26981F3F"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Проку-</w:t>
            </w:r>
          </w:p>
          <w:p w14:paraId="34F3845C"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рорски актове, внесени в съда</w:t>
            </w:r>
          </w:p>
        </w:tc>
        <w:tc>
          <w:tcPr>
            <w:tcW w:w="969" w:type="dxa"/>
            <w:tcBorders>
              <w:top w:val="single" w:sz="4" w:space="0" w:color="auto"/>
              <w:left w:val="single" w:sz="4" w:space="0" w:color="auto"/>
              <w:bottom w:val="single" w:sz="4" w:space="0" w:color="auto"/>
              <w:right w:val="single" w:sz="4" w:space="0" w:color="auto"/>
            </w:tcBorders>
            <w:hideMark/>
          </w:tcPr>
          <w:p w14:paraId="7D299A68"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Преда</w:t>
            </w:r>
          </w:p>
          <w:p w14:paraId="40157195"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дени на съд лица</w:t>
            </w:r>
          </w:p>
        </w:tc>
        <w:tc>
          <w:tcPr>
            <w:tcW w:w="1041" w:type="dxa"/>
            <w:tcBorders>
              <w:top w:val="single" w:sz="4" w:space="0" w:color="auto"/>
              <w:left w:val="single" w:sz="4" w:space="0" w:color="auto"/>
              <w:bottom w:val="single" w:sz="4" w:space="0" w:color="auto"/>
              <w:right w:val="single" w:sz="4" w:space="0" w:color="auto"/>
            </w:tcBorders>
            <w:hideMark/>
          </w:tcPr>
          <w:p w14:paraId="11B326E4"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Върнати от съда ДП</w:t>
            </w:r>
          </w:p>
        </w:tc>
        <w:tc>
          <w:tcPr>
            <w:tcW w:w="962" w:type="dxa"/>
            <w:tcBorders>
              <w:top w:val="single" w:sz="4" w:space="0" w:color="auto"/>
              <w:left w:val="single" w:sz="4" w:space="0" w:color="auto"/>
              <w:bottom w:val="single" w:sz="4" w:space="0" w:color="auto"/>
              <w:right w:val="single" w:sz="4" w:space="0" w:color="auto"/>
            </w:tcBorders>
            <w:hideMark/>
          </w:tcPr>
          <w:p w14:paraId="20E7B06D"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Осъде-</w:t>
            </w:r>
          </w:p>
          <w:p w14:paraId="736816E4"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 xml:space="preserve">ни лица с влязъл в сила съд. акт </w:t>
            </w:r>
          </w:p>
        </w:tc>
        <w:tc>
          <w:tcPr>
            <w:tcW w:w="870" w:type="dxa"/>
            <w:tcBorders>
              <w:top w:val="single" w:sz="4" w:space="0" w:color="auto"/>
              <w:left w:val="single" w:sz="4" w:space="0" w:color="auto"/>
              <w:bottom w:val="single" w:sz="4" w:space="0" w:color="auto"/>
              <w:right w:val="single" w:sz="4" w:space="0" w:color="auto"/>
            </w:tcBorders>
            <w:hideMark/>
          </w:tcPr>
          <w:p w14:paraId="7B432C19"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Оправдани лица с влязъл в сила съд. акт</w:t>
            </w:r>
          </w:p>
        </w:tc>
      </w:tr>
      <w:tr w:rsidR="0023213C" w:rsidRPr="0023213C" w14:paraId="6E83E3E7" w14:textId="77777777" w:rsidTr="0023213C">
        <w:trPr>
          <w:trHeight w:val="330"/>
          <w:jc w:val="center"/>
        </w:trPr>
        <w:tc>
          <w:tcPr>
            <w:tcW w:w="89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119A1C0"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2022</w:t>
            </w:r>
          </w:p>
        </w:tc>
        <w:tc>
          <w:tcPr>
            <w:tcW w:w="91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F5F00F0"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68</w:t>
            </w:r>
          </w:p>
        </w:tc>
        <w:tc>
          <w:tcPr>
            <w:tcW w:w="9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AB3EE40"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34</w:t>
            </w:r>
          </w:p>
        </w:tc>
        <w:tc>
          <w:tcPr>
            <w:tcW w:w="10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3C7D8DA"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20</w:t>
            </w:r>
          </w:p>
        </w:tc>
        <w:tc>
          <w:tcPr>
            <w:tcW w:w="85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4D7079A"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25</w:t>
            </w:r>
          </w:p>
        </w:tc>
        <w:tc>
          <w:tcPr>
            <w:tcW w:w="10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4B61B5"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9</w:t>
            </w:r>
          </w:p>
        </w:tc>
        <w:tc>
          <w:tcPr>
            <w:tcW w:w="96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EF03086"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9</w:t>
            </w:r>
          </w:p>
        </w:tc>
        <w:tc>
          <w:tcPr>
            <w:tcW w:w="104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F82615E"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9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7DE2112"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8</w:t>
            </w:r>
          </w:p>
        </w:tc>
        <w:tc>
          <w:tcPr>
            <w:tcW w:w="8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FA7AC25"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w:t>
            </w:r>
          </w:p>
        </w:tc>
      </w:tr>
      <w:tr w:rsidR="0023213C" w:rsidRPr="0023213C" w14:paraId="2E64E557" w14:textId="77777777" w:rsidTr="0023213C">
        <w:trPr>
          <w:trHeight w:val="330"/>
          <w:jc w:val="center"/>
        </w:trPr>
        <w:tc>
          <w:tcPr>
            <w:tcW w:w="897" w:type="dxa"/>
            <w:tcBorders>
              <w:top w:val="single" w:sz="4" w:space="0" w:color="auto"/>
              <w:left w:val="single" w:sz="4" w:space="0" w:color="auto"/>
              <w:bottom w:val="single" w:sz="4" w:space="0" w:color="auto"/>
              <w:right w:val="single" w:sz="4" w:space="0" w:color="auto"/>
            </w:tcBorders>
            <w:hideMark/>
          </w:tcPr>
          <w:p w14:paraId="54CAF44D"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2021</w:t>
            </w:r>
          </w:p>
        </w:tc>
        <w:tc>
          <w:tcPr>
            <w:tcW w:w="912" w:type="dxa"/>
            <w:tcBorders>
              <w:top w:val="single" w:sz="4" w:space="0" w:color="auto"/>
              <w:left w:val="single" w:sz="4" w:space="0" w:color="auto"/>
              <w:bottom w:val="single" w:sz="4" w:space="0" w:color="auto"/>
              <w:right w:val="single" w:sz="4" w:space="0" w:color="auto"/>
            </w:tcBorders>
            <w:hideMark/>
          </w:tcPr>
          <w:p w14:paraId="090B10A8"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80</w:t>
            </w:r>
          </w:p>
        </w:tc>
        <w:tc>
          <w:tcPr>
            <w:tcW w:w="919" w:type="dxa"/>
            <w:tcBorders>
              <w:top w:val="single" w:sz="4" w:space="0" w:color="auto"/>
              <w:left w:val="single" w:sz="4" w:space="0" w:color="auto"/>
              <w:bottom w:val="single" w:sz="4" w:space="0" w:color="auto"/>
              <w:right w:val="single" w:sz="4" w:space="0" w:color="auto"/>
            </w:tcBorders>
            <w:hideMark/>
          </w:tcPr>
          <w:p w14:paraId="088AB8FA"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32</w:t>
            </w:r>
          </w:p>
        </w:tc>
        <w:tc>
          <w:tcPr>
            <w:tcW w:w="1059" w:type="dxa"/>
            <w:tcBorders>
              <w:top w:val="single" w:sz="4" w:space="0" w:color="auto"/>
              <w:left w:val="single" w:sz="4" w:space="0" w:color="auto"/>
              <w:bottom w:val="single" w:sz="4" w:space="0" w:color="auto"/>
              <w:right w:val="single" w:sz="4" w:space="0" w:color="auto"/>
            </w:tcBorders>
            <w:hideMark/>
          </w:tcPr>
          <w:p w14:paraId="4CE70E49"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50</w:t>
            </w:r>
          </w:p>
        </w:tc>
        <w:tc>
          <w:tcPr>
            <w:tcW w:w="858" w:type="dxa"/>
            <w:tcBorders>
              <w:top w:val="single" w:sz="4" w:space="0" w:color="auto"/>
              <w:left w:val="single" w:sz="4" w:space="0" w:color="auto"/>
              <w:bottom w:val="single" w:sz="4" w:space="0" w:color="auto"/>
              <w:right w:val="single" w:sz="4" w:space="0" w:color="auto"/>
            </w:tcBorders>
            <w:hideMark/>
          </w:tcPr>
          <w:p w14:paraId="571BDA97"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50</w:t>
            </w:r>
          </w:p>
        </w:tc>
        <w:tc>
          <w:tcPr>
            <w:tcW w:w="1059" w:type="dxa"/>
            <w:tcBorders>
              <w:top w:val="single" w:sz="4" w:space="0" w:color="auto"/>
              <w:left w:val="single" w:sz="4" w:space="0" w:color="auto"/>
              <w:bottom w:val="single" w:sz="4" w:space="0" w:color="auto"/>
              <w:right w:val="single" w:sz="4" w:space="0" w:color="auto"/>
            </w:tcBorders>
            <w:hideMark/>
          </w:tcPr>
          <w:p w14:paraId="629DA50D"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12</w:t>
            </w:r>
          </w:p>
        </w:tc>
        <w:tc>
          <w:tcPr>
            <w:tcW w:w="969" w:type="dxa"/>
            <w:tcBorders>
              <w:top w:val="single" w:sz="4" w:space="0" w:color="auto"/>
              <w:left w:val="single" w:sz="4" w:space="0" w:color="auto"/>
              <w:bottom w:val="single" w:sz="4" w:space="0" w:color="auto"/>
              <w:right w:val="single" w:sz="4" w:space="0" w:color="auto"/>
            </w:tcBorders>
            <w:hideMark/>
          </w:tcPr>
          <w:p w14:paraId="54D1C787"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13</w:t>
            </w:r>
          </w:p>
        </w:tc>
        <w:tc>
          <w:tcPr>
            <w:tcW w:w="1041" w:type="dxa"/>
            <w:tcBorders>
              <w:top w:val="single" w:sz="4" w:space="0" w:color="auto"/>
              <w:left w:val="single" w:sz="4" w:space="0" w:color="auto"/>
              <w:bottom w:val="single" w:sz="4" w:space="0" w:color="auto"/>
              <w:right w:val="single" w:sz="4" w:space="0" w:color="auto"/>
            </w:tcBorders>
            <w:hideMark/>
          </w:tcPr>
          <w:p w14:paraId="0EE05DCA"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c>
          <w:tcPr>
            <w:tcW w:w="962" w:type="dxa"/>
            <w:tcBorders>
              <w:top w:val="single" w:sz="4" w:space="0" w:color="auto"/>
              <w:left w:val="single" w:sz="4" w:space="0" w:color="auto"/>
              <w:bottom w:val="single" w:sz="4" w:space="0" w:color="auto"/>
              <w:right w:val="single" w:sz="4" w:space="0" w:color="auto"/>
            </w:tcBorders>
            <w:hideMark/>
          </w:tcPr>
          <w:p w14:paraId="507AB665"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9</w:t>
            </w:r>
          </w:p>
        </w:tc>
        <w:tc>
          <w:tcPr>
            <w:tcW w:w="870" w:type="dxa"/>
            <w:tcBorders>
              <w:top w:val="single" w:sz="4" w:space="0" w:color="auto"/>
              <w:left w:val="single" w:sz="4" w:space="0" w:color="auto"/>
              <w:bottom w:val="single" w:sz="4" w:space="0" w:color="auto"/>
              <w:right w:val="single" w:sz="4" w:space="0" w:color="auto"/>
            </w:tcBorders>
            <w:hideMark/>
          </w:tcPr>
          <w:p w14:paraId="0EB41A62"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r>
      <w:tr w:rsidR="0023213C" w:rsidRPr="0023213C" w14:paraId="0B7D322A" w14:textId="77777777" w:rsidTr="0023213C">
        <w:trPr>
          <w:trHeight w:val="330"/>
          <w:jc w:val="center"/>
        </w:trPr>
        <w:tc>
          <w:tcPr>
            <w:tcW w:w="897" w:type="dxa"/>
            <w:tcBorders>
              <w:top w:val="single" w:sz="4" w:space="0" w:color="auto"/>
              <w:left w:val="single" w:sz="4" w:space="0" w:color="auto"/>
              <w:bottom w:val="single" w:sz="4" w:space="0" w:color="auto"/>
              <w:right w:val="single" w:sz="4" w:space="0" w:color="auto"/>
            </w:tcBorders>
            <w:hideMark/>
          </w:tcPr>
          <w:p w14:paraId="6FBEF5DF"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2020</w:t>
            </w:r>
          </w:p>
        </w:tc>
        <w:tc>
          <w:tcPr>
            <w:tcW w:w="912" w:type="dxa"/>
            <w:tcBorders>
              <w:top w:val="single" w:sz="4" w:space="0" w:color="auto"/>
              <w:left w:val="single" w:sz="4" w:space="0" w:color="auto"/>
              <w:bottom w:val="single" w:sz="4" w:space="0" w:color="auto"/>
              <w:right w:val="single" w:sz="4" w:space="0" w:color="auto"/>
            </w:tcBorders>
            <w:hideMark/>
          </w:tcPr>
          <w:p w14:paraId="0BEB5FDB"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63</w:t>
            </w:r>
          </w:p>
        </w:tc>
        <w:tc>
          <w:tcPr>
            <w:tcW w:w="919" w:type="dxa"/>
            <w:tcBorders>
              <w:top w:val="single" w:sz="4" w:space="0" w:color="auto"/>
              <w:left w:val="single" w:sz="4" w:space="0" w:color="auto"/>
              <w:bottom w:val="single" w:sz="4" w:space="0" w:color="auto"/>
              <w:right w:val="single" w:sz="4" w:space="0" w:color="auto"/>
            </w:tcBorders>
            <w:hideMark/>
          </w:tcPr>
          <w:p w14:paraId="5FC90124"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14</w:t>
            </w:r>
          </w:p>
        </w:tc>
        <w:tc>
          <w:tcPr>
            <w:tcW w:w="1059" w:type="dxa"/>
            <w:tcBorders>
              <w:top w:val="single" w:sz="4" w:space="0" w:color="auto"/>
              <w:left w:val="single" w:sz="4" w:space="0" w:color="auto"/>
              <w:bottom w:val="single" w:sz="4" w:space="0" w:color="auto"/>
              <w:right w:val="single" w:sz="4" w:space="0" w:color="auto"/>
            </w:tcBorders>
            <w:hideMark/>
          </w:tcPr>
          <w:p w14:paraId="3D3D9ED7"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26</w:t>
            </w:r>
          </w:p>
        </w:tc>
        <w:tc>
          <w:tcPr>
            <w:tcW w:w="858" w:type="dxa"/>
            <w:tcBorders>
              <w:top w:val="single" w:sz="4" w:space="0" w:color="auto"/>
              <w:left w:val="single" w:sz="4" w:space="0" w:color="auto"/>
              <w:bottom w:val="single" w:sz="4" w:space="0" w:color="auto"/>
              <w:right w:val="single" w:sz="4" w:space="0" w:color="auto"/>
            </w:tcBorders>
            <w:hideMark/>
          </w:tcPr>
          <w:p w14:paraId="00037301"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27</w:t>
            </w:r>
          </w:p>
        </w:tc>
        <w:tc>
          <w:tcPr>
            <w:tcW w:w="1059" w:type="dxa"/>
            <w:tcBorders>
              <w:top w:val="single" w:sz="4" w:space="0" w:color="auto"/>
              <w:left w:val="single" w:sz="4" w:space="0" w:color="auto"/>
              <w:bottom w:val="single" w:sz="4" w:space="0" w:color="auto"/>
              <w:right w:val="single" w:sz="4" w:space="0" w:color="auto"/>
            </w:tcBorders>
            <w:hideMark/>
          </w:tcPr>
          <w:p w14:paraId="1F5F9920"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6</w:t>
            </w:r>
          </w:p>
        </w:tc>
        <w:tc>
          <w:tcPr>
            <w:tcW w:w="969" w:type="dxa"/>
            <w:tcBorders>
              <w:top w:val="single" w:sz="4" w:space="0" w:color="auto"/>
              <w:left w:val="single" w:sz="4" w:space="0" w:color="auto"/>
              <w:bottom w:val="single" w:sz="4" w:space="0" w:color="auto"/>
              <w:right w:val="single" w:sz="4" w:space="0" w:color="auto"/>
            </w:tcBorders>
            <w:hideMark/>
          </w:tcPr>
          <w:p w14:paraId="3182171A"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6</w:t>
            </w:r>
          </w:p>
        </w:tc>
        <w:tc>
          <w:tcPr>
            <w:tcW w:w="1041" w:type="dxa"/>
            <w:tcBorders>
              <w:top w:val="single" w:sz="4" w:space="0" w:color="auto"/>
              <w:left w:val="single" w:sz="4" w:space="0" w:color="auto"/>
              <w:bottom w:val="single" w:sz="4" w:space="0" w:color="auto"/>
              <w:right w:val="single" w:sz="4" w:space="0" w:color="auto"/>
            </w:tcBorders>
            <w:hideMark/>
          </w:tcPr>
          <w:p w14:paraId="66BD03C4"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c>
          <w:tcPr>
            <w:tcW w:w="962" w:type="dxa"/>
            <w:tcBorders>
              <w:top w:val="single" w:sz="4" w:space="0" w:color="auto"/>
              <w:left w:val="single" w:sz="4" w:space="0" w:color="auto"/>
              <w:bottom w:val="single" w:sz="4" w:space="0" w:color="auto"/>
              <w:right w:val="single" w:sz="4" w:space="0" w:color="auto"/>
            </w:tcBorders>
            <w:hideMark/>
          </w:tcPr>
          <w:p w14:paraId="7C466B0D"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7</w:t>
            </w:r>
          </w:p>
        </w:tc>
        <w:tc>
          <w:tcPr>
            <w:tcW w:w="870" w:type="dxa"/>
            <w:tcBorders>
              <w:top w:val="single" w:sz="4" w:space="0" w:color="auto"/>
              <w:left w:val="single" w:sz="4" w:space="0" w:color="auto"/>
              <w:bottom w:val="single" w:sz="4" w:space="0" w:color="auto"/>
              <w:right w:val="single" w:sz="4" w:space="0" w:color="auto"/>
            </w:tcBorders>
            <w:hideMark/>
          </w:tcPr>
          <w:p w14:paraId="3485C902"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2</w:t>
            </w:r>
          </w:p>
        </w:tc>
      </w:tr>
    </w:tbl>
    <w:p w14:paraId="02A9351B" w14:textId="2EB2814E" w:rsidR="0023213C" w:rsidRPr="0023213C" w:rsidRDefault="0023213C" w:rsidP="0023213C">
      <w:pPr>
        <w:spacing w:after="0" w:line="240" w:lineRule="auto"/>
        <w:jc w:val="both"/>
        <w:rPr>
          <w:rFonts w:ascii="Times New Roman" w:eastAsia="Calibri" w:hAnsi="Times New Roman" w:cs="Times New Roman"/>
          <w:i/>
          <w:sz w:val="28"/>
          <w:szCs w:val="28"/>
        </w:rPr>
      </w:pPr>
      <w:r w:rsidRPr="0023213C">
        <w:rPr>
          <w:rFonts w:ascii="Times New Roman" w:eastAsia="Calibri" w:hAnsi="Times New Roman" w:cs="Times New Roman"/>
          <w:sz w:val="28"/>
          <w:szCs w:val="28"/>
        </w:rPr>
        <w:t xml:space="preserve">        </w:t>
      </w:r>
      <w:r w:rsidRPr="0023213C">
        <w:rPr>
          <w:rFonts w:ascii="Times New Roman" w:eastAsia="Calibri" w:hAnsi="Times New Roman" w:cs="Times New Roman"/>
          <w:i/>
          <w:sz w:val="28"/>
          <w:szCs w:val="28"/>
        </w:rPr>
        <w:t xml:space="preserve"> </w:t>
      </w:r>
    </w:p>
    <w:p w14:paraId="3066EF47"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През отчетния период на 2022 год. са наблюдавани общо 68 бр. дела, образувани за корупционни престъпления в региона на ОП Монтана.</w:t>
      </w:r>
    </w:p>
    <w:p w14:paraId="77F63F8C"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Новообразуваните 32 бр. ДП съставляват50% / в сравнение 40% през 2021 г. и  в сравнение с 2020 г. когато съставляват 22.22%   / от общо наблюдаваните през периода 80 бр. ДП за корупционни престъпления.</w:t>
      </w:r>
    </w:p>
    <w:p w14:paraId="3CF0DD03" w14:textId="77777777" w:rsidR="0023213C" w:rsidRPr="0023213C" w:rsidRDefault="0023213C" w:rsidP="00FC76F9">
      <w:pPr>
        <w:numPr>
          <w:ilvl w:val="0"/>
          <w:numId w:val="8"/>
        </w:numPr>
        <w:spacing w:after="0" w:line="240" w:lineRule="auto"/>
        <w:ind w:left="0" w:firstLine="426"/>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lastRenderedPageBreak/>
        <w:t xml:space="preserve">Разследването е приключило по 20 бр. ДП / при  50 бр. ДП за 2021 год. и 26 бр.ДП за 2020 г. / , които съставляват 29.41 % от общо наблюдаваните ДП. От тези наказателни производства няма приключени извън законовите срокове. Няма приключени дела от тази категория извън законовите срокове и през предходните две години. </w:t>
      </w:r>
    </w:p>
    <w:p w14:paraId="7F5B9F5E" w14:textId="77777777" w:rsidR="0023213C" w:rsidRPr="0023213C" w:rsidRDefault="0023213C" w:rsidP="00FC76F9">
      <w:pPr>
        <w:numPr>
          <w:ilvl w:val="0"/>
          <w:numId w:val="8"/>
        </w:numPr>
        <w:spacing w:after="0" w:line="240" w:lineRule="auto"/>
        <w:ind w:left="0" w:firstLine="426"/>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С неприключено разследване в края на отчетния период са  общо 42 бр. ДП, представляващо  61.76% от общо наблюдаваните  / при 30 бр.ДП за 2021 г и  при 35 бр.ДП за 2020 г. /, от които всички са в законовите срокове, както е било и през предходните две години.</w:t>
      </w:r>
    </w:p>
    <w:p w14:paraId="78FDCCD6" w14:textId="77777777" w:rsidR="0023213C" w:rsidRPr="0023213C" w:rsidRDefault="0023213C" w:rsidP="00FC76F9">
      <w:pPr>
        <w:spacing w:after="0" w:line="240" w:lineRule="auto"/>
        <w:ind w:firstLine="426"/>
        <w:jc w:val="both"/>
        <w:rPr>
          <w:rFonts w:ascii="Times New Roman" w:eastAsia="Calibri" w:hAnsi="Times New Roman" w:cs="Times New Roman"/>
          <w:sz w:val="28"/>
          <w:szCs w:val="28"/>
        </w:rPr>
      </w:pPr>
    </w:p>
    <w:p w14:paraId="3BA818F7" w14:textId="77777777" w:rsidR="0023213C" w:rsidRPr="0023213C" w:rsidRDefault="0023213C" w:rsidP="00FC76F9">
      <w:pPr>
        <w:numPr>
          <w:ilvl w:val="0"/>
          <w:numId w:val="8"/>
        </w:numPr>
        <w:spacing w:after="0" w:line="240" w:lineRule="auto"/>
        <w:ind w:left="0" w:firstLine="426"/>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През периода са прекратени 14 бр. ДП/ при 37 ДП за 2021 г. и   при 18 бр.ДП за 2020 г. /, което представлява 20.58 %  от общо наблюдаваните. </w:t>
      </w:r>
    </w:p>
    <w:p w14:paraId="3AD292DF" w14:textId="77777777" w:rsidR="0023213C" w:rsidRPr="0023213C" w:rsidRDefault="0023213C" w:rsidP="00FC76F9">
      <w:pPr>
        <w:numPr>
          <w:ilvl w:val="0"/>
          <w:numId w:val="8"/>
        </w:numPr>
        <w:spacing w:after="0" w:line="240" w:lineRule="auto"/>
        <w:ind w:left="0" w:firstLine="426"/>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Внесените в съда са  9 бр.ДП с прокурорски актове/ при  13 бр.ДП за 2021 г. и при 6 бр.ДП за 2020 г.  /. </w:t>
      </w:r>
    </w:p>
    <w:p w14:paraId="3B59585E" w14:textId="77777777" w:rsidR="0023213C" w:rsidRPr="0023213C" w:rsidRDefault="0023213C" w:rsidP="00FC76F9">
      <w:pPr>
        <w:numPr>
          <w:ilvl w:val="0"/>
          <w:numId w:val="8"/>
        </w:numPr>
        <w:spacing w:after="0" w:line="240" w:lineRule="auto"/>
        <w:ind w:left="0" w:firstLine="426"/>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От тях с обвинителен акт  са внесени през периода 4 бр.ДП, срещу 4  лица, 4 бр. споразумения срещу 4 лица и 1 бр. предложение по чл.78а от НК срещу 1 лице.</w:t>
      </w:r>
    </w:p>
    <w:p w14:paraId="6D9FE271" w14:textId="77777777" w:rsidR="0023213C" w:rsidRPr="0023213C" w:rsidRDefault="0023213C" w:rsidP="00FC76F9">
      <w:pPr>
        <w:numPr>
          <w:ilvl w:val="0"/>
          <w:numId w:val="8"/>
        </w:numPr>
        <w:spacing w:after="0" w:line="240" w:lineRule="auto"/>
        <w:ind w:left="0" w:firstLine="426"/>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Осъдени с влязъл в сила съдебен акт са 8 лица/ при 9 лица за 2021 /., като няма оправдани/ в сравнение през 2020 г. има 2 оправдани лица  с влязъл в сила съдебен акт/.</w:t>
      </w:r>
    </w:p>
    <w:p w14:paraId="29BEF027" w14:textId="0DCA2FD5"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През периода на 2022 год. няма върнати от  съда дела, като през 2021 год. и 2020 г. също няма върнати от съда дела .</w:t>
      </w:r>
    </w:p>
    <w:p w14:paraId="1D0FDF9D" w14:textId="77777777" w:rsidR="0023213C" w:rsidRPr="0023213C" w:rsidRDefault="0023213C" w:rsidP="0023213C">
      <w:pPr>
        <w:spacing w:after="0" w:line="240" w:lineRule="auto"/>
        <w:jc w:val="both"/>
        <w:rPr>
          <w:rFonts w:ascii="Times New Roman" w:eastAsia="Calibri" w:hAnsi="Times New Roman" w:cs="Times New Roman"/>
          <w:sz w:val="28"/>
          <w:szCs w:val="28"/>
        </w:rPr>
      </w:pPr>
    </w:p>
    <w:p w14:paraId="05023C8A" w14:textId="77777777" w:rsidR="0023213C" w:rsidRPr="0023213C" w:rsidRDefault="0023213C" w:rsidP="0023213C">
      <w:pPr>
        <w:spacing w:after="0" w:line="240" w:lineRule="auto"/>
        <w:jc w:val="both"/>
        <w:rPr>
          <w:rFonts w:ascii="Times New Roman" w:eastAsia="Calibri" w:hAnsi="Times New Roman" w:cs="Times New Roman"/>
          <w:i/>
          <w:sz w:val="28"/>
          <w:szCs w:val="28"/>
        </w:rPr>
      </w:pPr>
    </w:p>
    <w:p w14:paraId="41D93DF1"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Times New Roman"/>
          <w:color w:val="000000"/>
          <w:sz w:val="28"/>
          <w:lang w:eastAsia="bg-BG"/>
        </w:rPr>
      </w:pPr>
      <w:bookmarkStart w:id="63" w:name="_Toc127285397"/>
      <w:bookmarkStart w:id="64" w:name="_Toc127370278"/>
      <w:r w:rsidRPr="0023213C">
        <w:rPr>
          <w:rFonts w:ascii="Times New Roman" w:eastAsia="Calibri" w:hAnsi="Times New Roman" w:cs="Times New Roman"/>
          <w:color w:val="000000"/>
          <w:sz w:val="28"/>
          <w:u w:val="single"/>
          <w:lang w:eastAsia="bg-BG"/>
        </w:rPr>
        <w:t>3.1. Резултатност</w:t>
      </w:r>
      <w:r w:rsidRPr="0023213C">
        <w:rPr>
          <w:rFonts w:ascii="Times New Roman" w:eastAsia="Calibri" w:hAnsi="Times New Roman" w:cs="Times New Roman"/>
          <w:color w:val="000000"/>
          <w:sz w:val="28"/>
          <w:lang w:eastAsia="bg-BG"/>
        </w:rPr>
        <w:t>:</w:t>
      </w:r>
      <w:bookmarkEnd w:id="63"/>
      <w:bookmarkEnd w:id="64"/>
    </w:p>
    <w:p w14:paraId="462A2F27" w14:textId="77777777" w:rsidR="0023213C" w:rsidRPr="0023213C" w:rsidRDefault="0023213C" w:rsidP="0023213C">
      <w:pPr>
        <w:numPr>
          <w:ilvl w:val="0"/>
          <w:numId w:val="7"/>
        </w:numPr>
        <w:spacing w:after="0" w:line="240" w:lineRule="auto"/>
        <w:ind w:left="0"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решени ДП спрямо наблюдаваните – 36.76%/ при  62.5% за 2021 г. и  при 42.85  % за 2020 г./;</w:t>
      </w:r>
    </w:p>
    <w:p w14:paraId="5B5FB485" w14:textId="77777777" w:rsidR="0023213C" w:rsidRPr="0023213C" w:rsidRDefault="0023213C" w:rsidP="0023213C">
      <w:pPr>
        <w:numPr>
          <w:ilvl w:val="0"/>
          <w:numId w:val="7"/>
        </w:numPr>
        <w:spacing w:after="0" w:line="240" w:lineRule="auto"/>
        <w:ind w:left="0"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внесени в съда ДП спрямо решените – 32% / при 24%за 2021 год. и при 9.52 % за 2020 г. /;</w:t>
      </w:r>
    </w:p>
    <w:p w14:paraId="019D4BDB" w14:textId="77777777" w:rsidR="0023213C" w:rsidRPr="0023213C" w:rsidRDefault="0023213C" w:rsidP="0023213C">
      <w:pPr>
        <w:numPr>
          <w:ilvl w:val="0"/>
          <w:numId w:val="7"/>
        </w:numPr>
        <w:spacing w:after="0" w:line="240" w:lineRule="auto"/>
        <w:ind w:left="0"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върнати от съда дела спрямо внесените прокурорски актове – 0.0%  (при 0.0% за 2021  г. и при 0.0% за 2020).</w:t>
      </w:r>
    </w:p>
    <w:p w14:paraId="0A73B580" w14:textId="77777777" w:rsidR="0023213C" w:rsidRPr="0023213C" w:rsidRDefault="0023213C" w:rsidP="0023213C">
      <w:pPr>
        <w:numPr>
          <w:ilvl w:val="0"/>
          <w:numId w:val="7"/>
        </w:numPr>
        <w:spacing w:after="0" w:line="240" w:lineRule="auto"/>
        <w:ind w:left="0"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осъдени лица спрямо лицата по внесените в съда прокурорски актове – 88.88% / при  69.23% за 2021 г.  при  116.6 % за 2020 г. /.</w:t>
      </w:r>
    </w:p>
    <w:p w14:paraId="1406B809" w14:textId="77777777" w:rsidR="0023213C" w:rsidRPr="0023213C" w:rsidRDefault="0023213C" w:rsidP="0023213C">
      <w:pPr>
        <w:numPr>
          <w:ilvl w:val="0"/>
          <w:numId w:val="7"/>
        </w:numPr>
        <w:spacing w:after="0" w:line="240" w:lineRule="auto"/>
        <w:ind w:left="0"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Оправдани лица-2 лица за периода с влязъл в сила съдебен акт.</w:t>
      </w:r>
    </w:p>
    <w:p w14:paraId="60CEE9A7" w14:textId="77777777" w:rsidR="0023213C" w:rsidRPr="0023213C" w:rsidRDefault="0023213C" w:rsidP="0023213C">
      <w:pPr>
        <w:spacing w:after="0" w:line="240" w:lineRule="auto"/>
        <w:jc w:val="both"/>
        <w:rPr>
          <w:rFonts w:ascii="Times New Roman" w:eastAsia="Calibri" w:hAnsi="Times New Roman" w:cs="Times New Roman"/>
          <w:sz w:val="28"/>
          <w:szCs w:val="28"/>
        </w:rPr>
      </w:pPr>
    </w:p>
    <w:p w14:paraId="7CE68C96"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Times New Roman"/>
          <w:i/>
          <w:color w:val="000000"/>
          <w:sz w:val="28"/>
          <w:lang w:eastAsia="bg-BG"/>
        </w:rPr>
      </w:pPr>
      <w:bookmarkStart w:id="65" w:name="_Toc127285398"/>
      <w:bookmarkStart w:id="66" w:name="_Toc127370279"/>
      <w:r w:rsidRPr="0023213C">
        <w:rPr>
          <w:rFonts w:ascii="Times New Roman" w:eastAsia="Calibri" w:hAnsi="Times New Roman" w:cs="Times New Roman"/>
          <w:i/>
          <w:color w:val="000000"/>
          <w:sz w:val="28"/>
          <w:u w:val="single"/>
          <w:lang w:eastAsia="bg-BG"/>
        </w:rPr>
        <w:t>3.2. Видове наказания на осъдените лица</w:t>
      </w:r>
      <w:r w:rsidRPr="0023213C">
        <w:rPr>
          <w:rFonts w:ascii="Times New Roman" w:eastAsia="Calibri" w:hAnsi="Times New Roman" w:cs="Times New Roman"/>
          <w:i/>
          <w:color w:val="000000"/>
          <w:sz w:val="28"/>
          <w:lang w:eastAsia="bg-BG"/>
        </w:rPr>
        <w:t xml:space="preserve"> – относителен дял спрямо общия брой определени от съда наказания:</w:t>
      </w:r>
      <w:bookmarkEnd w:id="65"/>
      <w:bookmarkEnd w:id="66"/>
    </w:p>
    <w:p w14:paraId="33AC41A4" w14:textId="77777777" w:rsidR="0023213C" w:rsidRPr="0023213C" w:rsidRDefault="0023213C" w:rsidP="0023213C">
      <w:pPr>
        <w:spacing w:after="0" w:line="240" w:lineRule="auto"/>
        <w:jc w:val="both"/>
        <w:rPr>
          <w:rFonts w:ascii="Times New Roman" w:eastAsia="Calibri" w:hAnsi="Times New Roman" w:cs="Times New Roman"/>
          <w:i/>
          <w:sz w:val="28"/>
          <w:szCs w:val="28"/>
        </w:rPr>
      </w:pPr>
    </w:p>
    <w:p w14:paraId="725F00D3"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„лишаване от свобода” с ефективно изтърпяване на наказанието – 1 лице/ при 0 лица за 2021 год.  и 2020 г., когато  също няма осъдени ефективно лица ).;</w:t>
      </w:r>
    </w:p>
    <w:p w14:paraId="41AF8D19"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„лишаване от свобода” с отлагане на изтърпяването за определен от съда изпитателен срок – 5 лица, представляващо 62.5% от общо осъдените лица/ при 88.8 % за 2021 г./ </w:t>
      </w:r>
    </w:p>
    <w:p w14:paraId="06C4C809"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пробация – лица – 25 %</w:t>
      </w:r>
    </w:p>
    <w:p w14:paraId="463AAD7A"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глоба – 0 лица – 0 %</w:t>
      </w:r>
    </w:p>
    <w:p w14:paraId="541E019A" w14:textId="77777777" w:rsidR="0023213C" w:rsidRPr="0023213C" w:rsidRDefault="0023213C" w:rsidP="0023213C">
      <w:pPr>
        <w:spacing w:after="0" w:line="240" w:lineRule="auto"/>
        <w:jc w:val="both"/>
        <w:rPr>
          <w:rFonts w:ascii="Times New Roman" w:eastAsia="Calibri" w:hAnsi="Times New Roman" w:cs="Times New Roman"/>
          <w:bCs/>
          <w:i/>
          <w:sz w:val="28"/>
          <w:szCs w:val="28"/>
        </w:rPr>
      </w:pPr>
    </w:p>
    <w:p w14:paraId="400A97AA"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През отчетния период  се наблюдава тенденция за намаляване броя на наблюдаваните досъдебни производства,увеличаване на новообразуваните и намаляване на броя  на решените досъдебни производства в сравнение с предходни периоди.</w:t>
      </w:r>
    </w:p>
    <w:p w14:paraId="71691CD6" w14:textId="2099A844"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w:t>
      </w:r>
      <w:r w:rsidR="00FC76F9">
        <w:rPr>
          <w:rFonts w:ascii="Times New Roman" w:eastAsia="Calibri" w:hAnsi="Times New Roman" w:cs="Times New Roman"/>
          <w:sz w:val="28"/>
          <w:szCs w:val="28"/>
        </w:rPr>
        <w:tab/>
      </w:r>
      <w:r w:rsidRPr="0023213C">
        <w:rPr>
          <w:rFonts w:ascii="Times New Roman" w:eastAsia="Calibri" w:hAnsi="Times New Roman" w:cs="Times New Roman"/>
          <w:sz w:val="28"/>
          <w:szCs w:val="28"/>
        </w:rPr>
        <w:t>Има намаляване    на внесените в съда актове спрямо 2021 год. и увеличаване спрямо 2020 год.. За разследването на ДП, водени за корупционни престъпления, е характерно, че отнемат много повече време и усилия в сравнение с другите ДП, отличават се с фактическа и правна сложност, поради което винаги се налага удължаване на срока на разследването по тях.</w:t>
      </w:r>
    </w:p>
    <w:p w14:paraId="688433E7" w14:textId="41D900C9"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w:t>
      </w:r>
      <w:r w:rsidR="00FC76F9">
        <w:rPr>
          <w:rFonts w:ascii="Times New Roman" w:eastAsia="Calibri" w:hAnsi="Times New Roman" w:cs="Times New Roman"/>
          <w:sz w:val="28"/>
          <w:szCs w:val="28"/>
        </w:rPr>
        <w:tab/>
      </w:r>
      <w:r w:rsidRPr="0023213C">
        <w:rPr>
          <w:rFonts w:ascii="Times New Roman" w:eastAsia="Calibri" w:hAnsi="Times New Roman" w:cs="Times New Roman"/>
          <w:sz w:val="28"/>
          <w:szCs w:val="28"/>
        </w:rPr>
        <w:t>Също така с оглед и въведеното в началото на 2020 год. извънредно положение във връзка с разпространението на вирусната инфекция и последвалите  мерки за овладяването , провеждането на избори в страната, което ангажира ресурса на МВР/ в това число и разследващите/,доведе до затруднение при разследването на тези дела.</w:t>
      </w:r>
    </w:p>
    <w:p w14:paraId="32C80FFE" w14:textId="3CFFEED2"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w:t>
      </w:r>
      <w:r w:rsidR="00FC76F9">
        <w:rPr>
          <w:rFonts w:ascii="Times New Roman" w:eastAsia="Calibri" w:hAnsi="Times New Roman" w:cs="Times New Roman"/>
          <w:sz w:val="28"/>
          <w:szCs w:val="28"/>
        </w:rPr>
        <w:tab/>
      </w:r>
      <w:r w:rsidRPr="0023213C">
        <w:rPr>
          <w:rFonts w:ascii="Times New Roman" w:eastAsia="Calibri" w:hAnsi="Times New Roman" w:cs="Times New Roman"/>
          <w:sz w:val="28"/>
          <w:szCs w:val="28"/>
        </w:rPr>
        <w:t>Налице е  тенденция за устойчивост по отношение на оправданите с влязла в сила присъда лица, които за 2022 год. са две лица,, през 2021 год. също са две лица. На едно лице е наложено наказание“ лишаване от свобода“ ефективно, а на останалите други осъдени лица  са налагани наказания „лишаване от свобода“ при условията на чл. 66 от НК, пробация  и глоба , тъй като същите са били с чисто съдебно минало и добри характеристични данни.</w:t>
      </w:r>
    </w:p>
    <w:p w14:paraId="401A4C67" w14:textId="77777777" w:rsidR="0023213C" w:rsidRPr="0023213C" w:rsidRDefault="0023213C" w:rsidP="0023213C">
      <w:pPr>
        <w:spacing w:after="0" w:line="240" w:lineRule="auto"/>
        <w:jc w:val="both"/>
        <w:rPr>
          <w:rFonts w:ascii="Times New Roman" w:eastAsia="Calibri" w:hAnsi="Times New Roman" w:cs="Times New Roman"/>
          <w:sz w:val="28"/>
          <w:szCs w:val="28"/>
        </w:rPr>
      </w:pPr>
    </w:p>
    <w:p w14:paraId="0C537A5D"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color w:val="000000"/>
          <w:sz w:val="28"/>
          <w:u w:val="single"/>
          <w:lang w:eastAsia="bg-BG"/>
        </w:rPr>
      </w:pPr>
      <w:bookmarkStart w:id="67" w:name="_Toc127370280"/>
      <w:r w:rsidRPr="0023213C">
        <w:rPr>
          <w:rFonts w:ascii="Times New Roman" w:eastAsia="Calibri" w:hAnsi="Times New Roman" w:cs="Arial"/>
          <w:b/>
          <w:color w:val="000000"/>
          <w:sz w:val="28"/>
          <w:u w:val="single"/>
          <w:lang w:eastAsia="bg-BG"/>
        </w:rPr>
        <w:t>4. Изпиране на пари.</w:t>
      </w:r>
      <w:bookmarkEnd w:id="67"/>
    </w:p>
    <w:p w14:paraId="798A09CA" w14:textId="77777777" w:rsidR="0023213C" w:rsidRPr="0023213C" w:rsidRDefault="0023213C" w:rsidP="0023213C">
      <w:pPr>
        <w:spacing w:after="0" w:line="240" w:lineRule="auto"/>
        <w:jc w:val="both"/>
        <w:rPr>
          <w:rFonts w:ascii="Times New Roman" w:eastAsia="Calibri" w:hAnsi="Times New Roman" w:cs="Times New Roman"/>
          <w:b/>
          <w:sz w:val="28"/>
          <w:szCs w:val="28"/>
        </w:rPr>
      </w:pPr>
    </w:p>
    <w:tbl>
      <w:tblPr>
        <w:tblW w:w="9705" w:type="dxa"/>
        <w:jc w:val="center"/>
        <w:tblInd w:w="-79" w:type="dxa"/>
        <w:tblLayout w:type="fixed"/>
        <w:tblCellMar>
          <w:left w:w="70" w:type="dxa"/>
          <w:right w:w="70" w:type="dxa"/>
        </w:tblCellMar>
        <w:tblLook w:val="00A0" w:firstRow="1" w:lastRow="0" w:firstColumn="1" w:lastColumn="0" w:noHBand="0" w:noVBand="0"/>
      </w:tblPr>
      <w:tblGrid>
        <w:gridCol w:w="917"/>
        <w:gridCol w:w="933"/>
        <w:gridCol w:w="993"/>
        <w:gridCol w:w="992"/>
        <w:gridCol w:w="946"/>
        <w:gridCol w:w="1004"/>
        <w:gridCol w:w="839"/>
        <w:gridCol w:w="954"/>
        <w:gridCol w:w="1134"/>
        <w:gridCol w:w="993"/>
      </w:tblGrid>
      <w:tr w:rsidR="0023213C" w:rsidRPr="0023213C" w14:paraId="5150D23D" w14:textId="77777777" w:rsidTr="0023213C">
        <w:trPr>
          <w:trHeight w:val="1549"/>
          <w:jc w:val="center"/>
        </w:trPr>
        <w:tc>
          <w:tcPr>
            <w:tcW w:w="918" w:type="dxa"/>
            <w:tcBorders>
              <w:top w:val="single" w:sz="4" w:space="0" w:color="auto"/>
              <w:left w:val="single" w:sz="4" w:space="0" w:color="auto"/>
              <w:bottom w:val="single" w:sz="4" w:space="0" w:color="auto"/>
              <w:right w:val="single" w:sz="4" w:space="0" w:color="auto"/>
            </w:tcBorders>
            <w:hideMark/>
          </w:tcPr>
          <w:p w14:paraId="3FA67994"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Година</w:t>
            </w:r>
          </w:p>
        </w:tc>
        <w:tc>
          <w:tcPr>
            <w:tcW w:w="934" w:type="dxa"/>
            <w:tcBorders>
              <w:top w:val="single" w:sz="4" w:space="0" w:color="auto"/>
              <w:left w:val="nil"/>
              <w:bottom w:val="single" w:sz="4" w:space="0" w:color="auto"/>
              <w:right w:val="single" w:sz="4" w:space="0" w:color="auto"/>
            </w:tcBorders>
            <w:hideMark/>
          </w:tcPr>
          <w:p w14:paraId="7092EB85" w14:textId="77777777" w:rsidR="0023213C" w:rsidRPr="0023213C" w:rsidRDefault="0023213C" w:rsidP="0023213C">
            <w:pPr>
              <w:spacing w:after="0"/>
              <w:rPr>
                <w:rFonts w:ascii="Times New Roman" w:eastAsia="Calibri" w:hAnsi="Times New Roman" w:cs="Times New Roman"/>
                <w:b/>
                <w:bCs/>
                <w:color w:val="000000"/>
                <w:sz w:val="24"/>
                <w:szCs w:val="24"/>
              </w:rPr>
            </w:pPr>
            <w:r w:rsidRPr="0023213C">
              <w:rPr>
                <w:rFonts w:ascii="Times New Roman" w:eastAsia="Calibri" w:hAnsi="Times New Roman" w:cs="Times New Roman"/>
                <w:b/>
                <w:bCs/>
                <w:color w:val="000000"/>
                <w:sz w:val="24"/>
                <w:szCs w:val="24"/>
              </w:rPr>
              <w:t>Наблю</w:t>
            </w:r>
          </w:p>
          <w:p w14:paraId="4F623577" w14:textId="77777777" w:rsidR="0023213C" w:rsidRPr="0023213C" w:rsidRDefault="0023213C" w:rsidP="0023213C">
            <w:pPr>
              <w:spacing w:after="0"/>
              <w:rPr>
                <w:rFonts w:ascii="Times New Roman" w:eastAsia="Calibri" w:hAnsi="Times New Roman" w:cs="Times New Roman"/>
                <w:b/>
                <w:bCs/>
                <w:color w:val="000000"/>
                <w:sz w:val="24"/>
                <w:szCs w:val="24"/>
              </w:rPr>
            </w:pPr>
            <w:r w:rsidRPr="0023213C">
              <w:rPr>
                <w:rFonts w:ascii="Times New Roman" w:eastAsia="Calibri" w:hAnsi="Times New Roman" w:cs="Times New Roman"/>
                <w:b/>
                <w:bCs/>
                <w:color w:val="000000"/>
                <w:sz w:val="24"/>
                <w:szCs w:val="24"/>
              </w:rPr>
              <w:t>давани ДП</w:t>
            </w:r>
          </w:p>
        </w:tc>
        <w:tc>
          <w:tcPr>
            <w:tcW w:w="993" w:type="dxa"/>
            <w:tcBorders>
              <w:top w:val="single" w:sz="4" w:space="0" w:color="auto"/>
              <w:left w:val="nil"/>
              <w:bottom w:val="single" w:sz="4" w:space="0" w:color="auto"/>
              <w:right w:val="single" w:sz="4" w:space="0" w:color="auto"/>
            </w:tcBorders>
            <w:hideMark/>
          </w:tcPr>
          <w:p w14:paraId="05AA02A8"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Новообразува</w:t>
            </w:r>
          </w:p>
          <w:p w14:paraId="66349423"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ни ДП</w:t>
            </w:r>
          </w:p>
        </w:tc>
        <w:tc>
          <w:tcPr>
            <w:tcW w:w="992" w:type="dxa"/>
            <w:tcBorders>
              <w:top w:val="single" w:sz="4" w:space="0" w:color="auto"/>
              <w:left w:val="nil"/>
              <w:bottom w:val="single" w:sz="4" w:space="0" w:color="auto"/>
              <w:right w:val="single" w:sz="4" w:space="0" w:color="auto"/>
            </w:tcBorders>
            <w:hideMark/>
          </w:tcPr>
          <w:p w14:paraId="0A23E9E5"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Приключени разследвания</w:t>
            </w:r>
          </w:p>
        </w:tc>
        <w:tc>
          <w:tcPr>
            <w:tcW w:w="946" w:type="dxa"/>
            <w:tcBorders>
              <w:top w:val="single" w:sz="4" w:space="0" w:color="auto"/>
              <w:left w:val="nil"/>
              <w:bottom w:val="single" w:sz="4" w:space="0" w:color="auto"/>
              <w:right w:val="single" w:sz="4" w:space="0" w:color="auto"/>
            </w:tcBorders>
            <w:hideMark/>
          </w:tcPr>
          <w:p w14:paraId="1ED0AE3D"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Решени ДП</w:t>
            </w:r>
          </w:p>
        </w:tc>
        <w:tc>
          <w:tcPr>
            <w:tcW w:w="1004" w:type="dxa"/>
            <w:tcBorders>
              <w:top w:val="single" w:sz="4" w:space="0" w:color="auto"/>
              <w:left w:val="nil"/>
              <w:bottom w:val="single" w:sz="4" w:space="0" w:color="auto"/>
              <w:right w:val="single" w:sz="4" w:space="0" w:color="auto"/>
            </w:tcBorders>
            <w:hideMark/>
          </w:tcPr>
          <w:p w14:paraId="46B92EE7"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Проку</w:t>
            </w:r>
          </w:p>
          <w:p w14:paraId="49493E77"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рорски актове, внесени в съда</w:t>
            </w:r>
          </w:p>
        </w:tc>
        <w:tc>
          <w:tcPr>
            <w:tcW w:w="839" w:type="dxa"/>
            <w:tcBorders>
              <w:top w:val="single" w:sz="4" w:space="0" w:color="auto"/>
              <w:left w:val="nil"/>
              <w:bottom w:val="single" w:sz="4" w:space="0" w:color="auto"/>
              <w:right w:val="single" w:sz="4" w:space="0" w:color="auto"/>
            </w:tcBorders>
            <w:hideMark/>
          </w:tcPr>
          <w:p w14:paraId="19EE4050"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Преда</w:t>
            </w:r>
          </w:p>
          <w:p w14:paraId="6425F1CF"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дени на съд лица</w:t>
            </w:r>
          </w:p>
        </w:tc>
        <w:tc>
          <w:tcPr>
            <w:tcW w:w="954" w:type="dxa"/>
            <w:tcBorders>
              <w:top w:val="single" w:sz="4" w:space="0" w:color="auto"/>
              <w:left w:val="nil"/>
              <w:bottom w:val="single" w:sz="4" w:space="0" w:color="auto"/>
              <w:right w:val="single" w:sz="4" w:space="0" w:color="auto"/>
            </w:tcBorders>
            <w:hideMark/>
          </w:tcPr>
          <w:p w14:paraId="1EBA8D9C"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Върна</w:t>
            </w:r>
          </w:p>
          <w:p w14:paraId="75D7535D"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ти от съда ДП</w:t>
            </w:r>
          </w:p>
        </w:tc>
        <w:tc>
          <w:tcPr>
            <w:tcW w:w="1134" w:type="dxa"/>
            <w:tcBorders>
              <w:top w:val="single" w:sz="4" w:space="0" w:color="auto"/>
              <w:left w:val="nil"/>
              <w:bottom w:val="single" w:sz="4" w:space="0" w:color="auto"/>
              <w:right w:val="single" w:sz="4" w:space="0" w:color="auto"/>
            </w:tcBorders>
            <w:hideMark/>
          </w:tcPr>
          <w:p w14:paraId="60A611BE"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Осъдени лица с влязъл в сила съдебен акт</w:t>
            </w:r>
          </w:p>
        </w:tc>
        <w:tc>
          <w:tcPr>
            <w:tcW w:w="993" w:type="dxa"/>
            <w:tcBorders>
              <w:top w:val="single" w:sz="4" w:space="0" w:color="auto"/>
              <w:left w:val="nil"/>
              <w:bottom w:val="single" w:sz="4" w:space="0" w:color="auto"/>
              <w:right w:val="single" w:sz="4" w:space="0" w:color="auto"/>
            </w:tcBorders>
            <w:hideMark/>
          </w:tcPr>
          <w:p w14:paraId="5E0382B5"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Оправ</w:t>
            </w:r>
          </w:p>
          <w:p w14:paraId="47BA4E0B"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дани лица с влязъл в сила съдебен акт</w:t>
            </w:r>
          </w:p>
        </w:tc>
      </w:tr>
      <w:tr w:rsidR="0023213C" w:rsidRPr="0023213C" w14:paraId="73B9D909" w14:textId="77777777" w:rsidTr="0023213C">
        <w:trPr>
          <w:trHeight w:val="330"/>
          <w:jc w:val="center"/>
        </w:trPr>
        <w:tc>
          <w:tcPr>
            <w:tcW w:w="918"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14:paraId="249E4AA0"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2022</w:t>
            </w:r>
          </w:p>
        </w:tc>
        <w:tc>
          <w:tcPr>
            <w:tcW w:w="934" w:type="dxa"/>
            <w:tcBorders>
              <w:top w:val="nil"/>
              <w:left w:val="nil"/>
              <w:bottom w:val="single" w:sz="4" w:space="0" w:color="auto"/>
              <w:right w:val="single" w:sz="4" w:space="0" w:color="auto"/>
            </w:tcBorders>
            <w:shd w:val="clear" w:color="auto" w:fill="C2D69B" w:themeFill="accent3" w:themeFillTint="99"/>
            <w:vAlign w:val="center"/>
            <w:hideMark/>
          </w:tcPr>
          <w:p w14:paraId="67A19525" w14:textId="77777777" w:rsidR="0023213C" w:rsidRPr="0023213C" w:rsidRDefault="0023213C" w:rsidP="0023213C">
            <w:pPr>
              <w:spacing w:after="0"/>
              <w:rPr>
                <w:rFonts w:ascii="Times New Roman" w:eastAsia="Calibri" w:hAnsi="Times New Roman" w:cs="Times New Roman"/>
                <w:b/>
                <w:bCs/>
                <w:color w:val="000000"/>
                <w:sz w:val="24"/>
                <w:szCs w:val="24"/>
              </w:rPr>
            </w:pPr>
            <w:r w:rsidRPr="0023213C">
              <w:rPr>
                <w:rFonts w:ascii="Times New Roman" w:eastAsia="Calibri" w:hAnsi="Times New Roman" w:cs="Times New Roman"/>
                <w:b/>
                <w:bCs/>
                <w:color w:val="000000"/>
                <w:sz w:val="24"/>
                <w:szCs w:val="24"/>
              </w:rPr>
              <w:t>4</w:t>
            </w:r>
          </w:p>
        </w:tc>
        <w:tc>
          <w:tcPr>
            <w:tcW w:w="993" w:type="dxa"/>
            <w:tcBorders>
              <w:top w:val="nil"/>
              <w:left w:val="nil"/>
              <w:bottom w:val="single" w:sz="4" w:space="0" w:color="auto"/>
              <w:right w:val="single" w:sz="4" w:space="0" w:color="auto"/>
            </w:tcBorders>
            <w:shd w:val="clear" w:color="auto" w:fill="C2D69B" w:themeFill="accent3" w:themeFillTint="99"/>
            <w:vAlign w:val="center"/>
            <w:hideMark/>
          </w:tcPr>
          <w:p w14:paraId="3CE38F0C"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w:t>
            </w:r>
          </w:p>
        </w:tc>
        <w:tc>
          <w:tcPr>
            <w:tcW w:w="992" w:type="dxa"/>
            <w:tcBorders>
              <w:top w:val="nil"/>
              <w:left w:val="nil"/>
              <w:bottom w:val="single" w:sz="4" w:space="0" w:color="auto"/>
              <w:right w:val="single" w:sz="4" w:space="0" w:color="auto"/>
            </w:tcBorders>
            <w:shd w:val="clear" w:color="auto" w:fill="C2D69B" w:themeFill="accent3" w:themeFillTint="99"/>
            <w:vAlign w:val="center"/>
            <w:hideMark/>
          </w:tcPr>
          <w:p w14:paraId="00F39AB3"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946" w:type="dxa"/>
            <w:tcBorders>
              <w:top w:val="nil"/>
              <w:left w:val="nil"/>
              <w:bottom w:val="single" w:sz="4" w:space="0" w:color="auto"/>
              <w:right w:val="single" w:sz="4" w:space="0" w:color="auto"/>
            </w:tcBorders>
            <w:shd w:val="clear" w:color="auto" w:fill="C2D69B" w:themeFill="accent3" w:themeFillTint="99"/>
            <w:vAlign w:val="center"/>
            <w:hideMark/>
          </w:tcPr>
          <w:p w14:paraId="1C82889D"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1004" w:type="dxa"/>
            <w:tcBorders>
              <w:top w:val="nil"/>
              <w:left w:val="nil"/>
              <w:bottom w:val="single" w:sz="4" w:space="0" w:color="auto"/>
              <w:right w:val="single" w:sz="4" w:space="0" w:color="auto"/>
            </w:tcBorders>
            <w:shd w:val="clear" w:color="auto" w:fill="C2D69B" w:themeFill="accent3" w:themeFillTint="99"/>
            <w:vAlign w:val="center"/>
            <w:hideMark/>
          </w:tcPr>
          <w:p w14:paraId="56BFC2BB"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839" w:type="dxa"/>
            <w:tcBorders>
              <w:top w:val="nil"/>
              <w:left w:val="nil"/>
              <w:bottom w:val="single" w:sz="4" w:space="0" w:color="auto"/>
              <w:right w:val="single" w:sz="4" w:space="0" w:color="auto"/>
            </w:tcBorders>
            <w:shd w:val="clear" w:color="auto" w:fill="C2D69B" w:themeFill="accent3" w:themeFillTint="99"/>
            <w:vAlign w:val="center"/>
            <w:hideMark/>
          </w:tcPr>
          <w:p w14:paraId="159E6128"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954" w:type="dxa"/>
            <w:tcBorders>
              <w:top w:val="nil"/>
              <w:left w:val="nil"/>
              <w:bottom w:val="single" w:sz="4" w:space="0" w:color="auto"/>
              <w:right w:val="single" w:sz="4" w:space="0" w:color="auto"/>
            </w:tcBorders>
            <w:shd w:val="clear" w:color="auto" w:fill="C2D69B" w:themeFill="accent3" w:themeFillTint="99"/>
            <w:vAlign w:val="center"/>
            <w:hideMark/>
          </w:tcPr>
          <w:p w14:paraId="7801F5D3"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1134" w:type="dxa"/>
            <w:tcBorders>
              <w:top w:val="nil"/>
              <w:left w:val="nil"/>
              <w:bottom w:val="single" w:sz="4" w:space="0" w:color="auto"/>
              <w:right w:val="single" w:sz="4" w:space="0" w:color="auto"/>
            </w:tcBorders>
            <w:shd w:val="clear" w:color="auto" w:fill="C2D69B" w:themeFill="accent3" w:themeFillTint="99"/>
            <w:vAlign w:val="center"/>
            <w:hideMark/>
          </w:tcPr>
          <w:p w14:paraId="7E4085A0"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993" w:type="dxa"/>
            <w:tcBorders>
              <w:top w:val="nil"/>
              <w:left w:val="nil"/>
              <w:bottom w:val="single" w:sz="4" w:space="0" w:color="auto"/>
              <w:right w:val="single" w:sz="4" w:space="0" w:color="auto"/>
            </w:tcBorders>
            <w:shd w:val="clear" w:color="auto" w:fill="C2D69B" w:themeFill="accent3" w:themeFillTint="99"/>
            <w:vAlign w:val="center"/>
            <w:hideMark/>
          </w:tcPr>
          <w:p w14:paraId="0C535393"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r>
      <w:tr w:rsidR="0023213C" w:rsidRPr="0023213C" w14:paraId="53E7C0D6" w14:textId="77777777" w:rsidTr="0023213C">
        <w:trPr>
          <w:trHeight w:val="330"/>
          <w:jc w:val="center"/>
        </w:trPr>
        <w:tc>
          <w:tcPr>
            <w:tcW w:w="918" w:type="dxa"/>
            <w:tcBorders>
              <w:top w:val="nil"/>
              <w:left w:val="single" w:sz="4" w:space="0" w:color="auto"/>
              <w:bottom w:val="single" w:sz="4" w:space="0" w:color="auto"/>
              <w:right w:val="single" w:sz="4" w:space="0" w:color="auto"/>
            </w:tcBorders>
            <w:vAlign w:val="center"/>
            <w:hideMark/>
          </w:tcPr>
          <w:p w14:paraId="3BC815AC"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20</w:t>
            </w:r>
            <w:r w:rsidRPr="0023213C">
              <w:rPr>
                <w:rFonts w:ascii="Times New Roman" w:eastAsia="Calibri" w:hAnsi="Times New Roman" w:cs="Times New Roman"/>
                <w:b/>
                <w:color w:val="000000"/>
                <w:sz w:val="24"/>
                <w:szCs w:val="24"/>
                <w:lang w:val="en-US"/>
              </w:rPr>
              <w:t>2</w:t>
            </w:r>
            <w:r w:rsidRPr="0023213C">
              <w:rPr>
                <w:rFonts w:ascii="Times New Roman" w:eastAsia="Calibri" w:hAnsi="Times New Roman" w:cs="Times New Roman"/>
                <w:b/>
                <w:color w:val="000000"/>
                <w:sz w:val="24"/>
                <w:szCs w:val="24"/>
              </w:rPr>
              <w:t>1</w:t>
            </w:r>
          </w:p>
        </w:tc>
        <w:tc>
          <w:tcPr>
            <w:tcW w:w="934" w:type="dxa"/>
            <w:tcBorders>
              <w:top w:val="nil"/>
              <w:left w:val="nil"/>
              <w:bottom w:val="single" w:sz="4" w:space="0" w:color="auto"/>
              <w:right w:val="single" w:sz="4" w:space="0" w:color="auto"/>
            </w:tcBorders>
            <w:vAlign w:val="center"/>
            <w:hideMark/>
          </w:tcPr>
          <w:p w14:paraId="05F43471" w14:textId="77777777" w:rsidR="0023213C" w:rsidRPr="0023213C" w:rsidRDefault="0023213C" w:rsidP="0023213C">
            <w:pPr>
              <w:spacing w:after="0"/>
              <w:rPr>
                <w:rFonts w:ascii="Times New Roman" w:eastAsia="Calibri" w:hAnsi="Times New Roman" w:cs="Times New Roman"/>
                <w:b/>
                <w:bCs/>
                <w:color w:val="000000"/>
                <w:sz w:val="24"/>
                <w:szCs w:val="24"/>
              </w:rPr>
            </w:pPr>
            <w:r w:rsidRPr="0023213C">
              <w:rPr>
                <w:rFonts w:ascii="Times New Roman" w:eastAsia="Calibri" w:hAnsi="Times New Roman" w:cs="Times New Roman"/>
                <w:b/>
                <w:bCs/>
                <w:color w:val="000000"/>
                <w:sz w:val="24"/>
                <w:szCs w:val="24"/>
              </w:rPr>
              <w:t>3</w:t>
            </w:r>
          </w:p>
        </w:tc>
        <w:tc>
          <w:tcPr>
            <w:tcW w:w="993" w:type="dxa"/>
            <w:tcBorders>
              <w:top w:val="nil"/>
              <w:left w:val="nil"/>
              <w:bottom w:val="single" w:sz="4" w:space="0" w:color="auto"/>
              <w:right w:val="single" w:sz="4" w:space="0" w:color="auto"/>
            </w:tcBorders>
            <w:vAlign w:val="center"/>
            <w:hideMark/>
          </w:tcPr>
          <w:p w14:paraId="048C7512"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992" w:type="dxa"/>
            <w:tcBorders>
              <w:top w:val="nil"/>
              <w:left w:val="nil"/>
              <w:bottom w:val="single" w:sz="4" w:space="0" w:color="auto"/>
              <w:right w:val="single" w:sz="4" w:space="0" w:color="auto"/>
            </w:tcBorders>
            <w:vAlign w:val="center"/>
            <w:hideMark/>
          </w:tcPr>
          <w:p w14:paraId="1B73F8DA"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1</w:t>
            </w:r>
          </w:p>
        </w:tc>
        <w:tc>
          <w:tcPr>
            <w:tcW w:w="946" w:type="dxa"/>
            <w:tcBorders>
              <w:top w:val="nil"/>
              <w:left w:val="nil"/>
              <w:bottom w:val="single" w:sz="4" w:space="0" w:color="auto"/>
              <w:right w:val="single" w:sz="4" w:space="0" w:color="auto"/>
            </w:tcBorders>
            <w:vAlign w:val="center"/>
            <w:hideMark/>
          </w:tcPr>
          <w:p w14:paraId="4B1E7758"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1</w:t>
            </w:r>
          </w:p>
        </w:tc>
        <w:tc>
          <w:tcPr>
            <w:tcW w:w="1004" w:type="dxa"/>
            <w:tcBorders>
              <w:top w:val="nil"/>
              <w:left w:val="nil"/>
              <w:bottom w:val="single" w:sz="4" w:space="0" w:color="auto"/>
              <w:right w:val="single" w:sz="4" w:space="0" w:color="auto"/>
            </w:tcBorders>
            <w:vAlign w:val="center"/>
            <w:hideMark/>
          </w:tcPr>
          <w:p w14:paraId="6AD554FD"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839" w:type="dxa"/>
            <w:tcBorders>
              <w:top w:val="nil"/>
              <w:left w:val="nil"/>
              <w:bottom w:val="single" w:sz="4" w:space="0" w:color="auto"/>
              <w:right w:val="single" w:sz="4" w:space="0" w:color="auto"/>
            </w:tcBorders>
            <w:vAlign w:val="center"/>
            <w:hideMark/>
          </w:tcPr>
          <w:p w14:paraId="152A6EF1"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954" w:type="dxa"/>
            <w:tcBorders>
              <w:top w:val="nil"/>
              <w:left w:val="nil"/>
              <w:bottom w:val="single" w:sz="4" w:space="0" w:color="auto"/>
              <w:right w:val="single" w:sz="4" w:space="0" w:color="auto"/>
            </w:tcBorders>
            <w:vAlign w:val="center"/>
            <w:hideMark/>
          </w:tcPr>
          <w:p w14:paraId="17EEBEF0"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1134" w:type="dxa"/>
            <w:tcBorders>
              <w:top w:val="nil"/>
              <w:left w:val="nil"/>
              <w:bottom w:val="single" w:sz="4" w:space="0" w:color="auto"/>
              <w:right w:val="single" w:sz="4" w:space="0" w:color="auto"/>
            </w:tcBorders>
            <w:vAlign w:val="center"/>
            <w:hideMark/>
          </w:tcPr>
          <w:p w14:paraId="3D1FB72F"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993" w:type="dxa"/>
            <w:tcBorders>
              <w:top w:val="nil"/>
              <w:left w:val="nil"/>
              <w:bottom w:val="single" w:sz="4" w:space="0" w:color="auto"/>
              <w:right w:val="single" w:sz="4" w:space="0" w:color="auto"/>
            </w:tcBorders>
            <w:vAlign w:val="center"/>
            <w:hideMark/>
          </w:tcPr>
          <w:p w14:paraId="04C3502F"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r>
      <w:tr w:rsidR="0023213C" w:rsidRPr="0023213C" w14:paraId="3A2E822C" w14:textId="77777777" w:rsidTr="0023213C">
        <w:trPr>
          <w:trHeight w:val="330"/>
          <w:jc w:val="center"/>
        </w:trPr>
        <w:tc>
          <w:tcPr>
            <w:tcW w:w="918" w:type="dxa"/>
            <w:tcBorders>
              <w:top w:val="nil"/>
              <w:left w:val="single" w:sz="4" w:space="0" w:color="auto"/>
              <w:bottom w:val="single" w:sz="4" w:space="0" w:color="auto"/>
              <w:right w:val="single" w:sz="4" w:space="0" w:color="auto"/>
            </w:tcBorders>
            <w:vAlign w:val="center"/>
            <w:hideMark/>
          </w:tcPr>
          <w:p w14:paraId="7CDDC08F"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2020</w:t>
            </w:r>
          </w:p>
        </w:tc>
        <w:tc>
          <w:tcPr>
            <w:tcW w:w="934" w:type="dxa"/>
            <w:tcBorders>
              <w:top w:val="nil"/>
              <w:left w:val="nil"/>
              <w:bottom w:val="single" w:sz="4" w:space="0" w:color="auto"/>
              <w:right w:val="single" w:sz="4" w:space="0" w:color="auto"/>
            </w:tcBorders>
            <w:vAlign w:val="center"/>
            <w:hideMark/>
          </w:tcPr>
          <w:p w14:paraId="62312096" w14:textId="77777777" w:rsidR="0023213C" w:rsidRPr="0023213C" w:rsidRDefault="0023213C" w:rsidP="0023213C">
            <w:pPr>
              <w:spacing w:after="0"/>
              <w:rPr>
                <w:rFonts w:ascii="Times New Roman" w:eastAsia="Calibri" w:hAnsi="Times New Roman" w:cs="Times New Roman"/>
                <w:b/>
                <w:bCs/>
                <w:color w:val="000000"/>
                <w:sz w:val="24"/>
                <w:szCs w:val="24"/>
              </w:rPr>
            </w:pPr>
            <w:r w:rsidRPr="0023213C">
              <w:rPr>
                <w:rFonts w:ascii="Times New Roman" w:eastAsia="Calibri" w:hAnsi="Times New Roman" w:cs="Times New Roman"/>
                <w:b/>
                <w:bCs/>
                <w:color w:val="000000"/>
                <w:sz w:val="24"/>
                <w:szCs w:val="24"/>
              </w:rPr>
              <w:t>6</w:t>
            </w:r>
          </w:p>
        </w:tc>
        <w:tc>
          <w:tcPr>
            <w:tcW w:w="993" w:type="dxa"/>
            <w:tcBorders>
              <w:top w:val="nil"/>
              <w:left w:val="nil"/>
              <w:bottom w:val="single" w:sz="4" w:space="0" w:color="auto"/>
              <w:right w:val="single" w:sz="4" w:space="0" w:color="auto"/>
            </w:tcBorders>
            <w:vAlign w:val="center"/>
            <w:hideMark/>
          </w:tcPr>
          <w:p w14:paraId="11BC1767"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w:t>
            </w:r>
          </w:p>
        </w:tc>
        <w:tc>
          <w:tcPr>
            <w:tcW w:w="992" w:type="dxa"/>
            <w:tcBorders>
              <w:top w:val="nil"/>
              <w:left w:val="nil"/>
              <w:bottom w:val="single" w:sz="4" w:space="0" w:color="auto"/>
              <w:right w:val="single" w:sz="4" w:space="0" w:color="auto"/>
            </w:tcBorders>
            <w:vAlign w:val="center"/>
            <w:hideMark/>
          </w:tcPr>
          <w:p w14:paraId="77DA7606"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3</w:t>
            </w:r>
          </w:p>
        </w:tc>
        <w:tc>
          <w:tcPr>
            <w:tcW w:w="946" w:type="dxa"/>
            <w:tcBorders>
              <w:top w:val="nil"/>
              <w:left w:val="nil"/>
              <w:bottom w:val="single" w:sz="4" w:space="0" w:color="auto"/>
              <w:right w:val="single" w:sz="4" w:space="0" w:color="auto"/>
            </w:tcBorders>
            <w:vAlign w:val="center"/>
            <w:hideMark/>
          </w:tcPr>
          <w:p w14:paraId="12EEB972"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3</w:t>
            </w:r>
          </w:p>
        </w:tc>
        <w:tc>
          <w:tcPr>
            <w:tcW w:w="1004" w:type="dxa"/>
            <w:tcBorders>
              <w:top w:val="nil"/>
              <w:left w:val="nil"/>
              <w:bottom w:val="single" w:sz="4" w:space="0" w:color="auto"/>
              <w:right w:val="single" w:sz="4" w:space="0" w:color="auto"/>
            </w:tcBorders>
            <w:vAlign w:val="center"/>
            <w:hideMark/>
          </w:tcPr>
          <w:p w14:paraId="6B4D083A"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839" w:type="dxa"/>
            <w:tcBorders>
              <w:top w:val="nil"/>
              <w:left w:val="nil"/>
              <w:bottom w:val="single" w:sz="4" w:space="0" w:color="auto"/>
              <w:right w:val="single" w:sz="4" w:space="0" w:color="auto"/>
            </w:tcBorders>
            <w:vAlign w:val="center"/>
            <w:hideMark/>
          </w:tcPr>
          <w:p w14:paraId="054193A8"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954" w:type="dxa"/>
            <w:tcBorders>
              <w:top w:val="nil"/>
              <w:left w:val="nil"/>
              <w:bottom w:val="single" w:sz="4" w:space="0" w:color="auto"/>
              <w:right w:val="single" w:sz="4" w:space="0" w:color="auto"/>
            </w:tcBorders>
            <w:vAlign w:val="center"/>
            <w:hideMark/>
          </w:tcPr>
          <w:p w14:paraId="3FCA4DCD"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1134" w:type="dxa"/>
            <w:tcBorders>
              <w:top w:val="nil"/>
              <w:left w:val="nil"/>
              <w:bottom w:val="single" w:sz="4" w:space="0" w:color="auto"/>
              <w:right w:val="single" w:sz="4" w:space="0" w:color="auto"/>
            </w:tcBorders>
            <w:vAlign w:val="center"/>
            <w:hideMark/>
          </w:tcPr>
          <w:p w14:paraId="4F178D09"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993" w:type="dxa"/>
            <w:tcBorders>
              <w:top w:val="nil"/>
              <w:left w:val="nil"/>
              <w:bottom w:val="single" w:sz="4" w:space="0" w:color="auto"/>
              <w:right w:val="single" w:sz="4" w:space="0" w:color="auto"/>
            </w:tcBorders>
            <w:vAlign w:val="center"/>
            <w:hideMark/>
          </w:tcPr>
          <w:p w14:paraId="558A6AC2"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r>
    </w:tbl>
    <w:p w14:paraId="2544A8D4" w14:textId="16445FF4"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През отчетния период на 2022 год. в Окръжна прокуратура Монтана са наблюдаващи общо 4 бр. ДП, свързани с изпиране на пари за престъпления по чл. 253 ал.1,2 и ал.3 от НК.В сравнение през 202</w:t>
      </w:r>
      <w:r w:rsidRPr="0023213C">
        <w:rPr>
          <w:rFonts w:ascii="Times New Roman" w:eastAsia="Calibri" w:hAnsi="Times New Roman" w:cs="Times New Roman"/>
          <w:sz w:val="28"/>
          <w:szCs w:val="28"/>
          <w:lang w:val="en-US"/>
        </w:rPr>
        <w:t>1</w:t>
      </w:r>
      <w:r w:rsidRPr="0023213C">
        <w:rPr>
          <w:rFonts w:ascii="Times New Roman" w:eastAsia="Calibri" w:hAnsi="Times New Roman" w:cs="Times New Roman"/>
          <w:sz w:val="28"/>
          <w:szCs w:val="28"/>
        </w:rPr>
        <w:t xml:space="preserve"> год.  са наблюдавани общо </w:t>
      </w:r>
      <w:r w:rsidRPr="0023213C">
        <w:rPr>
          <w:rFonts w:ascii="Times New Roman" w:eastAsia="Calibri" w:hAnsi="Times New Roman" w:cs="Times New Roman"/>
          <w:sz w:val="28"/>
          <w:szCs w:val="28"/>
          <w:lang w:val="en-US"/>
        </w:rPr>
        <w:t>3</w:t>
      </w:r>
      <w:r w:rsidRPr="0023213C">
        <w:rPr>
          <w:rFonts w:ascii="Times New Roman" w:eastAsia="Calibri" w:hAnsi="Times New Roman" w:cs="Times New Roman"/>
          <w:sz w:val="28"/>
          <w:szCs w:val="28"/>
        </w:rPr>
        <w:t>, а през 2020год. са наблюдавани 6 ДП/ .</w:t>
      </w:r>
    </w:p>
    <w:p w14:paraId="560D947F"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През периода няма приключени разследвания/ в сравнение с 2021 год., когато е приключило разследването по 1 бр.ДП/, свързано с изпиране на пари .</w:t>
      </w:r>
    </w:p>
    <w:p w14:paraId="6206B0EA"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bookmarkStart w:id="68" w:name="_Toc127285400"/>
      <w:bookmarkStart w:id="69" w:name="_Toc127370281"/>
      <w:r w:rsidRPr="0023213C">
        <w:rPr>
          <w:rFonts w:ascii="Times New Roman" w:eastAsia="Calibri" w:hAnsi="Times New Roman" w:cs="Times New Roman"/>
          <w:color w:val="000000"/>
          <w:sz w:val="28"/>
          <w:u w:val="single"/>
          <w:lang w:eastAsia="bg-BG"/>
        </w:rPr>
        <w:t>4.1. Срочност на разследването:</w:t>
      </w:r>
      <w:bookmarkEnd w:id="68"/>
      <w:bookmarkEnd w:id="69"/>
    </w:p>
    <w:p w14:paraId="35BDE69D" w14:textId="77777777" w:rsidR="0023213C" w:rsidRPr="0023213C" w:rsidRDefault="0023213C" w:rsidP="00FC76F9">
      <w:pPr>
        <w:spacing w:after="0" w:line="240" w:lineRule="auto"/>
        <w:ind w:firstLine="708"/>
        <w:jc w:val="both"/>
        <w:rPr>
          <w:rFonts w:ascii="Times New Roman" w:eastAsia="Calibri" w:hAnsi="Times New Roman" w:cs="Times New Roman"/>
          <w:color w:val="000000"/>
          <w:sz w:val="28"/>
          <w:szCs w:val="28"/>
        </w:rPr>
      </w:pPr>
      <w:r w:rsidRPr="0023213C">
        <w:rPr>
          <w:rFonts w:ascii="Times New Roman" w:eastAsia="Calibri" w:hAnsi="Times New Roman" w:cs="Times New Roman"/>
          <w:color w:val="000000"/>
          <w:sz w:val="28"/>
          <w:szCs w:val="28"/>
        </w:rPr>
        <w:t xml:space="preserve">Разследването не е приключило по 4 бр. ДП, същото се провежда в законовите срокове. </w:t>
      </w:r>
    </w:p>
    <w:p w14:paraId="5144D433"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bookmarkStart w:id="70" w:name="_Toc127285401"/>
      <w:bookmarkStart w:id="71" w:name="_Toc127370282"/>
      <w:r w:rsidRPr="0023213C">
        <w:rPr>
          <w:rFonts w:ascii="Times New Roman" w:eastAsia="Calibri" w:hAnsi="Times New Roman" w:cs="Times New Roman"/>
          <w:color w:val="000000"/>
          <w:sz w:val="28"/>
          <w:u w:val="single"/>
          <w:lang w:eastAsia="bg-BG"/>
        </w:rPr>
        <w:lastRenderedPageBreak/>
        <w:t>4.2. Резултатност:</w:t>
      </w:r>
      <w:bookmarkEnd w:id="70"/>
      <w:bookmarkEnd w:id="71"/>
    </w:p>
    <w:p w14:paraId="588D8716" w14:textId="77777777" w:rsidR="0023213C" w:rsidRPr="0023213C" w:rsidRDefault="0023213C" w:rsidP="00FC76F9">
      <w:pPr>
        <w:spacing w:after="0" w:line="240" w:lineRule="auto"/>
        <w:ind w:firstLine="708"/>
        <w:jc w:val="both"/>
        <w:rPr>
          <w:rFonts w:ascii="Times New Roman" w:eastAsia="Calibri" w:hAnsi="Times New Roman" w:cs="Times New Roman"/>
          <w:color w:val="000000"/>
          <w:sz w:val="28"/>
          <w:szCs w:val="28"/>
        </w:rPr>
      </w:pPr>
      <w:r w:rsidRPr="0023213C">
        <w:rPr>
          <w:rFonts w:ascii="Times New Roman" w:eastAsia="Calibri" w:hAnsi="Times New Roman" w:cs="Times New Roman"/>
          <w:color w:val="000000"/>
          <w:sz w:val="28"/>
          <w:szCs w:val="28"/>
        </w:rPr>
        <w:t xml:space="preserve">През отчетната 2022 год. няма решено досъдебно производство, свързано с  този вид престъпления, като  в сравнение с 2021 год.  е решено 1 бр. ДП/ прекратено/,  а 2020 год. са решени общо 2 бр. ДП. Няма  и осъдени и санкционирани лица по дела за пране на пари. </w:t>
      </w:r>
    </w:p>
    <w:p w14:paraId="488439AC"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Следва да бъде подчертан фактът, че разследването по делата за „изпиране на пари” се отличава с изключителна сложност и обемност на събирания доказателствен материал, необходим за доказване на престъпно деяние, което изисква продължителен период от време,изискване на множество информация, която следва да се анализира  и множество експертизи.</w:t>
      </w:r>
    </w:p>
    <w:p w14:paraId="38939ECE" w14:textId="77777777" w:rsidR="0023213C" w:rsidRPr="0023213C" w:rsidRDefault="0023213C" w:rsidP="0023213C">
      <w:pPr>
        <w:spacing w:after="0" w:line="240" w:lineRule="auto"/>
        <w:jc w:val="both"/>
        <w:rPr>
          <w:rFonts w:ascii="Times New Roman" w:eastAsia="Calibri" w:hAnsi="Times New Roman" w:cs="Times New Roman"/>
          <w:i/>
          <w:sz w:val="28"/>
          <w:szCs w:val="28"/>
        </w:rPr>
      </w:pPr>
    </w:p>
    <w:p w14:paraId="12401EAE"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color w:val="000000"/>
          <w:sz w:val="28"/>
          <w:u w:val="single"/>
          <w:lang w:eastAsia="bg-BG"/>
        </w:rPr>
      </w:pPr>
      <w:bookmarkStart w:id="72" w:name="_Toc127370283"/>
      <w:r w:rsidRPr="0023213C">
        <w:rPr>
          <w:rFonts w:ascii="Times New Roman" w:eastAsia="Calibri" w:hAnsi="Times New Roman" w:cs="Arial"/>
          <w:b/>
          <w:color w:val="000000"/>
          <w:sz w:val="28"/>
          <w:u w:val="single"/>
          <w:lang w:eastAsia="bg-BG"/>
        </w:rPr>
        <w:t>5. Дела с предмет – имущество и/или средства от фондове, принадлежащи на Европейския съюз или предоставени от ЕС на Българската държава.</w:t>
      </w:r>
      <w:bookmarkEnd w:id="72"/>
    </w:p>
    <w:p w14:paraId="40E5A485" w14:textId="77777777" w:rsidR="0023213C" w:rsidRPr="0023213C" w:rsidRDefault="0023213C" w:rsidP="0023213C">
      <w:pPr>
        <w:spacing w:after="0" w:line="240" w:lineRule="auto"/>
        <w:jc w:val="both"/>
        <w:rPr>
          <w:rFonts w:ascii="Times New Roman" w:eastAsia="Calibri" w:hAnsi="Times New Roman" w:cs="Times New Roman"/>
          <w:b/>
          <w:sz w:val="28"/>
          <w:szCs w:val="28"/>
        </w:rPr>
      </w:pPr>
    </w:p>
    <w:tbl>
      <w:tblPr>
        <w:tblW w:w="9855" w:type="dxa"/>
        <w:tblLayout w:type="fixed"/>
        <w:tblCellMar>
          <w:left w:w="70" w:type="dxa"/>
          <w:right w:w="70" w:type="dxa"/>
        </w:tblCellMar>
        <w:tblLook w:val="00A0" w:firstRow="1" w:lastRow="0" w:firstColumn="1" w:lastColumn="0" w:noHBand="0" w:noVBand="0"/>
      </w:tblPr>
      <w:tblGrid>
        <w:gridCol w:w="710"/>
        <w:gridCol w:w="1065"/>
        <w:gridCol w:w="1275"/>
        <w:gridCol w:w="993"/>
        <w:gridCol w:w="994"/>
        <w:gridCol w:w="992"/>
        <w:gridCol w:w="851"/>
        <w:gridCol w:w="1134"/>
        <w:gridCol w:w="993"/>
        <w:gridCol w:w="848"/>
      </w:tblGrid>
      <w:tr w:rsidR="0023213C" w:rsidRPr="0023213C" w14:paraId="29B37536" w14:textId="77777777" w:rsidTr="0023213C">
        <w:trPr>
          <w:trHeight w:val="1961"/>
        </w:trPr>
        <w:tc>
          <w:tcPr>
            <w:tcW w:w="709" w:type="dxa"/>
            <w:tcBorders>
              <w:top w:val="single" w:sz="4" w:space="0" w:color="auto"/>
              <w:left w:val="single" w:sz="4" w:space="0" w:color="auto"/>
              <w:bottom w:val="single" w:sz="4" w:space="0" w:color="auto"/>
              <w:right w:val="single" w:sz="4" w:space="0" w:color="auto"/>
            </w:tcBorders>
            <w:hideMark/>
          </w:tcPr>
          <w:p w14:paraId="44E55BB5"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Година</w:t>
            </w:r>
          </w:p>
        </w:tc>
        <w:tc>
          <w:tcPr>
            <w:tcW w:w="1064" w:type="dxa"/>
            <w:tcBorders>
              <w:top w:val="single" w:sz="4" w:space="0" w:color="auto"/>
              <w:left w:val="nil"/>
              <w:bottom w:val="single" w:sz="4" w:space="0" w:color="auto"/>
              <w:right w:val="single" w:sz="4" w:space="0" w:color="auto"/>
            </w:tcBorders>
            <w:hideMark/>
          </w:tcPr>
          <w:p w14:paraId="2DFBFCFB" w14:textId="77777777" w:rsidR="0023213C" w:rsidRPr="0023213C" w:rsidRDefault="0023213C" w:rsidP="0023213C">
            <w:pPr>
              <w:spacing w:after="0"/>
              <w:jc w:val="both"/>
              <w:rPr>
                <w:rFonts w:ascii="Times New Roman" w:eastAsia="Calibri" w:hAnsi="Times New Roman" w:cs="Times New Roman"/>
                <w:b/>
                <w:bCs/>
                <w:color w:val="000000"/>
                <w:sz w:val="24"/>
                <w:szCs w:val="24"/>
              </w:rPr>
            </w:pPr>
            <w:r w:rsidRPr="0023213C">
              <w:rPr>
                <w:rFonts w:ascii="Times New Roman" w:eastAsia="Calibri" w:hAnsi="Times New Roman" w:cs="Times New Roman"/>
                <w:b/>
                <w:bCs/>
                <w:color w:val="000000"/>
                <w:sz w:val="24"/>
                <w:szCs w:val="24"/>
              </w:rPr>
              <w:t>Наблю</w:t>
            </w:r>
          </w:p>
          <w:p w14:paraId="3724F4F0" w14:textId="77777777" w:rsidR="0023213C" w:rsidRPr="0023213C" w:rsidRDefault="0023213C" w:rsidP="0023213C">
            <w:pPr>
              <w:spacing w:after="0"/>
              <w:jc w:val="both"/>
              <w:rPr>
                <w:rFonts w:ascii="Times New Roman" w:eastAsia="Calibri" w:hAnsi="Times New Roman" w:cs="Times New Roman"/>
                <w:b/>
                <w:bCs/>
                <w:color w:val="000000"/>
                <w:sz w:val="24"/>
                <w:szCs w:val="24"/>
              </w:rPr>
            </w:pPr>
            <w:r w:rsidRPr="0023213C">
              <w:rPr>
                <w:rFonts w:ascii="Times New Roman" w:eastAsia="Calibri" w:hAnsi="Times New Roman" w:cs="Times New Roman"/>
                <w:b/>
                <w:bCs/>
                <w:color w:val="000000"/>
                <w:sz w:val="24"/>
                <w:szCs w:val="24"/>
              </w:rPr>
              <w:t>давани ДП</w:t>
            </w:r>
          </w:p>
        </w:tc>
        <w:tc>
          <w:tcPr>
            <w:tcW w:w="1275" w:type="dxa"/>
            <w:tcBorders>
              <w:top w:val="single" w:sz="4" w:space="0" w:color="auto"/>
              <w:left w:val="nil"/>
              <w:bottom w:val="single" w:sz="4" w:space="0" w:color="auto"/>
              <w:right w:val="single" w:sz="4" w:space="0" w:color="auto"/>
            </w:tcBorders>
            <w:hideMark/>
          </w:tcPr>
          <w:p w14:paraId="1FD5672B"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Новообра</w:t>
            </w:r>
          </w:p>
          <w:p w14:paraId="58E39724"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зувани ДП</w:t>
            </w:r>
          </w:p>
        </w:tc>
        <w:tc>
          <w:tcPr>
            <w:tcW w:w="993" w:type="dxa"/>
            <w:tcBorders>
              <w:top w:val="single" w:sz="4" w:space="0" w:color="auto"/>
              <w:left w:val="nil"/>
              <w:bottom w:val="single" w:sz="4" w:space="0" w:color="auto"/>
              <w:right w:val="single" w:sz="4" w:space="0" w:color="auto"/>
            </w:tcBorders>
            <w:hideMark/>
          </w:tcPr>
          <w:p w14:paraId="2E2A1499"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 xml:space="preserve">Приключени </w:t>
            </w:r>
          </w:p>
        </w:tc>
        <w:tc>
          <w:tcPr>
            <w:tcW w:w="994" w:type="dxa"/>
            <w:tcBorders>
              <w:top w:val="single" w:sz="4" w:space="0" w:color="auto"/>
              <w:left w:val="nil"/>
              <w:bottom w:val="single" w:sz="4" w:space="0" w:color="auto"/>
              <w:right w:val="single" w:sz="4" w:space="0" w:color="auto"/>
            </w:tcBorders>
            <w:hideMark/>
          </w:tcPr>
          <w:p w14:paraId="1F65073A"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Решени ДП</w:t>
            </w:r>
          </w:p>
        </w:tc>
        <w:tc>
          <w:tcPr>
            <w:tcW w:w="992" w:type="dxa"/>
            <w:tcBorders>
              <w:top w:val="single" w:sz="4" w:space="0" w:color="auto"/>
              <w:left w:val="nil"/>
              <w:bottom w:val="single" w:sz="4" w:space="0" w:color="auto"/>
              <w:right w:val="single" w:sz="4" w:space="0" w:color="auto"/>
            </w:tcBorders>
            <w:hideMark/>
          </w:tcPr>
          <w:p w14:paraId="01D30727"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Проку</w:t>
            </w:r>
          </w:p>
          <w:p w14:paraId="17C616CC"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рорски актове, внесени в съда</w:t>
            </w:r>
          </w:p>
        </w:tc>
        <w:tc>
          <w:tcPr>
            <w:tcW w:w="851" w:type="dxa"/>
            <w:tcBorders>
              <w:top w:val="single" w:sz="4" w:space="0" w:color="auto"/>
              <w:left w:val="nil"/>
              <w:bottom w:val="single" w:sz="4" w:space="0" w:color="auto"/>
              <w:right w:val="single" w:sz="4" w:space="0" w:color="auto"/>
            </w:tcBorders>
            <w:hideMark/>
          </w:tcPr>
          <w:p w14:paraId="2565495C"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Преда</w:t>
            </w:r>
          </w:p>
          <w:p w14:paraId="39BC1036"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дени на съд лица</w:t>
            </w:r>
          </w:p>
        </w:tc>
        <w:tc>
          <w:tcPr>
            <w:tcW w:w="1134" w:type="dxa"/>
            <w:tcBorders>
              <w:top w:val="single" w:sz="4" w:space="0" w:color="auto"/>
              <w:left w:val="nil"/>
              <w:bottom w:val="single" w:sz="4" w:space="0" w:color="auto"/>
              <w:right w:val="single" w:sz="4" w:space="0" w:color="auto"/>
            </w:tcBorders>
            <w:hideMark/>
          </w:tcPr>
          <w:p w14:paraId="7EC6AD86"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Върнати от съда ДП</w:t>
            </w:r>
          </w:p>
        </w:tc>
        <w:tc>
          <w:tcPr>
            <w:tcW w:w="993" w:type="dxa"/>
            <w:tcBorders>
              <w:top w:val="single" w:sz="4" w:space="0" w:color="auto"/>
              <w:left w:val="nil"/>
              <w:bottom w:val="single" w:sz="4" w:space="0" w:color="auto"/>
              <w:right w:val="single" w:sz="4" w:space="0" w:color="auto"/>
            </w:tcBorders>
            <w:hideMark/>
          </w:tcPr>
          <w:p w14:paraId="26FBD994"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Осъде</w:t>
            </w:r>
          </w:p>
          <w:p w14:paraId="26D6CBD3"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 xml:space="preserve">ни лица с влязъл в сила съдебен акт </w:t>
            </w:r>
          </w:p>
        </w:tc>
        <w:tc>
          <w:tcPr>
            <w:tcW w:w="848" w:type="dxa"/>
            <w:tcBorders>
              <w:top w:val="single" w:sz="4" w:space="0" w:color="auto"/>
              <w:left w:val="nil"/>
              <w:bottom w:val="single" w:sz="4" w:space="0" w:color="auto"/>
              <w:right w:val="single" w:sz="4" w:space="0" w:color="auto"/>
            </w:tcBorders>
            <w:hideMark/>
          </w:tcPr>
          <w:p w14:paraId="195614F4"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Оправ</w:t>
            </w:r>
          </w:p>
          <w:p w14:paraId="166E8A11"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дани лица с влязъл в сила съд. акт</w:t>
            </w:r>
          </w:p>
        </w:tc>
      </w:tr>
      <w:tr w:rsidR="0023213C" w:rsidRPr="0023213C" w14:paraId="3E900D4B" w14:textId="77777777" w:rsidTr="0023213C">
        <w:trPr>
          <w:trHeight w:val="330"/>
        </w:trPr>
        <w:tc>
          <w:tcPr>
            <w:tcW w:w="709"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14:paraId="64A45395"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2022</w:t>
            </w:r>
          </w:p>
        </w:tc>
        <w:tc>
          <w:tcPr>
            <w:tcW w:w="1064" w:type="dxa"/>
            <w:tcBorders>
              <w:top w:val="nil"/>
              <w:left w:val="nil"/>
              <w:bottom w:val="single" w:sz="4" w:space="0" w:color="auto"/>
              <w:right w:val="single" w:sz="4" w:space="0" w:color="auto"/>
            </w:tcBorders>
            <w:shd w:val="clear" w:color="auto" w:fill="C2D69B" w:themeFill="accent3" w:themeFillTint="99"/>
            <w:vAlign w:val="center"/>
            <w:hideMark/>
          </w:tcPr>
          <w:p w14:paraId="0F277976" w14:textId="77777777" w:rsidR="0023213C" w:rsidRPr="0023213C" w:rsidRDefault="0023213C" w:rsidP="0023213C">
            <w:pPr>
              <w:spacing w:after="0"/>
              <w:jc w:val="both"/>
              <w:rPr>
                <w:rFonts w:ascii="Times New Roman" w:eastAsia="Calibri" w:hAnsi="Times New Roman" w:cs="Times New Roman"/>
                <w:b/>
                <w:bCs/>
                <w:color w:val="000000"/>
                <w:sz w:val="24"/>
                <w:szCs w:val="24"/>
              </w:rPr>
            </w:pPr>
            <w:r w:rsidRPr="0023213C">
              <w:rPr>
                <w:rFonts w:ascii="Times New Roman" w:eastAsia="Calibri" w:hAnsi="Times New Roman" w:cs="Times New Roman"/>
                <w:b/>
                <w:bCs/>
                <w:color w:val="000000"/>
                <w:sz w:val="24"/>
                <w:szCs w:val="24"/>
              </w:rPr>
              <w:t>12</w:t>
            </w:r>
          </w:p>
        </w:tc>
        <w:tc>
          <w:tcPr>
            <w:tcW w:w="1275" w:type="dxa"/>
            <w:tcBorders>
              <w:top w:val="nil"/>
              <w:left w:val="nil"/>
              <w:bottom w:val="single" w:sz="4" w:space="0" w:color="auto"/>
              <w:right w:val="single" w:sz="4" w:space="0" w:color="auto"/>
            </w:tcBorders>
            <w:shd w:val="clear" w:color="auto" w:fill="C2D69B" w:themeFill="accent3" w:themeFillTint="99"/>
            <w:vAlign w:val="center"/>
            <w:hideMark/>
          </w:tcPr>
          <w:p w14:paraId="786B60C8"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3</w:t>
            </w:r>
          </w:p>
        </w:tc>
        <w:tc>
          <w:tcPr>
            <w:tcW w:w="993" w:type="dxa"/>
            <w:tcBorders>
              <w:top w:val="nil"/>
              <w:left w:val="nil"/>
              <w:bottom w:val="single" w:sz="4" w:space="0" w:color="auto"/>
              <w:right w:val="single" w:sz="4" w:space="0" w:color="auto"/>
            </w:tcBorders>
            <w:shd w:val="clear" w:color="auto" w:fill="C2D69B" w:themeFill="accent3" w:themeFillTint="99"/>
            <w:vAlign w:val="center"/>
            <w:hideMark/>
          </w:tcPr>
          <w:p w14:paraId="4A6CCC58"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4</w:t>
            </w:r>
          </w:p>
        </w:tc>
        <w:tc>
          <w:tcPr>
            <w:tcW w:w="994" w:type="dxa"/>
            <w:tcBorders>
              <w:top w:val="nil"/>
              <w:left w:val="nil"/>
              <w:bottom w:val="single" w:sz="4" w:space="0" w:color="auto"/>
              <w:right w:val="single" w:sz="4" w:space="0" w:color="auto"/>
            </w:tcBorders>
            <w:shd w:val="clear" w:color="auto" w:fill="C2D69B" w:themeFill="accent3" w:themeFillTint="99"/>
            <w:vAlign w:val="center"/>
            <w:hideMark/>
          </w:tcPr>
          <w:p w14:paraId="4AE83731"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5</w:t>
            </w:r>
          </w:p>
        </w:tc>
        <w:tc>
          <w:tcPr>
            <w:tcW w:w="992" w:type="dxa"/>
            <w:tcBorders>
              <w:top w:val="nil"/>
              <w:left w:val="nil"/>
              <w:bottom w:val="single" w:sz="4" w:space="0" w:color="auto"/>
              <w:right w:val="single" w:sz="4" w:space="0" w:color="auto"/>
            </w:tcBorders>
            <w:shd w:val="clear" w:color="auto" w:fill="C2D69B" w:themeFill="accent3" w:themeFillTint="99"/>
            <w:vAlign w:val="center"/>
            <w:hideMark/>
          </w:tcPr>
          <w:p w14:paraId="499A29DE"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w:t>
            </w:r>
          </w:p>
        </w:tc>
        <w:tc>
          <w:tcPr>
            <w:tcW w:w="851" w:type="dxa"/>
            <w:tcBorders>
              <w:top w:val="nil"/>
              <w:left w:val="nil"/>
              <w:bottom w:val="single" w:sz="4" w:space="0" w:color="auto"/>
              <w:right w:val="single" w:sz="4" w:space="0" w:color="auto"/>
            </w:tcBorders>
            <w:shd w:val="clear" w:color="auto" w:fill="C2D69B" w:themeFill="accent3" w:themeFillTint="99"/>
            <w:vAlign w:val="center"/>
            <w:hideMark/>
          </w:tcPr>
          <w:p w14:paraId="3A450609"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3</w:t>
            </w:r>
          </w:p>
        </w:tc>
        <w:tc>
          <w:tcPr>
            <w:tcW w:w="1134" w:type="dxa"/>
            <w:tcBorders>
              <w:top w:val="nil"/>
              <w:left w:val="nil"/>
              <w:bottom w:val="single" w:sz="4" w:space="0" w:color="auto"/>
              <w:right w:val="single" w:sz="4" w:space="0" w:color="auto"/>
            </w:tcBorders>
            <w:shd w:val="clear" w:color="auto" w:fill="C2D69B" w:themeFill="accent3" w:themeFillTint="99"/>
            <w:vAlign w:val="center"/>
            <w:hideMark/>
          </w:tcPr>
          <w:p w14:paraId="05055FB0"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993" w:type="dxa"/>
            <w:tcBorders>
              <w:top w:val="nil"/>
              <w:left w:val="nil"/>
              <w:bottom w:val="single" w:sz="4" w:space="0" w:color="auto"/>
              <w:right w:val="single" w:sz="4" w:space="0" w:color="auto"/>
            </w:tcBorders>
            <w:shd w:val="clear" w:color="auto" w:fill="C2D69B" w:themeFill="accent3" w:themeFillTint="99"/>
            <w:vAlign w:val="center"/>
            <w:hideMark/>
          </w:tcPr>
          <w:p w14:paraId="3A34A34D"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848" w:type="dxa"/>
            <w:tcBorders>
              <w:top w:val="nil"/>
              <w:left w:val="nil"/>
              <w:bottom w:val="single" w:sz="4" w:space="0" w:color="auto"/>
              <w:right w:val="single" w:sz="4" w:space="0" w:color="auto"/>
            </w:tcBorders>
            <w:shd w:val="clear" w:color="auto" w:fill="C2D69B" w:themeFill="accent3" w:themeFillTint="99"/>
            <w:vAlign w:val="center"/>
            <w:hideMark/>
          </w:tcPr>
          <w:p w14:paraId="10699BF0"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r>
      <w:tr w:rsidR="0023213C" w:rsidRPr="0023213C" w14:paraId="1FCE776B" w14:textId="77777777" w:rsidTr="0023213C">
        <w:trPr>
          <w:trHeight w:val="330"/>
        </w:trPr>
        <w:tc>
          <w:tcPr>
            <w:tcW w:w="709" w:type="dxa"/>
            <w:tcBorders>
              <w:top w:val="nil"/>
              <w:left w:val="single" w:sz="4" w:space="0" w:color="auto"/>
              <w:bottom w:val="single" w:sz="4" w:space="0" w:color="auto"/>
              <w:right w:val="single" w:sz="4" w:space="0" w:color="auto"/>
            </w:tcBorders>
            <w:vAlign w:val="center"/>
            <w:hideMark/>
          </w:tcPr>
          <w:p w14:paraId="375ADE8C"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2021</w:t>
            </w:r>
          </w:p>
        </w:tc>
        <w:tc>
          <w:tcPr>
            <w:tcW w:w="1064" w:type="dxa"/>
            <w:tcBorders>
              <w:top w:val="nil"/>
              <w:left w:val="nil"/>
              <w:bottom w:val="single" w:sz="4" w:space="0" w:color="auto"/>
              <w:right w:val="single" w:sz="4" w:space="0" w:color="auto"/>
            </w:tcBorders>
            <w:vAlign w:val="center"/>
            <w:hideMark/>
          </w:tcPr>
          <w:p w14:paraId="341874B5" w14:textId="77777777" w:rsidR="0023213C" w:rsidRPr="0023213C" w:rsidRDefault="0023213C" w:rsidP="0023213C">
            <w:pPr>
              <w:spacing w:after="0"/>
              <w:jc w:val="both"/>
              <w:rPr>
                <w:rFonts w:ascii="Times New Roman" w:eastAsia="Calibri" w:hAnsi="Times New Roman" w:cs="Times New Roman"/>
                <w:b/>
                <w:bCs/>
                <w:color w:val="000000"/>
                <w:sz w:val="24"/>
                <w:szCs w:val="24"/>
              </w:rPr>
            </w:pPr>
            <w:r w:rsidRPr="0023213C">
              <w:rPr>
                <w:rFonts w:ascii="Times New Roman" w:eastAsia="Calibri" w:hAnsi="Times New Roman" w:cs="Times New Roman"/>
                <w:b/>
                <w:bCs/>
                <w:color w:val="000000"/>
                <w:sz w:val="24"/>
                <w:szCs w:val="24"/>
              </w:rPr>
              <w:t>11</w:t>
            </w:r>
          </w:p>
        </w:tc>
        <w:tc>
          <w:tcPr>
            <w:tcW w:w="1275" w:type="dxa"/>
            <w:tcBorders>
              <w:top w:val="nil"/>
              <w:left w:val="nil"/>
              <w:bottom w:val="single" w:sz="4" w:space="0" w:color="auto"/>
              <w:right w:val="single" w:sz="4" w:space="0" w:color="auto"/>
            </w:tcBorders>
            <w:vAlign w:val="center"/>
            <w:hideMark/>
          </w:tcPr>
          <w:p w14:paraId="2942010C"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4</w:t>
            </w:r>
          </w:p>
        </w:tc>
        <w:tc>
          <w:tcPr>
            <w:tcW w:w="993" w:type="dxa"/>
            <w:tcBorders>
              <w:top w:val="nil"/>
              <w:left w:val="nil"/>
              <w:bottom w:val="single" w:sz="4" w:space="0" w:color="auto"/>
              <w:right w:val="single" w:sz="4" w:space="0" w:color="auto"/>
            </w:tcBorders>
            <w:vAlign w:val="center"/>
            <w:hideMark/>
          </w:tcPr>
          <w:p w14:paraId="642EF329"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3</w:t>
            </w:r>
          </w:p>
        </w:tc>
        <w:tc>
          <w:tcPr>
            <w:tcW w:w="994" w:type="dxa"/>
            <w:tcBorders>
              <w:top w:val="nil"/>
              <w:left w:val="nil"/>
              <w:bottom w:val="single" w:sz="4" w:space="0" w:color="auto"/>
              <w:right w:val="single" w:sz="4" w:space="0" w:color="auto"/>
            </w:tcBorders>
            <w:vAlign w:val="center"/>
            <w:hideMark/>
          </w:tcPr>
          <w:p w14:paraId="783368DF"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4</w:t>
            </w:r>
          </w:p>
        </w:tc>
        <w:tc>
          <w:tcPr>
            <w:tcW w:w="992" w:type="dxa"/>
            <w:tcBorders>
              <w:top w:val="nil"/>
              <w:left w:val="nil"/>
              <w:bottom w:val="single" w:sz="4" w:space="0" w:color="auto"/>
              <w:right w:val="single" w:sz="4" w:space="0" w:color="auto"/>
            </w:tcBorders>
            <w:vAlign w:val="center"/>
            <w:hideMark/>
          </w:tcPr>
          <w:p w14:paraId="674B3250" w14:textId="77777777" w:rsidR="0023213C" w:rsidRPr="0023213C" w:rsidRDefault="0023213C" w:rsidP="0023213C">
            <w:pPr>
              <w:spacing w:after="0"/>
              <w:jc w:val="both"/>
              <w:rPr>
                <w:rFonts w:ascii="Times New Roman" w:eastAsia="Calibri" w:hAnsi="Times New Roman" w:cs="Times New Roman"/>
                <w:b/>
                <w:color w:val="000000"/>
                <w:sz w:val="24"/>
                <w:szCs w:val="24"/>
                <w:lang w:val="en-US"/>
              </w:rPr>
            </w:pPr>
            <w:r w:rsidRPr="0023213C">
              <w:rPr>
                <w:rFonts w:ascii="Times New Roman" w:eastAsia="Calibri" w:hAnsi="Times New Roman" w:cs="Times New Roman"/>
                <w:b/>
                <w:color w:val="000000"/>
                <w:sz w:val="24"/>
                <w:szCs w:val="24"/>
                <w:lang w:val="en-US"/>
              </w:rPr>
              <w:t>1</w:t>
            </w:r>
          </w:p>
        </w:tc>
        <w:tc>
          <w:tcPr>
            <w:tcW w:w="851" w:type="dxa"/>
            <w:tcBorders>
              <w:top w:val="nil"/>
              <w:left w:val="nil"/>
              <w:bottom w:val="single" w:sz="4" w:space="0" w:color="auto"/>
              <w:right w:val="single" w:sz="4" w:space="0" w:color="auto"/>
            </w:tcBorders>
            <w:vAlign w:val="center"/>
            <w:hideMark/>
          </w:tcPr>
          <w:p w14:paraId="4AD61847"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1</w:t>
            </w:r>
          </w:p>
        </w:tc>
        <w:tc>
          <w:tcPr>
            <w:tcW w:w="1134" w:type="dxa"/>
            <w:tcBorders>
              <w:top w:val="nil"/>
              <w:left w:val="nil"/>
              <w:bottom w:val="single" w:sz="4" w:space="0" w:color="auto"/>
              <w:right w:val="single" w:sz="4" w:space="0" w:color="auto"/>
            </w:tcBorders>
            <w:vAlign w:val="center"/>
            <w:hideMark/>
          </w:tcPr>
          <w:p w14:paraId="126E473E" w14:textId="77777777" w:rsidR="0023213C" w:rsidRPr="0023213C" w:rsidRDefault="0023213C" w:rsidP="0023213C">
            <w:pPr>
              <w:spacing w:after="0"/>
              <w:jc w:val="both"/>
              <w:rPr>
                <w:rFonts w:ascii="Times New Roman" w:eastAsia="Calibri" w:hAnsi="Times New Roman" w:cs="Times New Roman"/>
                <w:b/>
                <w:color w:val="000000"/>
                <w:sz w:val="24"/>
                <w:szCs w:val="24"/>
                <w:lang w:val="en-US"/>
              </w:rPr>
            </w:pPr>
            <w:r w:rsidRPr="0023213C">
              <w:rPr>
                <w:rFonts w:ascii="Times New Roman" w:eastAsia="Calibri" w:hAnsi="Times New Roman" w:cs="Times New Roman"/>
                <w:b/>
                <w:color w:val="000000"/>
                <w:sz w:val="24"/>
                <w:szCs w:val="24"/>
                <w:lang w:val="en-US"/>
              </w:rPr>
              <w:t>0</w:t>
            </w:r>
          </w:p>
        </w:tc>
        <w:tc>
          <w:tcPr>
            <w:tcW w:w="993" w:type="dxa"/>
            <w:tcBorders>
              <w:top w:val="nil"/>
              <w:left w:val="nil"/>
              <w:bottom w:val="single" w:sz="4" w:space="0" w:color="auto"/>
              <w:right w:val="single" w:sz="4" w:space="0" w:color="auto"/>
            </w:tcBorders>
            <w:vAlign w:val="center"/>
            <w:hideMark/>
          </w:tcPr>
          <w:p w14:paraId="2BAFDB22"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1</w:t>
            </w:r>
          </w:p>
        </w:tc>
        <w:tc>
          <w:tcPr>
            <w:tcW w:w="848" w:type="dxa"/>
            <w:tcBorders>
              <w:top w:val="nil"/>
              <w:left w:val="nil"/>
              <w:bottom w:val="single" w:sz="4" w:space="0" w:color="auto"/>
              <w:right w:val="single" w:sz="4" w:space="0" w:color="auto"/>
            </w:tcBorders>
            <w:vAlign w:val="center"/>
            <w:hideMark/>
          </w:tcPr>
          <w:p w14:paraId="14767761" w14:textId="77777777" w:rsidR="0023213C" w:rsidRPr="0023213C" w:rsidRDefault="0023213C" w:rsidP="0023213C">
            <w:pPr>
              <w:spacing w:after="0"/>
              <w:jc w:val="both"/>
              <w:rPr>
                <w:rFonts w:ascii="Times New Roman" w:eastAsia="Calibri" w:hAnsi="Times New Roman" w:cs="Times New Roman"/>
                <w:b/>
                <w:color w:val="000000"/>
                <w:sz w:val="24"/>
                <w:szCs w:val="24"/>
                <w:lang w:val="en-US"/>
              </w:rPr>
            </w:pPr>
            <w:r w:rsidRPr="0023213C">
              <w:rPr>
                <w:rFonts w:ascii="Times New Roman" w:eastAsia="Calibri" w:hAnsi="Times New Roman" w:cs="Times New Roman"/>
                <w:b/>
                <w:color w:val="000000"/>
                <w:sz w:val="24"/>
                <w:szCs w:val="24"/>
                <w:lang w:val="en-US"/>
              </w:rPr>
              <w:t>0</w:t>
            </w:r>
          </w:p>
        </w:tc>
      </w:tr>
      <w:tr w:rsidR="0023213C" w:rsidRPr="0023213C" w14:paraId="6E7582FC" w14:textId="77777777" w:rsidTr="0023213C">
        <w:trPr>
          <w:trHeight w:val="330"/>
        </w:trPr>
        <w:tc>
          <w:tcPr>
            <w:tcW w:w="709" w:type="dxa"/>
            <w:tcBorders>
              <w:top w:val="nil"/>
              <w:left w:val="single" w:sz="4" w:space="0" w:color="auto"/>
              <w:bottom w:val="single" w:sz="4" w:space="0" w:color="auto"/>
              <w:right w:val="single" w:sz="4" w:space="0" w:color="auto"/>
            </w:tcBorders>
            <w:vAlign w:val="center"/>
            <w:hideMark/>
          </w:tcPr>
          <w:p w14:paraId="4EC7F9AB"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2020</w:t>
            </w:r>
          </w:p>
        </w:tc>
        <w:tc>
          <w:tcPr>
            <w:tcW w:w="1064" w:type="dxa"/>
            <w:tcBorders>
              <w:top w:val="nil"/>
              <w:left w:val="nil"/>
              <w:bottom w:val="single" w:sz="4" w:space="0" w:color="auto"/>
              <w:right w:val="single" w:sz="4" w:space="0" w:color="auto"/>
            </w:tcBorders>
            <w:vAlign w:val="center"/>
            <w:hideMark/>
          </w:tcPr>
          <w:tbl>
            <w:tblPr>
              <w:tblW w:w="9855" w:type="dxa"/>
              <w:tblLayout w:type="fixed"/>
              <w:tblCellMar>
                <w:left w:w="70" w:type="dxa"/>
                <w:right w:w="70" w:type="dxa"/>
              </w:tblCellMar>
              <w:tblLook w:val="00A0" w:firstRow="1" w:lastRow="0" w:firstColumn="1" w:lastColumn="0" w:noHBand="0" w:noVBand="0"/>
            </w:tblPr>
            <w:tblGrid>
              <w:gridCol w:w="1148"/>
              <w:gridCol w:w="1374"/>
              <w:gridCol w:w="1070"/>
              <w:gridCol w:w="1071"/>
              <w:gridCol w:w="1069"/>
              <w:gridCol w:w="917"/>
              <w:gridCol w:w="1222"/>
              <w:gridCol w:w="1070"/>
              <w:gridCol w:w="914"/>
            </w:tblGrid>
            <w:tr w:rsidR="0023213C" w:rsidRPr="0023213C" w14:paraId="3295C0D6" w14:textId="77777777" w:rsidTr="0023213C">
              <w:trPr>
                <w:trHeight w:val="330"/>
              </w:trPr>
              <w:tc>
                <w:tcPr>
                  <w:tcW w:w="1064" w:type="dxa"/>
                  <w:tcBorders>
                    <w:top w:val="nil"/>
                    <w:left w:val="nil"/>
                    <w:bottom w:val="single" w:sz="4" w:space="0" w:color="auto"/>
                    <w:right w:val="single" w:sz="4" w:space="0" w:color="auto"/>
                  </w:tcBorders>
                  <w:vAlign w:val="center"/>
                  <w:hideMark/>
                </w:tcPr>
                <w:p w14:paraId="68C1FEFE" w14:textId="77777777" w:rsidR="0023213C" w:rsidRPr="0023213C" w:rsidRDefault="0023213C" w:rsidP="0023213C">
                  <w:pPr>
                    <w:spacing w:after="0"/>
                    <w:jc w:val="both"/>
                    <w:rPr>
                      <w:rFonts w:ascii="Times New Roman" w:eastAsia="Calibri" w:hAnsi="Times New Roman" w:cs="Times New Roman"/>
                      <w:b/>
                      <w:bCs/>
                      <w:color w:val="000000"/>
                      <w:sz w:val="24"/>
                      <w:szCs w:val="24"/>
                    </w:rPr>
                  </w:pPr>
                  <w:r w:rsidRPr="0023213C">
                    <w:rPr>
                      <w:rFonts w:ascii="Times New Roman" w:eastAsia="Calibri" w:hAnsi="Times New Roman" w:cs="Times New Roman"/>
                      <w:b/>
                      <w:bCs/>
                      <w:color w:val="000000"/>
                      <w:sz w:val="24"/>
                      <w:szCs w:val="24"/>
                    </w:rPr>
                    <w:t>9</w:t>
                  </w:r>
                </w:p>
              </w:tc>
              <w:tc>
                <w:tcPr>
                  <w:tcW w:w="1275" w:type="dxa"/>
                  <w:tcBorders>
                    <w:top w:val="nil"/>
                    <w:left w:val="nil"/>
                    <w:bottom w:val="single" w:sz="4" w:space="0" w:color="auto"/>
                    <w:right w:val="single" w:sz="4" w:space="0" w:color="auto"/>
                  </w:tcBorders>
                  <w:vAlign w:val="center"/>
                  <w:hideMark/>
                </w:tcPr>
                <w:p w14:paraId="7560495C"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3</w:t>
                  </w:r>
                </w:p>
              </w:tc>
              <w:tc>
                <w:tcPr>
                  <w:tcW w:w="993" w:type="dxa"/>
                  <w:tcBorders>
                    <w:top w:val="nil"/>
                    <w:left w:val="nil"/>
                    <w:bottom w:val="single" w:sz="4" w:space="0" w:color="auto"/>
                    <w:right w:val="single" w:sz="4" w:space="0" w:color="auto"/>
                  </w:tcBorders>
                  <w:vAlign w:val="center"/>
                  <w:hideMark/>
                </w:tcPr>
                <w:p w14:paraId="09EB4EA1"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3</w:t>
                  </w:r>
                </w:p>
              </w:tc>
              <w:tc>
                <w:tcPr>
                  <w:tcW w:w="994" w:type="dxa"/>
                  <w:tcBorders>
                    <w:top w:val="nil"/>
                    <w:left w:val="nil"/>
                    <w:bottom w:val="single" w:sz="4" w:space="0" w:color="auto"/>
                    <w:right w:val="single" w:sz="4" w:space="0" w:color="auto"/>
                  </w:tcBorders>
                  <w:vAlign w:val="center"/>
                  <w:hideMark/>
                </w:tcPr>
                <w:p w14:paraId="233421E0"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w:t>
                  </w:r>
                </w:p>
              </w:tc>
              <w:tc>
                <w:tcPr>
                  <w:tcW w:w="992" w:type="dxa"/>
                  <w:tcBorders>
                    <w:top w:val="nil"/>
                    <w:left w:val="nil"/>
                    <w:bottom w:val="single" w:sz="4" w:space="0" w:color="auto"/>
                    <w:right w:val="single" w:sz="4" w:space="0" w:color="auto"/>
                  </w:tcBorders>
                  <w:vAlign w:val="center"/>
                  <w:hideMark/>
                </w:tcPr>
                <w:p w14:paraId="2204485F"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851" w:type="dxa"/>
                  <w:tcBorders>
                    <w:top w:val="nil"/>
                    <w:left w:val="nil"/>
                    <w:bottom w:val="single" w:sz="4" w:space="0" w:color="auto"/>
                    <w:right w:val="single" w:sz="4" w:space="0" w:color="auto"/>
                  </w:tcBorders>
                  <w:vAlign w:val="center"/>
                  <w:hideMark/>
                </w:tcPr>
                <w:p w14:paraId="19592E9E"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1134" w:type="dxa"/>
                  <w:tcBorders>
                    <w:top w:val="nil"/>
                    <w:left w:val="nil"/>
                    <w:bottom w:val="single" w:sz="4" w:space="0" w:color="auto"/>
                    <w:right w:val="single" w:sz="4" w:space="0" w:color="auto"/>
                  </w:tcBorders>
                  <w:vAlign w:val="center"/>
                  <w:hideMark/>
                </w:tcPr>
                <w:p w14:paraId="0D5E2F87"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993" w:type="dxa"/>
                  <w:tcBorders>
                    <w:top w:val="nil"/>
                    <w:left w:val="nil"/>
                    <w:bottom w:val="single" w:sz="4" w:space="0" w:color="auto"/>
                    <w:right w:val="single" w:sz="4" w:space="0" w:color="auto"/>
                  </w:tcBorders>
                  <w:vAlign w:val="center"/>
                  <w:hideMark/>
                </w:tcPr>
                <w:p w14:paraId="7152167F"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848" w:type="dxa"/>
                  <w:tcBorders>
                    <w:top w:val="nil"/>
                    <w:left w:val="nil"/>
                    <w:bottom w:val="single" w:sz="4" w:space="0" w:color="auto"/>
                    <w:right w:val="single" w:sz="4" w:space="0" w:color="auto"/>
                  </w:tcBorders>
                  <w:vAlign w:val="center"/>
                  <w:hideMark/>
                </w:tcPr>
                <w:p w14:paraId="7535F8C6"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r>
          </w:tbl>
          <w:p w14:paraId="3613A3CA" w14:textId="77777777" w:rsidR="0023213C" w:rsidRPr="0023213C" w:rsidRDefault="0023213C" w:rsidP="0023213C">
            <w:pPr>
              <w:spacing w:after="0"/>
              <w:rPr>
                <w:b/>
              </w:rPr>
            </w:pPr>
          </w:p>
        </w:tc>
        <w:tc>
          <w:tcPr>
            <w:tcW w:w="1275" w:type="dxa"/>
            <w:tcBorders>
              <w:top w:val="nil"/>
              <w:left w:val="nil"/>
              <w:bottom w:val="single" w:sz="4" w:space="0" w:color="auto"/>
              <w:right w:val="single" w:sz="4" w:space="0" w:color="auto"/>
            </w:tcBorders>
            <w:vAlign w:val="center"/>
            <w:hideMark/>
          </w:tcPr>
          <w:p w14:paraId="2A7F5241"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3</w:t>
            </w:r>
          </w:p>
        </w:tc>
        <w:tc>
          <w:tcPr>
            <w:tcW w:w="993" w:type="dxa"/>
            <w:tcBorders>
              <w:top w:val="nil"/>
              <w:left w:val="nil"/>
              <w:bottom w:val="single" w:sz="4" w:space="0" w:color="auto"/>
              <w:right w:val="single" w:sz="4" w:space="0" w:color="auto"/>
            </w:tcBorders>
            <w:vAlign w:val="center"/>
            <w:hideMark/>
          </w:tcPr>
          <w:p w14:paraId="7183413B"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6</w:t>
            </w:r>
          </w:p>
        </w:tc>
        <w:tc>
          <w:tcPr>
            <w:tcW w:w="994" w:type="dxa"/>
            <w:tcBorders>
              <w:top w:val="nil"/>
              <w:left w:val="nil"/>
              <w:bottom w:val="single" w:sz="4" w:space="0" w:color="auto"/>
              <w:right w:val="single" w:sz="4" w:space="0" w:color="auto"/>
            </w:tcBorders>
            <w:vAlign w:val="center"/>
            <w:hideMark/>
          </w:tcPr>
          <w:p w14:paraId="536A686C"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5</w:t>
            </w:r>
          </w:p>
        </w:tc>
        <w:tc>
          <w:tcPr>
            <w:tcW w:w="992" w:type="dxa"/>
            <w:tcBorders>
              <w:top w:val="nil"/>
              <w:left w:val="nil"/>
              <w:bottom w:val="single" w:sz="4" w:space="0" w:color="auto"/>
              <w:right w:val="single" w:sz="4" w:space="0" w:color="auto"/>
            </w:tcBorders>
            <w:vAlign w:val="center"/>
            <w:hideMark/>
          </w:tcPr>
          <w:p w14:paraId="3434D7F8"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1</w:t>
            </w:r>
          </w:p>
        </w:tc>
        <w:tc>
          <w:tcPr>
            <w:tcW w:w="851" w:type="dxa"/>
            <w:tcBorders>
              <w:top w:val="nil"/>
              <w:left w:val="nil"/>
              <w:bottom w:val="single" w:sz="4" w:space="0" w:color="auto"/>
              <w:right w:val="single" w:sz="4" w:space="0" w:color="auto"/>
            </w:tcBorders>
            <w:vAlign w:val="center"/>
            <w:hideMark/>
          </w:tcPr>
          <w:p w14:paraId="6A4E0BAD"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w:t>
            </w:r>
          </w:p>
        </w:tc>
        <w:tc>
          <w:tcPr>
            <w:tcW w:w="1134" w:type="dxa"/>
            <w:tcBorders>
              <w:top w:val="nil"/>
              <w:left w:val="nil"/>
              <w:bottom w:val="single" w:sz="4" w:space="0" w:color="auto"/>
              <w:right w:val="single" w:sz="4" w:space="0" w:color="auto"/>
            </w:tcBorders>
            <w:vAlign w:val="center"/>
            <w:hideMark/>
          </w:tcPr>
          <w:p w14:paraId="4F22C9BB"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993" w:type="dxa"/>
            <w:tcBorders>
              <w:top w:val="nil"/>
              <w:left w:val="nil"/>
              <w:bottom w:val="single" w:sz="4" w:space="0" w:color="auto"/>
              <w:right w:val="single" w:sz="4" w:space="0" w:color="auto"/>
            </w:tcBorders>
            <w:vAlign w:val="center"/>
            <w:hideMark/>
          </w:tcPr>
          <w:p w14:paraId="04A1FBA1"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1</w:t>
            </w:r>
          </w:p>
        </w:tc>
        <w:tc>
          <w:tcPr>
            <w:tcW w:w="848" w:type="dxa"/>
            <w:tcBorders>
              <w:top w:val="nil"/>
              <w:left w:val="nil"/>
              <w:bottom w:val="single" w:sz="4" w:space="0" w:color="auto"/>
              <w:right w:val="single" w:sz="4" w:space="0" w:color="auto"/>
            </w:tcBorders>
            <w:vAlign w:val="center"/>
            <w:hideMark/>
          </w:tcPr>
          <w:p w14:paraId="553F0A28"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r>
    </w:tbl>
    <w:p w14:paraId="2D2EF150" w14:textId="77777777" w:rsidR="0023213C" w:rsidRPr="0023213C" w:rsidRDefault="0023213C" w:rsidP="0023213C">
      <w:pPr>
        <w:spacing w:after="0" w:line="240" w:lineRule="auto"/>
        <w:jc w:val="both"/>
        <w:rPr>
          <w:rFonts w:ascii="Times New Roman" w:eastAsia="Calibri" w:hAnsi="Times New Roman" w:cs="Times New Roman"/>
          <w:b/>
          <w:i/>
          <w:sz w:val="28"/>
          <w:szCs w:val="28"/>
        </w:rPr>
      </w:pPr>
    </w:p>
    <w:p w14:paraId="7CEC55F6" w14:textId="4179B2EC"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w:t>
      </w:r>
      <w:r w:rsidR="00FC76F9">
        <w:rPr>
          <w:rFonts w:ascii="Times New Roman" w:eastAsia="Calibri" w:hAnsi="Times New Roman" w:cs="Times New Roman"/>
          <w:sz w:val="28"/>
          <w:szCs w:val="28"/>
        </w:rPr>
        <w:tab/>
      </w:r>
      <w:r w:rsidRPr="0023213C">
        <w:rPr>
          <w:rFonts w:ascii="Times New Roman" w:eastAsia="Calibri" w:hAnsi="Times New Roman" w:cs="Times New Roman"/>
          <w:sz w:val="28"/>
          <w:szCs w:val="28"/>
        </w:rPr>
        <w:t>През отчетния период на 2022 год. в региона на Окръжна прокуратура–Монтана са наблюдавани общо 12 ДП с предмет имущество и/или средства от фондове, принадлежащи на ЕС или предоставени от ЕС на българската държава.</w:t>
      </w:r>
    </w:p>
    <w:p w14:paraId="11AABEA6"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Налична е тенденция към  незначително увеличаване  през отчетния период  на делата с предмет средства на ЕС, в сравнение с броя на същите през 2021 год., когато са били 11 бр. ДП,а през 2020 год. същите3 са били 9бр.ДП.</w:t>
      </w:r>
    </w:p>
    <w:p w14:paraId="5E609894" w14:textId="77777777" w:rsidR="0023213C" w:rsidRPr="0023213C" w:rsidRDefault="0023213C" w:rsidP="0023213C">
      <w:pPr>
        <w:spacing w:after="0" w:line="240" w:lineRule="auto"/>
        <w:jc w:val="both"/>
        <w:rPr>
          <w:rFonts w:ascii="Times New Roman" w:eastAsia="Calibri" w:hAnsi="Times New Roman" w:cs="Times New Roman"/>
          <w:sz w:val="28"/>
          <w:szCs w:val="28"/>
        </w:rPr>
      </w:pPr>
    </w:p>
    <w:p w14:paraId="3ACA6166"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През 2021 год. са наблюдавани общо 12 бр.ДП, от които са прекратени 2 бр. и 2 бр. ДП е внесено в съда.Останали са в края на периода 7 бр. ДП неприключени,като едно  е изпратено по компетентност.</w:t>
      </w:r>
    </w:p>
    <w:p w14:paraId="010754A9" w14:textId="77777777" w:rsidR="0023213C" w:rsidRPr="0023213C" w:rsidRDefault="0023213C" w:rsidP="0023213C">
      <w:pPr>
        <w:spacing w:after="0" w:line="240" w:lineRule="auto"/>
        <w:jc w:val="both"/>
        <w:rPr>
          <w:rFonts w:ascii="Times New Roman" w:eastAsia="Calibri" w:hAnsi="Times New Roman" w:cs="Times New Roman"/>
          <w:i/>
          <w:sz w:val="28"/>
          <w:szCs w:val="28"/>
        </w:rPr>
      </w:pPr>
    </w:p>
    <w:p w14:paraId="11477944"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В сравнение през  2021 г. са наблюдавани общо 11 ДП, от които 3 бр.  ДП ,решени 4 бр.ДП, 1 бр.ДП внесено в съда. През 2020 год. са били наблюдавани общо 9 бр. ДП, от които са приключени 6 ДП и решени 5бр. ДП. Внесен е един прокурорски акт в съда срещу две лица. </w:t>
      </w:r>
    </w:p>
    <w:p w14:paraId="7E03DD13"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Налице е тенденция за незначително увеличение на наблюдаваните ДП за този вид престъпления,  и устойчивост по отношение броя  на решените с 1 </w:t>
      </w:r>
      <w:r w:rsidRPr="0023213C">
        <w:rPr>
          <w:rFonts w:ascii="Times New Roman" w:eastAsia="Calibri" w:hAnsi="Times New Roman" w:cs="Times New Roman"/>
          <w:sz w:val="28"/>
          <w:szCs w:val="28"/>
        </w:rPr>
        <w:lastRenderedPageBreak/>
        <w:t>бр.. Наблюдава се увеличение на внесените в съда прокурорски актове- 2бр. за периода, в сравнение с 2021 и 2020 год., когато са били по 1 бр.</w:t>
      </w:r>
    </w:p>
    <w:p w14:paraId="75451028" w14:textId="77777777" w:rsidR="0023213C" w:rsidRPr="0023213C" w:rsidRDefault="0023213C" w:rsidP="0023213C">
      <w:pPr>
        <w:spacing w:after="0" w:line="240" w:lineRule="auto"/>
        <w:jc w:val="both"/>
        <w:rPr>
          <w:rFonts w:ascii="Times New Roman" w:eastAsia="Calibri" w:hAnsi="Times New Roman" w:cs="Times New Roman"/>
          <w:b/>
          <w:sz w:val="28"/>
          <w:szCs w:val="28"/>
        </w:rPr>
      </w:pPr>
    </w:p>
    <w:p w14:paraId="03D3F8BC"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i/>
          <w:color w:val="000000"/>
          <w:sz w:val="28"/>
          <w:u w:val="single"/>
          <w:lang w:eastAsia="bg-BG"/>
        </w:rPr>
      </w:pPr>
      <w:bookmarkStart w:id="73" w:name="_Toc127370284"/>
      <w:r w:rsidRPr="0023213C">
        <w:rPr>
          <w:rFonts w:ascii="Times New Roman" w:eastAsia="Calibri" w:hAnsi="Times New Roman" w:cs="Arial"/>
          <w:b/>
          <w:i/>
          <w:color w:val="000000"/>
          <w:sz w:val="28"/>
          <w:u w:val="single"/>
          <w:lang w:eastAsia="bg-BG"/>
        </w:rPr>
        <w:t>6. Данъчни престъпления.</w:t>
      </w:r>
      <w:bookmarkEnd w:id="73"/>
    </w:p>
    <w:p w14:paraId="75F9E9AF" w14:textId="77777777" w:rsidR="0023213C" w:rsidRPr="0023213C" w:rsidRDefault="0023213C" w:rsidP="0023213C">
      <w:pPr>
        <w:spacing w:after="0" w:line="240" w:lineRule="auto"/>
        <w:jc w:val="both"/>
        <w:rPr>
          <w:rFonts w:ascii="Times New Roman" w:eastAsia="Calibri" w:hAnsi="Times New Roman" w:cs="Times New Roman"/>
          <w:b/>
          <w:sz w:val="28"/>
          <w:szCs w:val="28"/>
        </w:rPr>
      </w:pPr>
    </w:p>
    <w:tbl>
      <w:tblPr>
        <w:tblW w:w="9915" w:type="dxa"/>
        <w:tblInd w:w="-214" w:type="dxa"/>
        <w:tblLayout w:type="fixed"/>
        <w:tblCellMar>
          <w:left w:w="70" w:type="dxa"/>
          <w:right w:w="70" w:type="dxa"/>
        </w:tblCellMar>
        <w:tblLook w:val="00A0" w:firstRow="1" w:lastRow="0" w:firstColumn="1" w:lastColumn="0" w:noHBand="0" w:noVBand="0"/>
      </w:tblPr>
      <w:tblGrid>
        <w:gridCol w:w="851"/>
        <w:gridCol w:w="1134"/>
        <w:gridCol w:w="1224"/>
        <w:gridCol w:w="994"/>
        <w:gridCol w:w="798"/>
        <w:gridCol w:w="1046"/>
        <w:gridCol w:w="852"/>
        <w:gridCol w:w="869"/>
        <w:gridCol w:w="1066"/>
        <w:gridCol w:w="1081"/>
      </w:tblGrid>
      <w:tr w:rsidR="0023213C" w:rsidRPr="0023213C" w14:paraId="5777C7AF" w14:textId="77777777" w:rsidTr="0023213C">
        <w:trPr>
          <w:trHeight w:val="1340"/>
        </w:trPr>
        <w:tc>
          <w:tcPr>
            <w:tcW w:w="851" w:type="dxa"/>
            <w:tcBorders>
              <w:top w:val="single" w:sz="4" w:space="0" w:color="auto"/>
              <w:left w:val="single" w:sz="4" w:space="0" w:color="auto"/>
              <w:bottom w:val="single" w:sz="4" w:space="0" w:color="auto"/>
              <w:right w:val="single" w:sz="4" w:space="0" w:color="auto"/>
            </w:tcBorders>
            <w:hideMark/>
          </w:tcPr>
          <w:p w14:paraId="0F86D0EB"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Год.</w:t>
            </w:r>
          </w:p>
        </w:tc>
        <w:tc>
          <w:tcPr>
            <w:tcW w:w="1134" w:type="dxa"/>
            <w:tcBorders>
              <w:top w:val="single" w:sz="4" w:space="0" w:color="auto"/>
              <w:left w:val="nil"/>
              <w:bottom w:val="single" w:sz="4" w:space="0" w:color="auto"/>
              <w:right w:val="single" w:sz="4" w:space="0" w:color="auto"/>
            </w:tcBorders>
            <w:hideMark/>
          </w:tcPr>
          <w:p w14:paraId="4209820A" w14:textId="77777777" w:rsidR="0023213C" w:rsidRPr="0023213C" w:rsidRDefault="0023213C" w:rsidP="0023213C">
            <w:pPr>
              <w:spacing w:after="0"/>
              <w:rPr>
                <w:rFonts w:ascii="Times New Roman" w:eastAsia="Calibri" w:hAnsi="Times New Roman" w:cs="Times New Roman"/>
                <w:b/>
                <w:bCs/>
                <w:color w:val="000000"/>
                <w:sz w:val="24"/>
                <w:szCs w:val="24"/>
              </w:rPr>
            </w:pPr>
            <w:r w:rsidRPr="0023213C">
              <w:rPr>
                <w:rFonts w:ascii="Times New Roman" w:eastAsia="Calibri" w:hAnsi="Times New Roman" w:cs="Times New Roman"/>
                <w:b/>
                <w:bCs/>
                <w:color w:val="000000"/>
                <w:sz w:val="24"/>
                <w:szCs w:val="24"/>
              </w:rPr>
              <w:t>Наблюдавани ДП</w:t>
            </w:r>
          </w:p>
        </w:tc>
        <w:tc>
          <w:tcPr>
            <w:tcW w:w="1224" w:type="dxa"/>
            <w:tcBorders>
              <w:top w:val="single" w:sz="4" w:space="0" w:color="auto"/>
              <w:left w:val="nil"/>
              <w:bottom w:val="single" w:sz="4" w:space="0" w:color="auto"/>
              <w:right w:val="single" w:sz="4" w:space="0" w:color="auto"/>
            </w:tcBorders>
            <w:hideMark/>
          </w:tcPr>
          <w:p w14:paraId="01CE9C18"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Новообразувани ДП</w:t>
            </w:r>
          </w:p>
        </w:tc>
        <w:tc>
          <w:tcPr>
            <w:tcW w:w="994" w:type="dxa"/>
            <w:tcBorders>
              <w:top w:val="single" w:sz="4" w:space="0" w:color="auto"/>
              <w:left w:val="nil"/>
              <w:bottom w:val="single" w:sz="4" w:space="0" w:color="auto"/>
              <w:right w:val="single" w:sz="4" w:space="0" w:color="auto"/>
            </w:tcBorders>
            <w:hideMark/>
          </w:tcPr>
          <w:p w14:paraId="6E46EBC1"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Приключени разследвания</w:t>
            </w:r>
          </w:p>
        </w:tc>
        <w:tc>
          <w:tcPr>
            <w:tcW w:w="798" w:type="dxa"/>
            <w:tcBorders>
              <w:top w:val="single" w:sz="4" w:space="0" w:color="auto"/>
              <w:left w:val="nil"/>
              <w:bottom w:val="single" w:sz="4" w:space="0" w:color="auto"/>
              <w:right w:val="single" w:sz="4" w:space="0" w:color="auto"/>
            </w:tcBorders>
            <w:hideMark/>
          </w:tcPr>
          <w:p w14:paraId="31CF3D4F"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Решени ДП</w:t>
            </w:r>
          </w:p>
        </w:tc>
        <w:tc>
          <w:tcPr>
            <w:tcW w:w="1046" w:type="dxa"/>
            <w:tcBorders>
              <w:top w:val="single" w:sz="4" w:space="0" w:color="auto"/>
              <w:left w:val="nil"/>
              <w:bottom w:val="single" w:sz="4" w:space="0" w:color="auto"/>
              <w:right w:val="single" w:sz="4" w:space="0" w:color="auto"/>
            </w:tcBorders>
            <w:hideMark/>
          </w:tcPr>
          <w:p w14:paraId="766FC35B"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Проку</w:t>
            </w:r>
          </w:p>
          <w:p w14:paraId="38A67B16"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рорски актове, внесени в съда</w:t>
            </w:r>
          </w:p>
        </w:tc>
        <w:tc>
          <w:tcPr>
            <w:tcW w:w="852" w:type="dxa"/>
            <w:tcBorders>
              <w:top w:val="single" w:sz="4" w:space="0" w:color="auto"/>
              <w:left w:val="nil"/>
              <w:bottom w:val="single" w:sz="4" w:space="0" w:color="auto"/>
              <w:right w:val="single" w:sz="4" w:space="0" w:color="auto"/>
            </w:tcBorders>
            <w:hideMark/>
          </w:tcPr>
          <w:p w14:paraId="65CCCCBD"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Предадени на съд лица</w:t>
            </w:r>
          </w:p>
        </w:tc>
        <w:tc>
          <w:tcPr>
            <w:tcW w:w="869" w:type="dxa"/>
            <w:tcBorders>
              <w:top w:val="single" w:sz="4" w:space="0" w:color="auto"/>
              <w:left w:val="nil"/>
              <w:bottom w:val="single" w:sz="4" w:space="0" w:color="auto"/>
              <w:right w:val="single" w:sz="4" w:space="0" w:color="auto"/>
            </w:tcBorders>
            <w:hideMark/>
          </w:tcPr>
          <w:p w14:paraId="7CD74F04"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Върнати от съда ДП</w:t>
            </w:r>
          </w:p>
        </w:tc>
        <w:tc>
          <w:tcPr>
            <w:tcW w:w="1066" w:type="dxa"/>
            <w:tcBorders>
              <w:top w:val="single" w:sz="4" w:space="0" w:color="auto"/>
              <w:left w:val="nil"/>
              <w:bottom w:val="single" w:sz="4" w:space="0" w:color="auto"/>
              <w:right w:val="single" w:sz="4" w:space="0" w:color="auto"/>
            </w:tcBorders>
            <w:hideMark/>
          </w:tcPr>
          <w:p w14:paraId="6AFF3CEB"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 xml:space="preserve">Осъдени лица с влязъл в сила съд. акт </w:t>
            </w:r>
          </w:p>
        </w:tc>
        <w:tc>
          <w:tcPr>
            <w:tcW w:w="1081" w:type="dxa"/>
            <w:tcBorders>
              <w:top w:val="single" w:sz="4" w:space="0" w:color="auto"/>
              <w:left w:val="nil"/>
              <w:bottom w:val="single" w:sz="4" w:space="0" w:color="auto"/>
              <w:right w:val="single" w:sz="4" w:space="0" w:color="auto"/>
            </w:tcBorders>
            <w:hideMark/>
          </w:tcPr>
          <w:p w14:paraId="5CD0F5EF"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Оправдани лица с влязъл в сила съд. акт</w:t>
            </w:r>
          </w:p>
        </w:tc>
      </w:tr>
      <w:tr w:rsidR="0023213C" w:rsidRPr="0023213C" w14:paraId="4EAFED94" w14:textId="77777777" w:rsidTr="0023213C">
        <w:trPr>
          <w:trHeight w:val="330"/>
        </w:trPr>
        <w:tc>
          <w:tcPr>
            <w:tcW w:w="851" w:type="dxa"/>
            <w:tcBorders>
              <w:top w:val="single" w:sz="4" w:space="0" w:color="auto"/>
              <w:left w:val="single" w:sz="8" w:space="0" w:color="auto"/>
              <w:bottom w:val="single" w:sz="4" w:space="0" w:color="auto"/>
              <w:right w:val="single" w:sz="4" w:space="0" w:color="auto"/>
            </w:tcBorders>
            <w:shd w:val="clear" w:color="auto" w:fill="C2D69B" w:themeFill="accent3" w:themeFillTint="99"/>
            <w:vAlign w:val="center"/>
            <w:hideMark/>
          </w:tcPr>
          <w:p w14:paraId="29347A10"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2022</w:t>
            </w:r>
          </w:p>
        </w:tc>
        <w:tc>
          <w:tcPr>
            <w:tcW w:w="1134" w:type="dxa"/>
            <w:tcBorders>
              <w:top w:val="single" w:sz="4" w:space="0" w:color="auto"/>
              <w:left w:val="nil"/>
              <w:bottom w:val="single" w:sz="8" w:space="0" w:color="auto"/>
              <w:right w:val="single" w:sz="4" w:space="0" w:color="auto"/>
            </w:tcBorders>
            <w:shd w:val="clear" w:color="auto" w:fill="C2D69B" w:themeFill="accent3" w:themeFillTint="99"/>
            <w:vAlign w:val="center"/>
            <w:hideMark/>
          </w:tcPr>
          <w:p w14:paraId="5D3B8A75" w14:textId="77777777" w:rsidR="0023213C" w:rsidRPr="0023213C" w:rsidRDefault="0023213C" w:rsidP="0023213C">
            <w:pPr>
              <w:spacing w:after="0"/>
              <w:jc w:val="both"/>
              <w:rPr>
                <w:rFonts w:ascii="Times New Roman" w:eastAsia="Calibri" w:hAnsi="Times New Roman" w:cs="Times New Roman"/>
                <w:b/>
                <w:bCs/>
                <w:color w:val="000000"/>
                <w:sz w:val="24"/>
                <w:szCs w:val="24"/>
              </w:rPr>
            </w:pPr>
            <w:r w:rsidRPr="0023213C">
              <w:rPr>
                <w:rFonts w:ascii="Times New Roman" w:eastAsia="Calibri" w:hAnsi="Times New Roman" w:cs="Times New Roman"/>
                <w:b/>
                <w:bCs/>
                <w:color w:val="000000"/>
                <w:sz w:val="24"/>
                <w:szCs w:val="24"/>
              </w:rPr>
              <w:t>61</w:t>
            </w:r>
          </w:p>
        </w:tc>
        <w:tc>
          <w:tcPr>
            <w:tcW w:w="122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503B91C1"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24</w:t>
            </w:r>
          </w:p>
        </w:tc>
        <w:tc>
          <w:tcPr>
            <w:tcW w:w="99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18537E7E"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27</w:t>
            </w:r>
          </w:p>
        </w:tc>
        <w:tc>
          <w:tcPr>
            <w:tcW w:w="798"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56287865"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26</w:t>
            </w:r>
          </w:p>
        </w:tc>
        <w:tc>
          <w:tcPr>
            <w:tcW w:w="1046"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699FA59D"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8</w:t>
            </w:r>
          </w:p>
        </w:tc>
        <w:tc>
          <w:tcPr>
            <w:tcW w:w="852"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2CA15998"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8</w:t>
            </w:r>
          </w:p>
        </w:tc>
        <w:tc>
          <w:tcPr>
            <w:tcW w:w="869"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44F6E2BA"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1066"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4E64D07D"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6</w:t>
            </w:r>
          </w:p>
        </w:tc>
        <w:tc>
          <w:tcPr>
            <w:tcW w:w="1081" w:type="dxa"/>
            <w:tcBorders>
              <w:top w:val="single" w:sz="4" w:space="0" w:color="auto"/>
              <w:left w:val="nil"/>
              <w:bottom w:val="single" w:sz="4" w:space="0" w:color="auto"/>
              <w:right w:val="single" w:sz="8" w:space="0" w:color="auto"/>
            </w:tcBorders>
            <w:shd w:val="clear" w:color="auto" w:fill="C2D69B" w:themeFill="accent3" w:themeFillTint="99"/>
            <w:vAlign w:val="center"/>
            <w:hideMark/>
          </w:tcPr>
          <w:p w14:paraId="0C9F19DD"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1</w:t>
            </w:r>
          </w:p>
        </w:tc>
      </w:tr>
      <w:tr w:rsidR="0023213C" w:rsidRPr="0023213C" w14:paraId="13B5AD3C" w14:textId="77777777" w:rsidTr="0023213C">
        <w:trPr>
          <w:trHeight w:val="330"/>
        </w:trPr>
        <w:tc>
          <w:tcPr>
            <w:tcW w:w="851" w:type="dxa"/>
            <w:tcBorders>
              <w:top w:val="single" w:sz="8" w:space="0" w:color="auto"/>
              <w:left w:val="single" w:sz="8" w:space="0" w:color="auto"/>
              <w:bottom w:val="single" w:sz="4" w:space="0" w:color="auto"/>
              <w:right w:val="single" w:sz="4" w:space="0" w:color="auto"/>
            </w:tcBorders>
            <w:vAlign w:val="center"/>
            <w:hideMark/>
          </w:tcPr>
          <w:p w14:paraId="4E3A2CBE"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2021</w:t>
            </w:r>
          </w:p>
        </w:tc>
        <w:tc>
          <w:tcPr>
            <w:tcW w:w="1134" w:type="dxa"/>
            <w:tcBorders>
              <w:top w:val="single" w:sz="8" w:space="0" w:color="auto"/>
              <w:left w:val="nil"/>
              <w:bottom w:val="single" w:sz="8" w:space="0" w:color="auto"/>
              <w:right w:val="single" w:sz="4" w:space="0" w:color="auto"/>
            </w:tcBorders>
            <w:vAlign w:val="center"/>
            <w:hideMark/>
          </w:tcPr>
          <w:p w14:paraId="28D35708" w14:textId="77777777" w:rsidR="0023213C" w:rsidRPr="0023213C" w:rsidRDefault="0023213C" w:rsidP="0023213C">
            <w:pPr>
              <w:spacing w:after="0"/>
              <w:jc w:val="both"/>
              <w:rPr>
                <w:rFonts w:ascii="Times New Roman" w:eastAsia="Calibri" w:hAnsi="Times New Roman" w:cs="Times New Roman"/>
                <w:b/>
                <w:bCs/>
                <w:color w:val="000000"/>
                <w:sz w:val="24"/>
                <w:szCs w:val="24"/>
              </w:rPr>
            </w:pPr>
            <w:r w:rsidRPr="0023213C">
              <w:rPr>
                <w:rFonts w:ascii="Times New Roman" w:eastAsia="Calibri" w:hAnsi="Times New Roman" w:cs="Times New Roman"/>
                <w:b/>
                <w:bCs/>
                <w:color w:val="000000"/>
                <w:sz w:val="24"/>
                <w:szCs w:val="24"/>
              </w:rPr>
              <w:t>40</w:t>
            </w:r>
          </w:p>
        </w:tc>
        <w:tc>
          <w:tcPr>
            <w:tcW w:w="1224" w:type="dxa"/>
            <w:tcBorders>
              <w:top w:val="single" w:sz="8" w:space="0" w:color="auto"/>
              <w:left w:val="nil"/>
              <w:bottom w:val="single" w:sz="4" w:space="0" w:color="auto"/>
              <w:right w:val="single" w:sz="4" w:space="0" w:color="auto"/>
            </w:tcBorders>
            <w:vAlign w:val="center"/>
            <w:hideMark/>
          </w:tcPr>
          <w:p w14:paraId="4EBE97DC"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17</w:t>
            </w:r>
          </w:p>
        </w:tc>
        <w:tc>
          <w:tcPr>
            <w:tcW w:w="994" w:type="dxa"/>
            <w:tcBorders>
              <w:top w:val="single" w:sz="8" w:space="0" w:color="auto"/>
              <w:left w:val="nil"/>
              <w:bottom w:val="single" w:sz="4" w:space="0" w:color="auto"/>
              <w:right w:val="single" w:sz="4" w:space="0" w:color="auto"/>
            </w:tcBorders>
            <w:vAlign w:val="center"/>
            <w:hideMark/>
          </w:tcPr>
          <w:p w14:paraId="00D4B77B"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13</w:t>
            </w:r>
          </w:p>
        </w:tc>
        <w:tc>
          <w:tcPr>
            <w:tcW w:w="798" w:type="dxa"/>
            <w:tcBorders>
              <w:top w:val="single" w:sz="8" w:space="0" w:color="auto"/>
              <w:left w:val="nil"/>
              <w:bottom w:val="single" w:sz="4" w:space="0" w:color="auto"/>
              <w:right w:val="single" w:sz="4" w:space="0" w:color="auto"/>
            </w:tcBorders>
            <w:vAlign w:val="center"/>
            <w:hideMark/>
          </w:tcPr>
          <w:p w14:paraId="7B8F9404"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15</w:t>
            </w:r>
          </w:p>
        </w:tc>
        <w:tc>
          <w:tcPr>
            <w:tcW w:w="1046" w:type="dxa"/>
            <w:tcBorders>
              <w:top w:val="single" w:sz="8" w:space="0" w:color="auto"/>
              <w:left w:val="nil"/>
              <w:bottom w:val="single" w:sz="4" w:space="0" w:color="auto"/>
              <w:right w:val="single" w:sz="4" w:space="0" w:color="auto"/>
            </w:tcBorders>
            <w:vAlign w:val="center"/>
            <w:hideMark/>
          </w:tcPr>
          <w:p w14:paraId="4E2E4F58"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1</w:t>
            </w:r>
          </w:p>
        </w:tc>
        <w:tc>
          <w:tcPr>
            <w:tcW w:w="852" w:type="dxa"/>
            <w:tcBorders>
              <w:top w:val="single" w:sz="8" w:space="0" w:color="auto"/>
              <w:left w:val="nil"/>
              <w:bottom w:val="single" w:sz="4" w:space="0" w:color="auto"/>
              <w:right w:val="single" w:sz="4" w:space="0" w:color="auto"/>
            </w:tcBorders>
            <w:vAlign w:val="center"/>
            <w:hideMark/>
          </w:tcPr>
          <w:p w14:paraId="61A6CBF1"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1</w:t>
            </w:r>
          </w:p>
        </w:tc>
        <w:tc>
          <w:tcPr>
            <w:tcW w:w="869" w:type="dxa"/>
            <w:tcBorders>
              <w:top w:val="single" w:sz="8" w:space="0" w:color="auto"/>
              <w:left w:val="nil"/>
              <w:bottom w:val="single" w:sz="4" w:space="0" w:color="auto"/>
              <w:right w:val="single" w:sz="4" w:space="0" w:color="auto"/>
            </w:tcBorders>
            <w:vAlign w:val="center"/>
            <w:hideMark/>
          </w:tcPr>
          <w:p w14:paraId="56EAC8BF"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1066" w:type="dxa"/>
            <w:tcBorders>
              <w:top w:val="single" w:sz="8" w:space="0" w:color="auto"/>
              <w:left w:val="nil"/>
              <w:bottom w:val="single" w:sz="4" w:space="0" w:color="auto"/>
              <w:right w:val="single" w:sz="4" w:space="0" w:color="auto"/>
            </w:tcBorders>
            <w:vAlign w:val="center"/>
            <w:hideMark/>
          </w:tcPr>
          <w:p w14:paraId="08242C52"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1081" w:type="dxa"/>
            <w:tcBorders>
              <w:top w:val="single" w:sz="8" w:space="0" w:color="auto"/>
              <w:left w:val="nil"/>
              <w:bottom w:val="single" w:sz="4" w:space="0" w:color="auto"/>
              <w:right w:val="single" w:sz="8" w:space="0" w:color="auto"/>
            </w:tcBorders>
            <w:vAlign w:val="center"/>
            <w:hideMark/>
          </w:tcPr>
          <w:p w14:paraId="6EC4EC99"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r>
      <w:tr w:rsidR="0023213C" w:rsidRPr="0023213C" w14:paraId="46D2987B" w14:textId="77777777" w:rsidTr="0023213C">
        <w:trPr>
          <w:trHeight w:val="330"/>
        </w:trPr>
        <w:tc>
          <w:tcPr>
            <w:tcW w:w="851" w:type="dxa"/>
            <w:tcBorders>
              <w:top w:val="single" w:sz="8" w:space="0" w:color="auto"/>
              <w:left w:val="single" w:sz="8" w:space="0" w:color="auto"/>
              <w:bottom w:val="single" w:sz="4" w:space="0" w:color="auto"/>
              <w:right w:val="single" w:sz="4" w:space="0" w:color="auto"/>
            </w:tcBorders>
            <w:vAlign w:val="center"/>
            <w:hideMark/>
          </w:tcPr>
          <w:p w14:paraId="3BC38FD1"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2020</w:t>
            </w:r>
          </w:p>
        </w:tc>
        <w:tc>
          <w:tcPr>
            <w:tcW w:w="1134" w:type="dxa"/>
            <w:tcBorders>
              <w:top w:val="single" w:sz="8" w:space="0" w:color="auto"/>
              <w:left w:val="nil"/>
              <w:bottom w:val="single" w:sz="4" w:space="0" w:color="auto"/>
              <w:right w:val="single" w:sz="4" w:space="0" w:color="auto"/>
            </w:tcBorders>
            <w:vAlign w:val="center"/>
            <w:hideMark/>
          </w:tcPr>
          <w:p w14:paraId="58712788" w14:textId="77777777" w:rsidR="0023213C" w:rsidRPr="0023213C" w:rsidRDefault="0023213C" w:rsidP="0023213C">
            <w:pPr>
              <w:spacing w:after="0"/>
              <w:jc w:val="both"/>
              <w:rPr>
                <w:rFonts w:ascii="Times New Roman" w:eastAsia="Calibri" w:hAnsi="Times New Roman" w:cs="Times New Roman"/>
                <w:b/>
                <w:bCs/>
                <w:color w:val="000000"/>
                <w:sz w:val="24"/>
                <w:szCs w:val="24"/>
              </w:rPr>
            </w:pPr>
            <w:r w:rsidRPr="0023213C">
              <w:rPr>
                <w:rFonts w:ascii="Times New Roman" w:eastAsia="Calibri" w:hAnsi="Times New Roman" w:cs="Times New Roman"/>
                <w:b/>
                <w:bCs/>
                <w:color w:val="000000"/>
                <w:sz w:val="24"/>
                <w:szCs w:val="24"/>
              </w:rPr>
              <w:t>33</w:t>
            </w:r>
          </w:p>
        </w:tc>
        <w:tc>
          <w:tcPr>
            <w:tcW w:w="1224" w:type="dxa"/>
            <w:tcBorders>
              <w:top w:val="single" w:sz="8" w:space="0" w:color="auto"/>
              <w:left w:val="nil"/>
              <w:bottom w:val="single" w:sz="4" w:space="0" w:color="auto"/>
              <w:right w:val="single" w:sz="4" w:space="0" w:color="auto"/>
            </w:tcBorders>
            <w:vAlign w:val="center"/>
            <w:hideMark/>
          </w:tcPr>
          <w:p w14:paraId="080667BF"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17</w:t>
            </w:r>
          </w:p>
        </w:tc>
        <w:tc>
          <w:tcPr>
            <w:tcW w:w="994" w:type="dxa"/>
            <w:tcBorders>
              <w:top w:val="single" w:sz="8" w:space="0" w:color="auto"/>
              <w:left w:val="nil"/>
              <w:bottom w:val="single" w:sz="4" w:space="0" w:color="auto"/>
              <w:right w:val="single" w:sz="4" w:space="0" w:color="auto"/>
            </w:tcBorders>
            <w:vAlign w:val="center"/>
            <w:hideMark/>
          </w:tcPr>
          <w:p w14:paraId="78C6CDF8"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11</w:t>
            </w:r>
          </w:p>
        </w:tc>
        <w:tc>
          <w:tcPr>
            <w:tcW w:w="798" w:type="dxa"/>
            <w:tcBorders>
              <w:top w:val="single" w:sz="8" w:space="0" w:color="auto"/>
              <w:left w:val="nil"/>
              <w:bottom w:val="single" w:sz="4" w:space="0" w:color="auto"/>
              <w:right w:val="single" w:sz="4" w:space="0" w:color="auto"/>
            </w:tcBorders>
            <w:vAlign w:val="center"/>
            <w:hideMark/>
          </w:tcPr>
          <w:p w14:paraId="7DD89D26"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11</w:t>
            </w:r>
          </w:p>
        </w:tc>
        <w:tc>
          <w:tcPr>
            <w:tcW w:w="1046" w:type="dxa"/>
            <w:tcBorders>
              <w:top w:val="single" w:sz="8" w:space="0" w:color="auto"/>
              <w:left w:val="nil"/>
              <w:bottom w:val="single" w:sz="4" w:space="0" w:color="auto"/>
              <w:right w:val="single" w:sz="4" w:space="0" w:color="auto"/>
            </w:tcBorders>
            <w:vAlign w:val="center"/>
            <w:hideMark/>
          </w:tcPr>
          <w:p w14:paraId="7A11B6F5"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852" w:type="dxa"/>
            <w:tcBorders>
              <w:top w:val="single" w:sz="8" w:space="0" w:color="auto"/>
              <w:left w:val="nil"/>
              <w:bottom w:val="single" w:sz="4" w:space="0" w:color="auto"/>
              <w:right w:val="single" w:sz="4" w:space="0" w:color="auto"/>
            </w:tcBorders>
            <w:vAlign w:val="center"/>
            <w:hideMark/>
          </w:tcPr>
          <w:p w14:paraId="14A4D476"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869" w:type="dxa"/>
            <w:tcBorders>
              <w:top w:val="single" w:sz="8" w:space="0" w:color="auto"/>
              <w:left w:val="nil"/>
              <w:bottom w:val="single" w:sz="4" w:space="0" w:color="auto"/>
              <w:right w:val="single" w:sz="4" w:space="0" w:color="auto"/>
            </w:tcBorders>
            <w:vAlign w:val="center"/>
            <w:hideMark/>
          </w:tcPr>
          <w:p w14:paraId="1277654C"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1066" w:type="dxa"/>
            <w:tcBorders>
              <w:top w:val="single" w:sz="8" w:space="0" w:color="auto"/>
              <w:left w:val="nil"/>
              <w:bottom w:val="single" w:sz="4" w:space="0" w:color="auto"/>
              <w:right w:val="single" w:sz="4" w:space="0" w:color="auto"/>
            </w:tcBorders>
            <w:vAlign w:val="center"/>
            <w:hideMark/>
          </w:tcPr>
          <w:p w14:paraId="0975D174"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1081" w:type="dxa"/>
            <w:tcBorders>
              <w:top w:val="single" w:sz="8" w:space="0" w:color="auto"/>
              <w:left w:val="nil"/>
              <w:bottom w:val="single" w:sz="4" w:space="0" w:color="auto"/>
              <w:right w:val="single" w:sz="8" w:space="0" w:color="auto"/>
            </w:tcBorders>
            <w:vAlign w:val="center"/>
            <w:hideMark/>
          </w:tcPr>
          <w:p w14:paraId="07F11581"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r>
    </w:tbl>
    <w:p w14:paraId="18307D61" w14:textId="77777777" w:rsidR="0023213C" w:rsidRPr="0023213C" w:rsidRDefault="0023213C" w:rsidP="0023213C">
      <w:pPr>
        <w:spacing w:after="0" w:line="240" w:lineRule="auto"/>
        <w:jc w:val="both"/>
        <w:rPr>
          <w:rFonts w:ascii="Times New Roman" w:eastAsia="Calibri" w:hAnsi="Times New Roman" w:cs="Times New Roman"/>
          <w:b/>
          <w:sz w:val="28"/>
          <w:szCs w:val="28"/>
        </w:rPr>
      </w:pPr>
    </w:p>
    <w:p w14:paraId="1746ABC9"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Times New Roman"/>
          <w:color w:val="000000"/>
          <w:sz w:val="28"/>
          <w:u w:val="single"/>
          <w:lang w:eastAsia="bg-BG"/>
        </w:rPr>
      </w:pPr>
      <w:bookmarkStart w:id="74" w:name="_Toc127285404"/>
      <w:bookmarkStart w:id="75" w:name="_Toc127370285"/>
      <w:r w:rsidRPr="0023213C">
        <w:rPr>
          <w:rFonts w:ascii="Times New Roman" w:eastAsia="Calibri" w:hAnsi="Times New Roman" w:cs="Times New Roman"/>
          <w:color w:val="000000"/>
          <w:sz w:val="28"/>
          <w:u w:val="single"/>
          <w:lang w:eastAsia="bg-BG"/>
        </w:rPr>
        <w:t>6.1. Срочност на разследването:</w:t>
      </w:r>
      <w:bookmarkEnd w:id="74"/>
      <w:bookmarkEnd w:id="75"/>
    </w:p>
    <w:p w14:paraId="0D3904AE" w14:textId="77777777" w:rsidR="0023213C" w:rsidRPr="0023213C" w:rsidRDefault="0023213C" w:rsidP="00FC76F9">
      <w:pPr>
        <w:ind w:firstLine="708"/>
        <w:jc w:val="both"/>
        <w:rPr>
          <w:rFonts w:ascii="Times New Roman" w:eastAsia="Calibri" w:hAnsi="Times New Roman" w:cs="Times New Roman"/>
          <w:sz w:val="28"/>
          <w:szCs w:val="28"/>
          <w:lang w:eastAsia="bg-BG"/>
        </w:rPr>
      </w:pPr>
      <w:r w:rsidRPr="0023213C">
        <w:rPr>
          <w:rFonts w:ascii="Times New Roman" w:eastAsia="Calibri" w:hAnsi="Times New Roman" w:cs="Times New Roman"/>
          <w:sz w:val="28"/>
          <w:szCs w:val="28"/>
          <w:lang w:eastAsia="bg-BG"/>
        </w:rPr>
        <w:t>През отчетния период са наблюдавани общо 61 бр.ДП за данъчни престъпления,като от тях 24 бр.ДП са новообразувани.Новообразуваните 24 ДП представляват  39.34% от общо наблюдаваните ДП.</w:t>
      </w:r>
    </w:p>
    <w:p w14:paraId="5F7545B3"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Разследването е приключило по 24 бр. ДП/ при 13 бр. ДП за 2021 г.и при 11 ДП за 2020 г.  /, като от тях няма приключени извън законовите срокове, както е било и през предходните години.</w:t>
      </w:r>
    </w:p>
    <w:p w14:paraId="30FFD09A" w14:textId="399FCC0B"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С неприключено разследване в края на отчетния период са останали 33 бр.ДП/ при  25 бр.ДП за 2021г. и при 22 Д</w:t>
      </w:r>
      <w:r w:rsidR="00715C50">
        <w:rPr>
          <w:rFonts w:ascii="Times New Roman" w:eastAsia="Calibri" w:hAnsi="Times New Roman" w:cs="Times New Roman"/>
          <w:sz w:val="28"/>
          <w:szCs w:val="28"/>
        </w:rPr>
        <w:t>П</w:t>
      </w:r>
      <w:r w:rsidRPr="0023213C">
        <w:rPr>
          <w:rFonts w:ascii="Times New Roman" w:eastAsia="Calibri" w:hAnsi="Times New Roman" w:cs="Times New Roman"/>
          <w:sz w:val="28"/>
          <w:szCs w:val="28"/>
        </w:rPr>
        <w:t xml:space="preserve"> за 2020 г.  /, като няма такива, които са извън сроковете за разследване, както и през предходните две години.</w:t>
      </w:r>
    </w:p>
    <w:p w14:paraId="60F25EFD"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През отчетната 2022 г.  решени общо 26 бр. ДП, като са прекратени 17 ДП за данъчни престъпления. Спрени  е 1 бр. ДП. Внесени в съда са 8 бр.ДП срещу 8 лица.</w:t>
      </w:r>
    </w:p>
    <w:p w14:paraId="4D32EED8" w14:textId="77777777" w:rsidR="0023213C" w:rsidRPr="0023213C" w:rsidRDefault="0023213C" w:rsidP="0023213C">
      <w:pPr>
        <w:spacing w:after="0" w:line="240" w:lineRule="auto"/>
        <w:jc w:val="both"/>
        <w:rPr>
          <w:rFonts w:ascii="Times New Roman" w:eastAsia="Calibri" w:hAnsi="Times New Roman" w:cs="Times New Roman"/>
          <w:b/>
          <w:i/>
          <w:sz w:val="28"/>
          <w:szCs w:val="28"/>
        </w:rPr>
      </w:pPr>
      <w:r w:rsidRPr="0023213C">
        <w:rPr>
          <w:rFonts w:ascii="Times New Roman" w:eastAsia="Calibri" w:hAnsi="Times New Roman" w:cs="Times New Roman"/>
          <w:b/>
          <w:i/>
          <w:sz w:val="28"/>
          <w:szCs w:val="28"/>
        </w:rPr>
        <w:t xml:space="preserve"> </w:t>
      </w:r>
    </w:p>
    <w:p w14:paraId="3601B3A1" w14:textId="77777777" w:rsidR="0023213C" w:rsidRPr="0023213C" w:rsidRDefault="0023213C" w:rsidP="0023213C">
      <w:pPr>
        <w:spacing w:after="0" w:line="240" w:lineRule="auto"/>
        <w:jc w:val="both"/>
        <w:rPr>
          <w:rFonts w:ascii="Times New Roman" w:eastAsia="Calibri" w:hAnsi="Times New Roman" w:cs="Times New Roman"/>
          <w:b/>
          <w:i/>
          <w:sz w:val="28"/>
          <w:szCs w:val="28"/>
        </w:rPr>
      </w:pPr>
    </w:p>
    <w:p w14:paraId="7A54F530"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color w:val="000000"/>
          <w:sz w:val="28"/>
          <w:szCs w:val="28"/>
          <w:u w:val="single"/>
          <w:lang w:eastAsia="bg-BG"/>
        </w:rPr>
      </w:pPr>
      <w:bookmarkStart w:id="76" w:name="_Toc127285405"/>
      <w:bookmarkStart w:id="77" w:name="_Toc127370286"/>
      <w:r w:rsidRPr="0023213C">
        <w:rPr>
          <w:rFonts w:ascii="Times New Roman" w:eastAsia="Calibri" w:hAnsi="Times New Roman" w:cs="Times New Roman"/>
          <w:b/>
          <w:color w:val="000000"/>
          <w:sz w:val="28"/>
          <w:u w:val="single"/>
          <w:lang w:eastAsia="bg-BG"/>
        </w:rPr>
        <w:t>6.2. Резултатност:</w:t>
      </w:r>
      <w:bookmarkEnd w:id="76"/>
      <w:bookmarkEnd w:id="77"/>
    </w:p>
    <w:p w14:paraId="284F1A24"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решени ДП спрямо наблюдаваните  – 42.62%/при 37.5% за 2021 год. и  при  33.33% за 2020 г. /; </w:t>
      </w:r>
    </w:p>
    <w:p w14:paraId="7DAA9989"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внесени в съда прокурорски актове спрямо решените –30.76%/ при 6.66%за 2021 год. и при 0% за 2020 г. /.</w:t>
      </w:r>
    </w:p>
    <w:p w14:paraId="14D12165"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върнати от съда ДП – няма/0%/, за 2021 г./0%/  и 2020 год./0%/ също няма.</w:t>
      </w:r>
    </w:p>
    <w:p w14:paraId="0A25B209" w14:textId="77777777" w:rsidR="00FC76F9"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осъдени лица спрямо лицата по внесените в съда прокурорски актове –за периода са осъдени с влязъл с сила съдебен акт 6 лица или 75% / в сравнение за предходни периоди на </w:t>
      </w:r>
      <w:r w:rsidR="00FC76F9">
        <w:rPr>
          <w:rFonts w:ascii="Times New Roman" w:eastAsia="Calibri" w:hAnsi="Times New Roman" w:cs="Times New Roman"/>
          <w:sz w:val="28"/>
          <w:szCs w:val="28"/>
        </w:rPr>
        <w:t>2021 г. и 2020 г., когато няма/;</w:t>
      </w:r>
    </w:p>
    <w:p w14:paraId="756F48AA" w14:textId="20677F8B" w:rsidR="0023213C" w:rsidRPr="0023213C" w:rsidRDefault="00FC76F9" w:rsidP="002321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3213C" w:rsidRPr="0023213C">
        <w:rPr>
          <w:rFonts w:ascii="Times New Roman" w:eastAsia="Calibri" w:hAnsi="Times New Roman" w:cs="Times New Roman"/>
          <w:sz w:val="28"/>
          <w:szCs w:val="28"/>
        </w:rPr>
        <w:t>За периода   е оправдано 1 лице с влязъл в сила съдебен акт/ няма оправдани лица за 2021 год. и за 2020 г.</w:t>
      </w:r>
    </w:p>
    <w:p w14:paraId="4943A435"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color w:val="000000"/>
          <w:sz w:val="28"/>
          <w:u w:val="single"/>
          <w:lang w:eastAsia="bg-BG"/>
        </w:rPr>
        <w:t>6.3. Видове наказания на осъдените лица</w:t>
      </w:r>
      <w:r w:rsidRPr="0023213C">
        <w:rPr>
          <w:rFonts w:ascii="Times New Roman" w:eastAsia="Calibri" w:hAnsi="Times New Roman" w:cs="Times New Roman"/>
          <w:color w:val="000000"/>
          <w:sz w:val="28"/>
          <w:lang w:eastAsia="bg-BG"/>
        </w:rPr>
        <w:t xml:space="preserve"> – относителен дял спрямо общия брой определени от съда 6 бр.наказания:</w:t>
      </w:r>
    </w:p>
    <w:p w14:paraId="42FF683C" w14:textId="77777777" w:rsidR="0023213C" w:rsidRPr="0023213C" w:rsidRDefault="0023213C" w:rsidP="0023213C">
      <w:pPr>
        <w:numPr>
          <w:ilvl w:val="0"/>
          <w:numId w:val="9"/>
        </w:numPr>
        <w:spacing w:after="0" w:line="240" w:lineRule="auto"/>
        <w:ind w:left="0"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„лишаване от свобода” с ефективно изтърпяване на наказанието – 0.0%/ няма</w:t>
      </w:r>
    </w:p>
    <w:p w14:paraId="5B4E9D9D" w14:textId="77777777" w:rsidR="0023213C" w:rsidRPr="0023213C" w:rsidRDefault="0023213C" w:rsidP="0023213C">
      <w:pPr>
        <w:numPr>
          <w:ilvl w:val="0"/>
          <w:numId w:val="9"/>
        </w:numPr>
        <w:spacing w:after="0" w:line="240" w:lineRule="auto"/>
        <w:ind w:left="0"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lastRenderedPageBreak/>
        <w:t xml:space="preserve">„лишаване от свобода” с отлагане на изтърпяването за определен от съда изпитателен срок –5 лица 83.3%; </w:t>
      </w:r>
    </w:p>
    <w:p w14:paraId="72016560" w14:textId="77777777" w:rsidR="0023213C" w:rsidRPr="0023213C" w:rsidRDefault="0023213C" w:rsidP="0023213C">
      <w:pPr>
        <w:numPr>
          <w:ilvl w:val="0"/>
          <w:numId w:val="9"/>
        </w:numPr>
        <w:spacing w:after="0" w:line="240" w:lineRule="auto"/>
        <w:ind w:left="0"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пробация – няма – 0.0 %; </w:t>
      </w:r>
    </w:p>
    <w:p w14:paraId="3A9B0FCF" w14:textId="77777777" w:rsidR="0023213C" w:rsidRPr="0023213C" w:rsidRDefault="0023213C" w:rsidP="0023213C">
      <w:pPr>
        <w:numPr>
          <w:ilvl w:val="0"/>
          <w:numId w:val="9"/>
        </w:numPr>
        <w:spacing w:after="0" w:line="240" w:lineRule="auto"/>
        <w:ind w:left="0"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глоба  –  няма -0.0 %  ;</w:t>
      </w:r>
    </w:p>
    <w:p w14:paraId="69BA3C75" w14:textId="77777777" w:rsidR="0023213C" w:rsidRPr="0023213C" w:rsidRDefault="0023213C" w:rsidP="0023213C">
      <w:pPr>
        <w:numPr>
          <w:ilvl w:val="0"/>
          <w:numId w:val="9"/>
        </w:numPr>
        <w:spacing w:after="0" w:line="240" w:lineRule="auto"/>
        <w:ind w:left="0"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други наказания – 16.7%.</w:t>
      </w:r>
    </w:p>
    <w:p w14:paraId="28AE408D"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При така представените стойности и съотношения следва да се отбележи, че е налице значително увеличение на броя на наблюдаваните и новообразуваните дела за данъчни престъпления през отчетната 2022 год. спрямо  2021 год.  и спрямо 2020 г.В съда са внесени 8 бр. прокурорски акт срещу 8 лица.</w:t>
      </w:r>
    </w:p>
    <w:p w14:paraId="3FEF3837"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lang w:eastAsia="bg-BG"/>
        </w:rPr>
      </w:pPr>
    </w:p>
    <w:p w14:paraId="574C6B66"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color w:val="000000"/>
          <w:sz w:val="28"/>
          <w:u w:val="single"/>
          <w:lang w:eastAsia="bg-BG"/>
        </w:rPr>
      </w:pPr>
      <w:bookmarkStart w:id="78" w:name="_Toc127370287"/>
      <w:r w:rsidRPr="0023213C">
        <w:rPr>
          <w:rFonts w:ascii="Times New Roman" w:eastAsia="Calibri" w:hAnsi="Times New Roman" w:cs="Arial"/>
          <w:b/>
          <w:color w:val="000000"/>
          <w:sz w:val="28"/>
          <w:u w:val="single"/>
          <w:lang w:eastAsia="bg-BG"/>
        </w:rPr>
        <w:t>7. Дела, образувани за престъпления, свързани с изготвяне, прекарване в обръщение и използване на неистински и преправени парични знаци и банкови карти. Решения на прокурора и съда по тях.</w:t>
      </w:r>
      <w:bookmarkEnd w:id="78"/>
    </w:p>
    <w:p w14:paraId="29C10498" w14:textId="77777777" w:rsidR="0023213C" w:rsidRPr="0023213C" w:rsidRDefault="0023213C" w:rsidP="0023213C">
      <w:pPr>
        <w:spacing w:after="0" w:line="240" w:lineRule="auto"/>
        <w:jc w:val="both"/>
        <w:rPr>
          <w:rFonts w:ascii="Times New Roman" w:eastAsia="Calibri" w:hAnsi="Times New Roman" w:cs="Times New Roman"/>
          <w:b/>
          <w:smallCaps/>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62"/>
        <w:gridCol w:w="940"/>
        <w:gridCol w:w="1133"/>
        <w:gridCol w:w="991"/>
        <w:gridCol w:w="797"/>
        <w:gridCol w:w="1162"/>
        <w:gridCol w:w="1067"/>
        <w:gridCol w:w="799"/>
        <w:gridCol w:w="991"/>
        <w:gridCol w:w="1078"/>
      </w:tblGrid>
      <w:tr w:rsidR="0023213C" w:rsidRPr="0023213C" w14:paraId="62E7C9C2" w14:textId="77777777" w:rsidTr="0023213C">
        <w:trPr>
          <w:trHeight w:val="1365"/>
        </w:trPr>
        <w:tc>
          <w:tcPr>
            <w:tcW w:w="762" w:type="dxa"/>
            <w:tcBorders>
              <w:top w:val="single" w:sz="4" w:space="0" w:color="auto"/>
              <w:left w:val="single" w:sz="4" w:space="0" w:color="auto"/>
              <w:bottom w:val="single" w:sz="4" w:space="0" w:color="auto"/>
              <w:right w:val="single" w:sz="4" w:space="0" w:color="auto"/>
            </w:tcBorders>
            <w:hideMark/>
          </w:tcPr>
          <w:p w14:paraId="6CD9FB35"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Год.</w:t>
            </w:r>
          </w:p>
        </w:tc>
        <w:tc>
          <w:tcPr>
            <w:tcW w:w="940" w:type="dxa"/>
            <w:tcBorders>
              <w:top w:val="single" w:sz="4" w:space="0" w:color="auto"/>
              <w:left w:val="single" w:sz="4" w:space="0" w:color="auto"/>
              <w:bottom w:val="single" w:sz="4" w:space="0" w:color="auto"/>
              <w:right w:val="single" w:sz="4" w:space="0" w:color="auto"/>
            </w:tcBorders>
            <w:hideMark/>
          </w:tcPr>
          <w:p w14:paraId="0186FEBE" w14:textId="77777777" w:rsidR="0023213C" w:rsidRPr="0023213C" w:rsidRDefault="0023213C" w:rsidP="0023213C">
            <w:pPr>
              <w:spacing w:after="0"/>
              <w:rPr>
                <w:rFonts w:ascii="Times New Roman" w:eastAsia="Calibri" w:hAnsi="Times New Roman" w:cs="Times New Roman"/>
                <w:b/>
                <w:bCs/>
                <w:color w:val="000000"/>
                <w:sz w:val="24"/>
                <w:szCs w:val="24"/>
              </w:rPr>
            </w:pPr>
            <w:r w:rsidRPr="0023213C">
              <w:rPr>
                <w:rFonts w:ascii="Times New Roman" w:eastAsia="Calibri" w:hAnsi="Times New Roman" w:cs="Times New Roman"/>
                <w:b/>
                <w:bCs/>
                <w:color w:val="000000"/>
                <w:sz w:val="24"/>
                <w:szCs w:val="24"/>
              </w:rPr>
              <w:t>Наблю-давани ДП</w:t>
            </w:r>
          </w:p>
        </w:tc>
        <w:tc>
          <w:tcPr>
            <w:tcW w:w="1133" w:type="dxa"/>
            <w:tcBorders>
              <w:top w:val="single" w:sz="4" w:space="0" w:color="auto"/>
              <w:left w:val="single" w:sz="4" w:space="0" w:color="auto"/>
              <w:bottom w:val="single" w:sz="4" w:space="0" w:color="auto"/>
              <w:right w:val="single" w:sz="4" w:space="0" w:color="auto"/>
            </w:tcBorders>
            <w:hideMark/>
          </w:tcPr>
          <w:p w14:paraId="32E77473"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Новооб-</w:t>
            </w:r>
          </w:p>
          <w:p w14:paraId="746B26CF"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разувани ДП</w:t>
            </w:r>
          </w:p>
        </w:tc>
        <w:tc>
          <w:tcPr>
            <w:tcW w:w="991" w:type="dxa"/>
            <w:tcBorders>
              <w:top w:val="single" w:sz="4" w:space="0" w:color="auto"/>
              <w:left w:val="single" w:sz="4" w:space="0" w:color="auto"/>
              <w:bottom w:val="single" w:sz="4" w:space="0" w:color="auto"/>
              <w:right w:val="single" w:sz="4" w:space="0" w:color="auto"/>
            </w:tcBorders>
            <w:hideMark/>
          </w:tcPr>
          <w:p w14:paraId="4DBCC008"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Приключени разследвания</w:t>
            </w:r>
          </w:p>
        </w:tc>
        <w:tc>
          <w:tcPr>
            <w:tcW w:w="797" w:type="dxa"/>
            <w:tcBorders>
              <w:top w:val="single" w:sz="4" w:space="0" w:color="auto"/>
              <w:left w:val="single" w:sz="4" w:space="0" w:color="auto"/>
              <w:bottom w:val="single" w:sz="4" w:space="0" w:color="auto"/>
              <w:right w:val="single" w:sz="4" w:space="0" w:color="auto"/>
            </w:tcBorders>
            <w:hideMark/>
          </w:tcPr>
          <w:p w14:paraId="5D1FD9A2"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Реше-ни ДП</w:t>
            </w:r>
          </w:p>
        </w:tc>
        <w:tc>
          <w:tcPr>
            <w:tcW w:w="1162" w:type="dxa"/>
            <w:tcBorders>
              <w:top w:val="single" w:sz="4" w:space="0" w:color="auto"/>
              <w:left w:val="single" w:sz="4" w:space="0" w:color="auto"/>
              <w:bottom w:val="single" w:sz="4" w:space="0" w:color="auto"/>
              <w:right w:val="single" w:sz="4" w:space="0" w:color="auto"/>
            </w:tcBorders>
            <w:hideMark/>
          </w:tcPr>
          <w:p w14:paraId="29ECF6D1"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Проку-рорски актове, внесени в съда</w:t>
            </w:r>
          </w:p>
        </w:tc>
        <w:tc>
          <w:tcPr>
            <w:tcW w:w="1067" w:type="dxa"/>
            <w:tcBorders>
              <w:top w:val="single" w:sz="4" w:space="0" w:color="auto"/>
              <w:left w:val="single" w:sz="4" w:space="0" w:color="auto"/>
              <w:bottom w:val="single" w:sz="4" w:space="0" w:color="auto"/>
              <w:right w:val="single" w:sz="4" w:space="0" w:color="auto"/>
            </w:tcBorders>
            <w:hideMark/>
          </w:tcPr>
          <w:p w14:paraId="02C57709"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Преда-дени на съд лица</w:t>
            </w:r>
          </w:p>
        </w:tc>
        <w:tc>
          <w:tcPr>
            <w:tcW w:w="799" w:type="dxa"/>
            <w:tcBorders>
              <w:top w:val="single" w:sz="4" w:space="0" w:color="auto"/>
              <w:left w:val="single" w:sz="4" w:space="0" w:color="auto"/>
              <w:bottom w:val="single" w:sz="4" w:space="0" w:color="auto"/>
              <w:right w:val="single" w:sz="4" w:space="0" w:color="auto"/>
            </w:tcBorders>
            <w:hideMark/>
          </w:tcPr>
          <w:p w14:paraId="6C745634"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Върнати от съда ДП</w:t>
            </w:r>
          </w:p>
        </w:tc>
        <w:tc>
          <w:tcPr>
            <w:tcW w:w="991" w:type="dxa"/>
            <w:tcBorders>
              <w:top w:val="single" w:sz="4" w:space="0" w:color="auto"/>
              <w:left w:val="single" w:sz="4" w:space="0" w:color="auto"/>
              <w:bottom w:val="single" w:sz="4" w:space="0" w:color="auto"/>
              <w:right w:val="single" w:sz="4" w:space="0" w:color="auto"/>
            </w:tcBorders>
            <w:hideMark/>
          </w:tcPr>
          <w:p w14:paraId="461C031A"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 xml:space="preserve">Осъде-ни лица с влязъл в сила съд.акт </w:t>
            </w:r>
          </w:p>
        </w:tc>
        <w:tc>
          <w:tcPr>
            <w:tcW w:w="1078" w:type="dxa"/>
            <w:tcBorders>
              <w:top w:val="single" w:sz="4" w:space="0" w:color="auto"/>
              <w:left w:val="single" w:sz="4" w:space="0" w:color="auto"/>
              <w:bottom w:val="single" w:sz="4" w:space="0" w:color="auto"/>
              <w:right w:val="single" w:sz="4" w:space="0" w:color="auto"/>
            </w:tcBorders>
            <w:hideMark/>
          </w:tcPr>
          <w:p w14:paraId="3BAFD0BD"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Оправд. лица с влязъл в сила съд. акт</w:t>
            </w:r>
          </w:p>
        </w:tc>
      </w:tr>
      <w:tr w:rsidR="0023213C" w:rsidRPr="0023213C" w14:paraId="38AF66C9" w14:textId="77777777" w:rsidTr="0023213C">
        <w:trPr>
          <w:trHeight w:val="330"/>
        </w:trPr>
        <w:tc>
          <w:tcPr>
            <w:tcW w:w="76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1341547"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2022</w:t>
            </w:r>
          </w:p>
        </w:tc>
        <w:tc>
          <w:tcPr>
            <w:tcW w:w="9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6214405" w14:textId="77777777" w:rsidR="0023213C" w:rsidRPr="0023213C" w:rsidRDefault="0023213C" w:rsidP="0023213C">
            <w:pPr>
              <w:spacing w:after="0"/>
              <w:jc w:val="both"/>
              <w:rPr>
                <w:rFonts w:ascii="Times New Roman" w:eastAsia="Calibri" w:hAnsi="Times New Roman" w:cs="Times New Roman"/>
                <w:b/>
                <w:bCs/>
                <w:color w:val="000000"/>
                <w:sz w:val="24"/>
                <w:szCs w:val="24"/>
              </w:rPr>
            </w:pPr>
            <w:r w:rsidRPr="0023213C">
              <w:rPr>
                <w:rFonts w:ascii="Times New Roman" w:eastAsia="Calibri" w:hAnsi="Times New Roman" w:cs="Times New Roman"/>
                <w:b/>
                <w:bCs/>
                <w:color w:val="000000"/>
                <w:sz w:val="24"/>
                <w:szCs w:val="24"/>
              </w:rPr>
              <w:t>42</w:t>
            </w:r>
          </w:p>
        </w:tc>
        <w:tc>
          <w:tcPr>
            <w:tcW w:w="113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53B5E23"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1975B55"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21</w:t>
            </w:r>
          </w:p>
        </w:tc>
        <w:tc>
          <w:tcPr>
            <w:tcW w:w="79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6976DAC"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22</w:t>
            </w:r>
          </w:p>
        </w:tc>
        <w:tc>
          <w:tcPr>
            <w:tcW w:w="116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A573641"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w:t>
            </w:r>
          </w:p>
        </w:tc>
        <w:tc>
          <w:tcPr>
            <w:tcW w:w="10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EC927A1"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w:t>
            </w:r>
          </w:p>
        </w:tc>
        <w:tc>
          <w:tcPr>
            <w:tcW w:w="79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6021CAD"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99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A12D820"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w:t>
            </w:r>
          </w:p>
        </w:tc>
        <w:tc>
          <w:tcPr>
            <w:tcW w:w="10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FFA1974"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r>
      <w:tr w:rsidR="0023213C" w:rsidRPr="0023213C" w14:paraId="389D06E4" w14:textId="77777777" w:rsidTr="0023213C">
        <w:trPr>
          <w:trHeight w:val="330"/>
        </w:trPr>
        <w:tc>
          <w:tcPr>
            <w:tcW w:w="762" w:type="dxa"/>
            <w:tcBorders>
              <w:top w:val="single" w:sz="4" w:space="0" w:color="auto"/>
              <w:left w:val="single" w:sz="4" w:space="0" w:color="auto"/>
              <w:bottom w:val="single" w:sz="4" w:space="0" w:color="auto"/>
              <w:right w:val="single" w:sz="4" w:space="0" w:color="auto"/>
            </w:tcBorders>
            <w:vAlign w:val="center"/>
            <w:hideMark/>
          </w:tcPr>
          <w:p w14:paraId="3C06F95F"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2021</w:t>
            </w:r>
          </w:p>
        </w:tc>
        <w:tc>
          <w:tcPr>
            <w:tcW w:w="940" w:type="dxa"/>
            <w:tcBorders>
              <w:top w:val="single" w:sz="4" w:space="0" w:color="auto"/>
              <w:left w:val="single" w:sz="4" w:space="0" w:color="auto"/>
              <w:bottom w:val="single" w:sz="4" w:space="0" w:color="auto"/>
              <w:right w:val="single" w:sz="4" w:space="0" w:color="auto"/>
            </w:tcBorders>
            <w:vAlign w:val="center"/>
            <w:hideMark/>
          </w:tcPr>
          <w:p w14:paraId="72998EDF" w14:textId="77777777" w:rsidR="0023213C" w:rsidRPr="0023213C" w:rsidRDefault="0023213C" w:rsidP="0023213C">
            <w:pPr>
              <w:spacing w:after="0"/>
              <w:jc w:val="both"/>
              <w:rPr>
                <w:rFonts w:ascii="Times New Roman" w:eastAsia="Calibri" w:hAnsi="Times New Roman" w:cs="Times New Roman"/>
                <w:b/>
                <w:bCs/>
                <w:color w:val="000000"/>
                <w:sz w:val="24"/>
                <w:szCs w:val="24"/>
              </w:rPr>
            </w:pPr>
            <w:r w:rsidRPr="0023213C">
              <w:rPr>
                <w:rFonts w:ascii="Times New Roman" w:eastAsia="Calibri" w:hAnsi="Times New Roman" w:cs="Times New Roman"/>
                <w:b/>
                <w:bCs/>
                <w:color w:val="000000"/>
                <w:sz w:val="24"/>
                <w:szCs w:val="24"/>
              </w:rPr>
              <w:t>42</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80AE74B"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23</w:t>
            </w:r>
          </w:p>
        </w:tc>
        <w:tc>
          <w:tcPr>
            <w:tcW w:w="991" w:type="dxa"/>
            <w:tcBorders>
              <w:top w:val="single" w:sz="4" w:space="0" w:color="auto"/>
              <w:left w:val="single" w:sz="4" w:space="0" w:color="auto"/>
              <w:bottom w:val="single" w:sz="4" w:space="0" w:color="auto"/>
              <w:right w:val="single" w:sz="4" w:space="0" w:color="auto"/>
            </w:tcBorders>
            <w:vAlign w:val="center"/>
            <w:hideMark/>
          </w:tcPr>
          <w:p w14:paraId="2557D97A"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24</w:t>
            </w:r>
          </w:p>
        </w:tc>
        <w:tc>
          <w:tcPr>
            <w:tcW w:w="797" w:type="dxa"/>
            <w:tcBorders>
              <w:top w:val="single" w:sz="4" w:space="0" w:color="auto"/>
              <w:left w:val="single" w:sz="4" w:space="0" w:color="auto"/>
              <w:bottom w:val="single" w:sz="4" w:space="0" w:color="auto"/>
              <w:right w:val="single" w:sz="4" w:space="0" w:color="auto"/>
            </w:tcBorders>
            <w:vAlign w:val="center"/>
            <w:hideMark/>
          </w:tcPr>
          <w:p w14:paraId="363EDDC2"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25</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4CE3D69"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5</w:t>
            </w:r>
          </w:p>
        </w:tc>
        <w:tc>
          <w:tcPr>
            <w:tcW w:w="1067" w:type="dxa"/>
            <w:tcBorders>
              <w:top w:val="single" w:sz="4" w:space="0" w:color="auto"/>
              <w:left w:val="single" w:sz="4" w:space="0" w:color="auto"/>
              <w:bottom w:val="single" w:sz="4" w:space="0" w:color="auto"/>
              <w:right w:val="single" w:sz="4" w:space="0" w:color="auto"/>
            </w:tcBorders>
            <w:vAlign w:val="center"/>
            <w:hideMark/>
          </w:tcPr>
          <w:p w14:paraId="1716A822"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5</w:t>
            </w:r>
          </w:p>
        </w:tc>
        <w:tc>
          <w:tcPr>
            <w:tcW w:w="799" w:type="dxa"/>
            <w:tcBorders>
              <w:top w:val="single" w:sz="4" w:space="0" w:color="auto"/>
              <w:left w:val="single" w:sz="4" w:space="0" w:color="auto"/>
              <w:bottom w:val="single" w:sz="4" w:space="0" w:color="auto"/>
              <w:right w:val="single" w:sz="4" w:space="0" w:color="auto"/>
            </w:tcBorders>
            <w:vAlign w:val="center"/>
            <w:hideMark/>
          </w:tcPr>
          <w:p w14:paraId="5B3CE2A9"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hideMark/>
          </w:tcPr>
          <w:p w14:paraId="49D06415"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7</w:t>
            </w:r>
          </w:p>
        </w:tc>
        <w:tc>
          <w:tcPr>
            <w:tcW w:w="1078" w:type="dxa"/>
            <w:tcBorders>
              <w:top w:val="single" w:sz="4" w:space="0" w:color="auto"/>
              <w:left w:val="single" w:sz="4" w:space="0" w:color="auto"/>
              <w:bottom w:val="single" w:sz="4" w:space="0" w:color="auto"/>
              <w:right w:val="single" w:sz="4" w:space="0" w:color="auto"/>
            </w:tcBorders>
            <w:vAlign w:val="center"/>
            <w:hideMark/>
          </w:tcPr>
          <w:p w14:paraId="5A9C48AD"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r>
      <w:tr w:rsidR="0023213C" w:rsidRPr="0023213C" w14:paraId="46E69C23" w14:textId="77777777" w:rsidTr="0023213C">
        <w:trPr>
          <w:trHeight w:val="330"/>
        </w:trPr>
        <w:tc>
          <w:tcPr>
            <w:tcW w:w="762" w:type="dxa"/>
            <w:tcBorders>
              <w:top w:val="single" w:sz="4" w:space="0" w:color="auto"/>
              <w:left w:val="single" w:sz="4" w:space="0" w:color="auto"/>
              <w:bottom w:val="single" w:sz="4" w:space="0" w:color="auto"/>
              <w:right w:val="single" w:sz="4" w:space="0" w:color="auto"/>
            </w:tcBorders>
            <w:vAlign w:val="center"/>
            <w:hideMark/>
          </w:tcPr>
          <w:p w14:paraId="7B1E1DD5"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2020</w:t>
            </w:r>
          </w:p>
        </w:tc>
        <w:tc>
          <w:tcPr>
            <w:tcW w:w="940" w:type="dxa"/>
            <w:tcBorders>
              <w:top w:val="single" w:sz="4" w:space="0" w:color="auto"/>
              <w:left w:val="single" w:sz="4" w:space="0" w:color="auto"/>
              <w:bottom w:val="single" w:sz="4" w:space="0" w:color="auto"/>
              <w:right w:val="single" w:sz="4" w:space="0" w:color="auto"/>
            </w:tcBorders>
            <w:vAlign w:val="center"/>
            <w:hideMark/>
          </w:tcPr>
          <w:p w14:paraId="4D6B7FBF" w14:textId="77777777" w:rsidR="0023213C" w:rsidRPr="0023213C" w:rsidRDefault="0023213C" w:rsidP="0023213C">
            <w:pPr>
              <w:spacing w:after="0"/>
              <w:jc w:val="both"/>
              <w:rPr>
                <w:rFonts w:ascii="Times New Roman" w:eastAsia="Calibri" w:hAnsi="Times New Roman" w:cs="Times New Roman"/>
                <w:b/>
                <w:bCs/>
                <w:color w:val="000000"/>
                <w:sz w:val="24"/>
                <w:szCs w:val="24"/>
              </w:rPr>
            </w:pPr>
            <w:r w:rsidRPr="0023213C">
              <w:rPr>
                <w:rFonts w:ascii="Times New Roman" w:eastAsia="Calibri" w:hAnsi="Times New Roman" w:cs="Times New Roman"/>
                <w:b/>
                <w:bCs/>
                <w:color w:val="000000"/>
                <w:sz w:val="24"/>
                <w:szCs w:val="24"/>
              </w:rPr>
              <w:t>40</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0109688"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17</w:t>
            </w:r>
          </w:p>
        </w:tc>
        <w:tc>
          <w:tcPr>
            <w:tcW w:w="991" w:type="dxa"/>
            <w:tcBorders>
              <w:top w:val="single" w:sz="4" w:space="0" w:color="auto"/>
              <w:left w:val="single" w:sz="4" w:space="0" w:color="auto"/>
              <w:bottom w:val="single" w:sz="4" w:space="0" w:color="auto"/>
              <w:right w:val="single" w:sz="4" w:space="0" w:color="auto"/>
            </w:tcBorders>
            <w:vAlign w:val="center"/>
            <w:hideMark/>
          </w:tcPr>
          <w:p w14:paraId="076BB893"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21</w:t>
            </w:r>
          </w:p>
        </w:tc>
        <w:tc>
          <w:tcPr>
            <w:tcW w:w="797" w:type="dxa"/>
            <w:tcBorders>
              <w:top w:val="single" w:sz="4" w:space="0" w:color="auto"/>
              <w:left w:val="single" w:sz="4" w:space="0" w:color="auto"/>
              <w:bottom w:val="single" w:sz="4" w:space="0" w:color="auto"/>
              <w:right w:val="single" w:sz="4" w:space="0" w:color="auto"/>
            </w:tcBorders>
            <w:vAlign w:val="center"/>
            <w:hideMark/>
          </w:tcPr>
          <w:p w14:paraId="4A9498B9"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22</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1B3C953"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6</w:t>
            </w:r>
          </w:p>
        </w:tc>
        <w:tc>
          <w:tcPr>
            <w:tcW w:w="1067" w:type="dxa"/>
            <w:tcBorders>
              <w:top w:val="single" w:sz="4" w:space="0" w:color="auto"/>
              <w:left w:val="single" w:sz="4" w:space="0" w:color="auto"/>
              <w:bottom w:val="single" w:sz="4" w:space="0" w:color="auto"/>
              <w:right w:val="single" w:sz="4" w:space="0" w:color="auto"/>
            </w:tcBorders>
            <w:vAlign w:val="center"/>
            <w:hideMark/>
          </w:tcPr>
          <w:p w14:paraId="293F4002"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7</w:t>
            </w:r>
          </w:p>
        </w:tc>
        <w:tc>
          <w:tcPr>
            <w:tcW w:w="799" w:type="dxa"/>
            <w:tcBorders>
              <w:top w:val="single" w:sz="4" w:space="0" w:color="auto"/>
              <w:left w:val="single" w:sz="4" w:space="0" w:color="auto"/>
              <w:bottom w:val="single" w:sz="4" w:space="0" w:color="auto"/>
              <w:right w:val="single" w:sz="4" w:space="0" w:color="auto"/>
            </w:tcBorders>
            <w:vAlign w:val="center"/>
            <w:hideMark/>
          </w:tcPr>
          <w:p w14:paraId="7A8751CF"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hideMark/>
          </w:tcPr>
          <w:p w14:paraId="345A5E2C"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6</w:t>
            </w:r>
          </w:p>
        </w:tc>
        <w:tc>
          <w:tcPr>
            <w:tcW w:w="1078" w:type="dxa"/>
            <w:tcBorders>
              <w:top w:val="single" w:sz="4" w:space="0" w:color="auto"/>
              <w:left w:val="single" w:sz="4" w:space="0" w:color="auto"/>
              <w:bottom w:val="single" w:sz="4" w:space="0" w:color="auto"/>
              <w:right w:val="single" w:sz="4" w:space="0" w:color="auto"/>
            </w:tcBorders>
            <w:vAlign w:val="center"/>
            <w:hideMark/>
          </w:tcPr>
          <w:p w14:paraId="09DB8E16"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r>
    </w:tbl>
    <w:p w14:paraId="1800C2C2" w14:textId="77777777" w:rsidR="0023213C" w:rsidRPr="0023213C" w:rsidRDefault="0023213C" w:rsidP="0023213C">
      <w:pPr>
        <w:spacing w:after="0" w:line="240" w:lineRule="auto"/>
        <w:jc w:val="both"/>
        <w:rPr>
          <w:rFonts w:ascii="Times New Roman" w:eastAsia="Calibri" w:hAnsi="Times New Roman" w:cs="Times New Roman"/>
          <w:sz w:val="28"/>
          <w:szCs w:val="28"/>
        </w:rPr>
      </w:pPr>
    </w:p>
    <w:p w14:paraId="703C505C" w14:textId="4A20881D"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През отчетния период на 2022 год., са наблюдавани общо 42 бр.ДП/в сравнение с 2021 год.когато също са били наблюдавани 42 бр. ДП  и 202</w:t>
      </w:r>
      <w:r w:rsidR="00C47DE8">
        <w:rPr>
          <w:rFonts w:ascii="Times New Roman" w:eastAsia="Calibri" w:hAnsi="Times New Roman" w:cs="Times New Roman"/>
          <w:sz w:val="28"/>
          <w:szCs w:val="28"/>
        </w:rPr>
        <w:t>0</w:t>
      </w:r>
      <w:r w:rsidRPr="0023213C">
        <w:rPr>
          <w:rFonts w:ascii="Times New Roman" w:eastAsia="Calibri" w:hAnsi="Times New Roman" w:cs="Times New Roman"/>
          <w:sz w:val="28"/>
          <w:szCs w:val="28"/>
        </w:rPr>
        <w:t xml:space="preserve"> също са наблюдавани по 40 бр.ДП/, свързани с изготвяне, прекарване в обръщение и използване на неистински и преправени парични знаци и банкови карти.</w:t>
      </w:r>
    </w:p>
    <w:p w14:paraId="54E3C8FD"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bCs/>
          <w:sz w:val="28"/>
          <w:szCs w:val="28"/>
        </w:rPr>
        <w:t xml:space="preserve">Новообразуваните 16 бр. ДП за този вид престъпления през отчетния период  съставляват 38.09 % от общо наблюдаваните 42 ДП/ при 54.76% от общо наблюдаваните 42 ДП за 2021 и  при </w:t>
      </w:r>
      <w:r w:rsidRPr="0023213C">
        <w:rPr>
          <w:rFonts w:ascii="Times New Roman" w:eastAsia="Calibri" w:hAnsi="Times New Roman" w:cs="Times New Roman"/>
          <w:sz w:val="28"/>
          <w:szCs w:val="28"/>
        </w:rPr>
        <w:t xml:space="preserve"> 47.22% за 2020 г./</w:t>
      </w:r>
    </w:p>
    <w:p w14:paraId="41A27D95"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Тенденцията е към устойчивост на наблюдаваните производства  за тези престъпни посегателства и намаляване при новообразуваните спрямо предходната година. Намален/ 3 бр./ е   броят на внесените в съда дела и осъдените лица. Положителна характеристика е липсата на върнати дела от съда и на оправдани лица.</w:t>
      </w:r>
    </w:p>
    <w:p w14:paraId="11B897A5"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Cs/>
          <w:color w:val="000000"/>
          <w:sz w:val="28"/>
          <w:szCs w:val="28"/>
          <w:u w:val="single"/>
          <w:lang w:eastAsia="bg-BG"/>
        </w:rPr>
      </w:pPr>
      <w:bookmarkStart w:id="79" w:name="_Toc127285407"/>
      <w:bookmarkStart w:id="80" w:name="_Toc127370288"/>
      <w:r w:rsidRPr="0023213C">
        <w:rPr>
          <w:rFonts w:ascii="Times New Roman" w:eastAsia="Calibri" w:hAnsi="Times New Roman" w:cs="Times New Roman"/>
          <w:color w:val="000000"/>
          <w:sz w:val="28"/>
          <w:u w:val="single"/>
          <w:lang w:eastAsia="bg-BG"/>
        </w:rPr>
        <w:t>7.1. Структурно разпределение на наблюдаваните ДП по състави на престъпленията:</w:t>
      </w:r>
      <w:bookmarkEnd w:id="79"/>
      <w:bookmarkEnd w:id="80"/>
    </w:p>
    <w:p w14:paraId="719E5899"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за прокарване в обръщение на подправени парични или други знаци или платежни инструменти /</w:t>
      </w:r>
      <w:r w:rsidRPr="0023213C">
        <w:rPr>
          <w:rFonts w:ascii="Times New Roman" w:eastAsia="Calibri" w:hAnsi="Times New Roman" w:cs="Times New Roman"/>
          <w:iCs/>
          <w:sz w:val="28"/>
          <w:szCs w:val="28"/>
        </w:rPr>
        <w:t xml:space="preserve">чл. 244 НК/ </w:t>
      </w:r>
      <w:r w:rsidRPr="0023213C">
        <w:rPr>
          <w:rFonts w:ascii="Times New Roman" w:eastAsia="Calibri" w:hAnsi="Times New Roman" w:cs="Times New Roman"/>
          <w:sz w:val="28"/>
          <w:szCs w:val="28"/>
        </w:rPr>
        <w:t>– 4 ДП, като 1 бр. е  новообразувано,3 ДП са решение през периода, от които 3 бр.ДП прекратени..</w:t>
      </w:r>
    </w:p>
    <w:p w14:paraId="62B9E69B"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за използване на платежни инструменти или данни от платежен инструмент без съгласието на титуляра</w:t>
      </w:r>
      <w:r w:rsidRPr="0023213C">
        <w:rPr>
          <w:rFonts w:ascii="Times New Roman" w:eastAsia="Calibri" w:hAnsi="Times New Roman" w:cs="Times New Roman"/>
          <w:iCs/>
          <w:sz w:val="28"/>
          <w:szCs w:val="28"/>
        </w:rPr>
        <w:t xml:space="preserve">/чл. 249 НК/ </w:t>
      </w:r>
      <w:r w:rsidRPr="0023213C">
        <w:rPr>
          <w:rFonts w:ascii="Times New Roman" w:eastAsia="Calibri" w:hAnsi="Times New Roman" w:cs="Times New Roman"/>
          <w:sz w:val="28"/>
          <w:szCs w:val="28"/>
        </w:rPr>
        <w:t xml:space="preserve">– 38 ДП, от тях 15  ДП са </w:t>
      </w:r>
      <w:r w:rsidRPr="0023213C">
        <w:rPr>
          <w:rFonts w:ascii="Times New Roman" w:eastAsia="Calibri" w:hAnsi="Times New Roman" w:cs="Times New Roman"/>
          <w:sz w:val="28"/>
          <w:szCs w:val="28"/>
        </w:rPr>
        <w:lastRenderedPageBreak/>
        <w:t>новообразувани; Приключени са 18 ДП, като в края на периода са останали неприключени 19 бр.ДП.</w:t>
      </w:r>
    </w:p>
    <w:p w14:paraId="10D0C06C"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През отчетния период от общо наблюдаваните преобладаващи са досъдебните производства за престъпления по чл. 249 от НК/38 бр.ДП/  –90.47% от наблюдаваните  и  за престъпления по чл. 244 от НК/ 4 бр.ДП/ – 9.53 %. </w:t>
      </w:r>
    </w:p>
    <w:p w14:paraId="3372A93B"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bookmarkStart w:id="81" w:name="_Toc127285408"/>
      <w:bookmarkStart w:id="82" w:name="_Toc127370289"/>
      <w:r w:rsidRPr="0023213C">
        <w:rPr>
          <w:rFonts w:ascii="Times New Roman" w:eastAsia="Calibri" w:hAnsi="Times New Roman" w:cs="Times New Roman"/>
          <w:color w:val="000000"/>
          <w:sz w:val="28"/>
          <w:u w:val="single"/>
          <w:lang w:eastAsia="bg-BG"/>
        </w:rPr>
        <w:t>7.2. Резултатност:</w:t>
      </w:r>
      <w:bookmarkEnd w:id="81"/>
      <w:bookmarkEnd w:id="82"/>
    </w:p>
    <w:p w14:paraId="50D30689"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Решени от прокурора са общо22 бр. ДП, представляващи 52.38% от общо наблюдаваните / при 25 бр.ДП за 2021г. и при 22 бр.ДП  за 2020г./ Налице е тенденция за устойчивост на този вид досъдебни производства, като са решени с две по малко в сравнение с предходната година ДП,  и е намален  броя на внесените дела в съда с прокурорски актове в сравнение с предходни периоди, съгласно отразеното в таблицата по- горе.Това се дължи на неразкриване авторството на деянието при извършеното разследване.</w:t>
      </w:r>
    </w:p>
    <w:p w14:paraId="4AAEA842"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И през отчетния период липсват досъдебни производства, приключени извън законовите срокове, както е било и в предходните години.</w:t>
      </w:r>
    </w:p>
    <w:p w14:paraId="2979DACC"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През  периода  са спрени  общо 8 бр. ДП/ при   12 бр.ДП за 2021 год. и при 6 бр.ДП за 2020 г. /, представляващи 19.04 % от общо наблюдаваните.По същите не са установени извършителите на престъплението.</w:t>
      </w:r>
    </w:p>
    <w:p w14:paraId="42CB9063"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Прекратени са общо 11 ДП, представляващи  26.19 % от наблюдаваните.</w:t>
      </w:r>
    </w:p>
    <w:p w14:paraId="166EFC5C"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В съда са внесени общо 2 прокурорски акта срещу 2 лица, като от тях с обвинителен акт 1 ДП и 1 бр. ДП  със  споразумения за периода. Внесените в съда прокурорски актове представляват 4.76 % от общо наблюдаваните ДП и  9.09% от решените.</w:t>
      </w:r>
    </w:p>
    <w:p w14:paraId="3AD41975"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С неприключено разследване в края на отчетния период  са 20 бр. ДП/ при 16 бр.ДП за 2021 г. и при 14 бр.ДП за 2020 г. и  17 бр. ДП /, които са в законов срок, както е било и в двата сравнителни периода.</w:t>
      </w:r>
    </w:p>
    <w:p w14:paraId="75E174A4"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В обобщение относно резултатността на прокурорската работа през отчетния период за 2022 г., сравнен с периодите 2021 г. и 2020 г., се налагат следните процентни съотношения:</w:t>
      </w:r>
    </w:p>
    <w:p w14:paraId="6544C14B"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  решени ДП спрямо наблюдаваните –  52.38 %  (59.52%,61.11%,); </w:t>
      </w:r>
    </w:p>
    <w:p w14:paraId="19B8550E"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  внесени в съда ДП спрямо решените – 9.09  %  (20%,27.27%,); </w:t>
      </w:r>
    </w:p>
    <w:p w14:paraId="4FA3C8C3"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 осъдени лица спрямо предадените на съд –100 % (140%,100%,). През периода са внесени в съда общо 2 прокурорски акта срещу 2 лица, като с влязла в сила присъда през периода са осъдени общо 2 лица.</w:t>
      </w:r>
    </w:p>
    <w:p w14:paraId="5959B00A"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bookmarkStart w:id="83" w:name="_Toc127285409"/>
      <w:bookmarkStart w:id="84" w:name="_Toc127370290"/>
      <w:r w:rsidRPr="0023213C">
        <w:rPr>
          <w:rFonts w:ascii="Times New Roman" w:eastAsia="Calibri" w:hAnsi="Times New Roman" w:cs="Times New Roman"/>
          <w:color w:val="000000"/>
          <w:sz w:val="28"/>
          <w:u w:val="single"/>
          <w:lang w:eastAsia="bg-BG"/>
        </w:rPr>
        <w:t>7.3. Видове наказания на осъдените лица</w:t>
      </w:r>
      <w:r w:rsidRPr="0023213C">
        <w:rPr>
          <w:rFonts w:ascii="Times New Roman" w:eastAsia="Calibri" w:hAnsi="Times New Roman" w:cs="Times New Roman"/>
          <w:color w:val="000000"/>
          <w:sz w:val="28"/>
          <w:lang w:eastAsia="bg-BG"/>
        </w:rPr>
        <w:t xml:space="preserve"> – относителен дял спрямо общия брой определени от съда наказания:</w:t>
      </w:r>
      <w:bookmarkEnd w:id="83"/>
      <w:bookmarkEnd w:id="84"/>
    </w:p>
    <w:p w14:paraId="60C3493F" w14:textId="77777777" w:rsidR="0023213C" w:rsidRPr="0023213C" w:rsidRDefault="0023213C" w:rsidP="0023213C">
      <w:pPr>
        <w:numPr>
          <w:ilvl w:val="0"/>
          <w:numId w:val="10"/>
        </w:numPr>
        <w:spacing w:after="0" w:line="240" w:lineRule="auto"/>
        <w:ind w:left="0"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„лишаване от свобода” с ефективно изтърпяване на наказанието -1 лице – 50 %; от осъдените</w:t>
      </w:r>
    </w:p>
    <w:p w14:paraId="3EDDD904" w14:textId="77777777" w:rsidR="0023213C" w:rsidRPr="0023213C" w:rsidRDefault="0023213C" w:rsidP="0023213C">
      <w:pPr>
        <w:numPr>
          <w:ilvl w:val="0"/>
          <w:numId w:val="10"/>
        </w:numPr>
        <w:spacing w:after="0" w:line="240" w:lineRule="auto"/>
        <w:ind w:left="0"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„лишаване от свобода” с отлагане на изтърпяването за определен от съда изпитателен срок – 1 лице-50 % от осъдените;  </w:t>
      </w:r>
    </w:p>
    <w:p w14:paraId="5FDB5434" w14:textId="77777777" w:rsidR="0023213C" w:rsidRPr="0023213C" w:rsidRDefault="0023213C" w:rsidP="0023213C">
      <w:pPr>
        <w:numPr>
          <w:ilvl w:val="0"/>
          <w:numId w:val="10"/>
        </w:numPr>
        <w:spacing w:after="0" w:line="240" w:lineRule="auto"/>
        <w:ind w:left="0"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пробация -0 лица - 0 %; </w:t>
      </w:r>
    </w:p>
    <w:p w14:paraId="7C3A425A" w14:textId="77777777" w:rsidR="0023213C" w:rsidRPr="0023213C" w:rsidRDefault="0023213C" w:rsidP="0023213C">
      <w:pPr>
        <w:numPr>
          <w:ilvl w:val="0"/>
          <w:numId w:val="10"/>
        </w:numPr>
        <w:spacing w:after="0" w:line="240" w:lineRule="auto"/>
        <w:ind w:left="0"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глоба -  1 лице –50 %;</w:t>
      </w:r>
    </w:p>
    <w:p w14:paraId="62107360" w14:textId="77777777" w:rsidR="0023213C" w:rsidRPr="0023213C" w:rsidRDefault="0023213C" w:rsidP="0023213C">
      <w:pPr>
        <w:numPr>
          <w:ilvl w:val="0"/>
          <w:numId w:val="10"/>
        </w:numPr>
        <w:spacing w:after="0" w:line="240" w:lineRule="auto"/>
        <w:ind w:left="0"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други наказания – 0 %. </w:t>
      </w:r>
    </w:p>
    <w:p w14:paraId="2C270D4E" w14:textId="77777777" w:rsidR="0023213C" w:rsidRPr="0023213C" w:rsidRDefault="0023213C" w:rsidP="0023213C">
      <w:pPr>
        <w:spacing w:after="0" w:line="240" w:lineRule="auto"/>
        <w:jc w:val="both"/>
        <w:rPr>
          <w:rFonts w:ascii="Times New Roman" w:eastAsia="Calibri" w:hAnsi="Times New Roman" w:cs="Times New Roman"/>
          <w:i/>
          <w:sz w:val="28"/>
          <w:szCs w:val="28"/>
        </w:rPr>
      </w:pPr>
    </w:p>
    <w:p w14:paraId="49F28490"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През 2022 г. се наблюдава устойчивост  на броя на наблюдаваните ДП и намаляване  на броя на новообразуваните дела от тази категория в сравнение с </w:t>
      </w:r>
      <w:r w:rsidRPr="0023213C">
        <w:rPr>
          <w:rFonts w:ascii="Times New Roman" w:eastAsia="Calibri" w:hAnsi="Times New Roman" w:cs="Times New Roman"/>
          <w:sz w:val="28"/>
          <w:szCs w:val="28"/>
        </w:rPr>
        <w:lastRenderedPageBreak/>
        <w:t>данните за предходната година. Следва да се отбележи, че разследването по тези дела не се отличава с фактическа и правна сложност, по-скоро основният проблем е разкриването и установяването  на извършителите на тези  престъпления.</w:t>
      </w:r>
    </w:p>
    <w:p w14:paraId="297B8734" w14:textId="77777777" w:rsidR="0023213C" w:rsidRPr="0023213C" w:rsidRDefault="0023213C" w:rsidP="0023213C">
      <w:pPr>
        <w:spacing w:after="0" w:line="240" w:lineRule="auto"/>
        <w:jc w:val="both"/>
        <w:rPr>
          <w:rFonts w:ascii="Times New Roman" w:eastAsia="Calibri" w:hAnsi="Times New Roman" w:cs="Times New Roman"/>
          <w:i/>
          <w:sz w:val="28"/>
          <w:szCs w:val="28"/>
        </w:rPr>
      </w:pPr>
    </w:p>
    <w:p w14:paraId="02FEA757" w14:textId="77777777" w:rsidR="0023213C" w:rsidRPr="00FC76F9"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color w:val="000000"/>
          <w:sz w:val="28"/>
          <w:u w:val="single"/>
          <w:lang w:eastAsia="bg-BG"/>
        </w:rPr>
      </w:pPr>
      <w:bookmarkStart w:id="85" w:name="_Toc127370291"/>
      <w:r w:rsidRPr="00FC76F9">
        <w:rPr>
          <w:rFonts w:ascii="Times New Roman" w:eastAsia="Calibri" w:hAnsi="Times New Roman" w:cs="Arial"/>
          <w:b/>
          <w:color w:val="000000"/>
          <w:sz w:val="28"/>
          <w:u w:val="single"/>
          <w:lang w:eastAsia="bg-BG"/>
        </w:rPr>
        <w:t>8. Дела с предмет митническа контрабанда.</w:t>
      </w:r>
      <w:bookmarkEnd w:id="85"/>
    </w:p>
    <w:p w14:paraId="7E667916" w14:textId="77777777" w:rsidR="0023213C" w:rsidRPr="0023213C" w:rsidRDefault="0023213C" w:rsidP="0023213C">
      <w:pPr>
        <w:spacing w:after="0" w:line="240" w:lineRule="auto"/>
        <w:jc w:val="both"/>
        <w:rPr>
          <w:rFonts w:ascii="Times New Roman" w:eastAsia="Calibri" w:hAnsi="Times New Roman" w:cs="Times New Roman"/>
          <w:smallCaps/>
          <w:sz w:val="28"/>
          <w:szCs w:val="28"/>
        </w:rPr>
      </w:pPr>
    </w:p>
    <w:p w14:paraId="3C4041F2"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През отчетния период не са водени дела за престъпления по чл. 242, ал. 2-4 и ал. 9 НК, както и през предходните сравнителни периоди.</w:t>
      </w:r>
    </w:p>
    <w:p w14:paraId="082EC28D" w14:textId="77777777" w:rsidR="0023213C" w:rsidRPr="0023213C" w:rsidRDefault="0023213C" w:rsidP="0023213C">
      <w:pPr>
        <w:spacing w:after="0" w:line="240" w:lineRule="auto"/>
        <w:jc w:val="both"/>
        <w:rPr>
          <w:rFonts w:ascii="Times New Roman" w:eastAsia="Calibri" w:hAnsi="Times New Roman" w:cs="Times New Roman"/>
          <w:i/>
          <w:sz w:val="28"/>
          <w:szCs w:val="28"/>
        </w:rPr>
      </w:pPr>
    </w:p>
    <w:p w14:paraId="04EA4257" w14:textId="77777777" w:rsidR="0023213C" w:rsidRPr="0023213C" w:rsidRDefault="0023213C" w:rsidP="0023213C">
      <w:pPr>
        <w:spacing w:after="0" w:line="240" w:lineRule="auto"/>
        <w:jc w:val="both"/>
        <w:rPr>
          <w:rFonts w:ascii="Times New Roman" w:eastAsia="Calibri" w:hAnsi="Times New Roman" w:cs="Times New Roman"/>
          <w:i/>
          <w:sz w:val="28"/>
          <w:szCs w:val="28"/>
        </w:rPr>
      </w:pPr>
    </w:p>
    <w:p w14:paraId="29FFB00A"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u w:val="single"/>
          <w:lang w:eastAsia="bg-BG"/>
        </w:rPr>
      </w:pPr>
      <w:bookmarkStart w:id="86" w:name="_Toc127370292"/>
      <w:r w:rsidRPr="00FC76F9">
        <w:rPr>
          <w:rFonts w:ascii="Times New Roman" w:eastAsia="Calibri" w:hAnsi="Times New Roman" w:cs="Arial"/>
          <w:b/>
          <w:color w:val="000000"/>
          <w:sz w:val="28"/>
          <w:u w:val="single"/>
          <w:lang w:eastAsia="bg-BG"/>
        </w:rPr>
        <w:t>9. Дела с предмет наркотични вещества и прекурсори</w:t>
      </w:r>
      <w:r w:rsidRPr="0023213C">
        <w:rPr>
          <w:rFonts w:ascii="Times New Roman" w:eastAsia="Calibri" w:hAnsi="Times New Roman" w:cs="Arial"/>
          <w:color w:val="000000"/>
          <w:sz w:val="28"/>
          <w:u w:val="single"/>
          <w:lang w:eastAsia="bg-BG"/>
        </w:rPr>
        <w:t>.</w:t>
      </w:r>
      <w:bookmarkEnd w:id="86"/>
    </w:p>
    <w:p w14:paraId="51113E75" w14:textId="77777777" w:rsidR="0023213C" w:rsidRPr="0023213C" w:rsidRDefault="0023213C" w:rsidP="0023213C">
      <w:pPr>
        <w:spacing w:after="0" w:line="240" w:lineRule="auto"/>
        <w:jc w:val="both"/>
        <w:rPr>
          <w:rFonts w:ascii="Times New Roman" w:eastAsia="Calibri" w:hAnsi="Times New Roman" w:cs="Times New Roman"/>
          <w:sz w:val="28"/>
          <w:szCs w:val="2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93"/>
        <w:gridCol w:w="1134"/>
        <w:gridCol w:w="993"/>
        <w:gridCol w:w="993"/>
        <w:gridCol w:w="851"/>
        <w:gridCol w:w="997"/>
        <w:gridCol w:w="849"/>
        <w:gridCol w:w="852"/>
        <w:gridCol w:w="989"/>
        <w:gridCol w:w="994"/>
      </w:tblGrid>
      <w:tr w:rsidR="0023213C" w:rsidRPr="0023213C" w14:paraId="0DB287CE" w14:textId="77777777" w:rsidTr="0023213C">
        <w:trPr>
          <w:trHeight w:val="1821"/>
        </w:trPr>
        <w:tc>
          <w:tcPr>
            <w:tcW w:w="993" w:type="dxa"/>
            <w:tcBorders>
              <w:top w:val="single" w:sz="4" w:space="0" w:color="auto"/>
              <w:left w:val="single" w:sz="4" w:space="0" w:color="auto"/>
              <w:bottom w:val="single" w:sz="4" w:space="0" w:color="auto"/>
              <w:right w:val="single" w:sz="4" w:space="0" w:color="auto"/>
            </w:tcBorders>
            <w:hideMark/>
          </w:tcPr>
          <w:p w14:paraId="1D95EBA4"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Година</w:t>
            </w:r>
          </w:p>
        </w:tc>
        <w:tc>
          <w:tcPr>
            <w:tcW w:w="1134" w:type="dxa"/>
            <w:tcBorders>
              <w:top w:val="single" w:sz="4" w:space="0" w:color="auto"/>
              <w:left w:val="single" w:sz="4" w:space="0" w:color="auto"/>
              <w:bottom w:val="single" w:sz="4" w:space="0" w:color="auto"/>
              <w:right w:val="single" w:sz="4" w:space="0" w:color="auto"/>
            </w:tcBorders>
            <w:hideMark/>
          </w:tcPr>
          <w:p w14:paraId="1B7DC3F4" w14:textId="77777777" w:rsidR="0023213C" w:rsidRPr="0023213C" w:rsidRDefault="0023213C" w:rsidP="0023213C">
            <w:pPr>
              <w:spacing w:after="0"/>
              <w:rPr>
                <w:rFonts w:ascii="Times New Roman" w:eastAsia="Calibri" w:hAnsi="Times New Roman" w:cs="Times New Roman"/>
                <w:bCs/>
                <w:color w:val="000000"/>
                <w:sz w:val="24"/>
                <w:szCs w:val="24"/>
              </w:rPr>
            </w:pPr>
            <w:r w:rsidRPr="0023213C">
              <w:rPr>
                <w:rFonts w:ascii="Times New Roman" w:eastAsia="Calibri" w:hAnsi="Times New Roman" w:cs="Times New Roman"/>
                <w:bCs/>
                <w:color w:val="000000"/>
                <w:sz w:val="24"/>
                <w:szCs w:val="24"/>
              </w:rPr>
              <w:t>Наблюда</w:t>
            </w:r>
          </w:p>
          <w:p w14:paraId="42D32528" w14:textId="77777777" w:rsidR="0023213C" w:rsidRPr="0023213C" w:rsidRDefault="0023213C" w:rsidP="0023213C">
            <w:pPr>
              <w:spacing w:after="0"/>
              <w:rPr>
                <w:rFonts w:ascii="Times New Roman" w:eastAsia="Calibri" w:hAnsi="Times New Roman" w:cs="Times New Roman"/>
                <w:bCs/>
                <w:color w:val="000000"/>
                <w:sz w:val="24"/>
                <w:szCs w:val="24"/>
              </w:rPr>
            </w:pPr>
            <w:r w:rsidRPr="0023213C">
              <w:rPr>
                <w:rFonts w:ascii="Times New Roman" w:eastAsia="Calibri" w:hAnsi="Times New Roman" w:cs="Times New Roman"/>
                <w:bCs/>
                <w:color w:val="000000"/>
                <w:sz w:val="24"/>
                <w:szCs w:val="24"/>
              </w:rPr>
              <w:t>вани ДП</w:t>
            </w:r>
          </w:p>
        </w:tc>
        <w:tc>
          <w:tcPr>
            <w:tcW w:w="992" w:type="dxa"/>
            <w:tcBorders>
              <w:top w:val="single" w:sz="4" w:space="0" w:color="auto"/>
              <w:left w:val="single" w:sz="4" w:space="0" w:color="auto"/>
              <w:bottom w:val="single" w:sz="4" w:space="0" w:color="auto"/>
              <w:right w:val="single" w:sz="4" w:space="0" w:color="auto"/>
            </w:tcBorders>
            <w:hideMark/>
          </w:tcPr>
          <w:p w14:paraId="39454E3E"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Новооб</w:t>
            </w:r>
          </w:p>
          <w:p w14:paraId="32D76AC7"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разувани ДП</w:t>
            </w:r>
          </w:p>
        </w:tc>
        <w:tc>
          <w:tcPr>
            <w:tcW w:w="992" w:type="dxa"/>
            <w:tcBorders>
              <w:top w:val="single" w:sz="4" w:space="0" w:color="auto"/>
              <w:left w:val="single" w:sz="4" w:space="0" w:color="auto"/>
              <w:bottom w:val="single" w:sz="4" w:space="0" w:color="auto"/>
              <w:right w:val="single" w:sz="4" w:space="0" w:color="auto"/>
            </w:tcBorders>
            <w:hideMark/>
          </w:tcPr>
          <w:p w14:paraId="0D282E5C"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Приклю</w:t>
            </w:r>
          </w:p>
          <w:p w14:paraId="59873FA2"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чени разследвания</w:t>
            </w:r>
          </w:p>
        </w:tc>
        <w:tc>
          <w:tcPr>
            <w:tcW w:w="851" w:type="dxa"/>
            <w:tcBorders>
              <w:top w:val="single" w:sz="4" w:space="0" w:color="auto"/>
              <w:left w:val="single" w:sz="4" w:space="0" w:color="auto"/>
              <w:bottom w:val="single" w:sz="4" w:space="0" w:color="auto"/>
              <w:right w:val="single" w:sz="4" w:space="0" w:color="auto"/>
            </w:tcBorders>
            <w:hideMark/>
          </w:tcPr>
          <w:p w14:paraId="34A11D3E"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Решени ДП</w:t>
            </w:r>
          </w:p>
        </w:tc>
        <w:tc>
          <w:tcPr>
            <w:tcW w:w="996" w:type="dxa"/>
            <w:tcBorders>
              <w:top w:val="single" w:sz="4" w:space="0" w:color="auto"/>
              <w:left w:val="single" w:sz="4" w:space="0" w:color="auto"/>
              <w:bottom w:val="single" w:sz="4" w:space="0" w:color="auto"/>
              <w:right w:val="single" w:sz="4" w:space="0" w:color="auto"/>
            </w:tcBorders>
            <w:hideMark/>
          </w:tcPr>
          <w:p w14:paraId="23EBA2E0"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Проку</w:t>
            </w:r>
          </w:p>
          <w:p w14:paraId="21D42C91"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рорски актове, внесени в съда</w:t>
            </w:r>
          </w:p>
        </w:tc>
        <w:tc>
          <w:tcPr>
            <w:tcW w:w="849" w:type="dxa"/>
            <w:tcBorders>
              <w:top w:val="single" w:sz="4" w:space="0" w:color="auto"/>
              <w:left w:val="single" w:sz="4" w:space="0" w:color="auto"/>
              <w:bottom w:val="single" w:sz="4" w:space="0" w:color="auto"/>
              <w:right w:val="single" w:sz="4" w:space="0" w:color="auto"/>
            </w:tcBorders>
            <w:hideMark/>
          </w:tcPr>
          <w:p w14:paraId="63BE6B33"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Предадени на съд лица</w:t>
            </w:r>
          </w:p>
        </w:tc>
        <w:tc>
          <w:tcPr>
            <w:tcW w:w="852" w:type="dxa"/>
            <w:tcBorders>
              <w:top w:val="single" w:sz="4" w:space="0" w:color="auto"/>
              <w:left w:val="single" w:sz="4" w:space="0" w:color="auto"/>
              <w:bottom w:val="single" w:sz="4" w:space="0" w:color="auto"/>
              <w:right w:val="single" w:sz="4" w:space="0" w:color="auto"/>
            </w:tcBorders>
            <w:hideMark/>
          </w:tcPr>
          <w:p w14:paraId="1B236A08"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Върнати от съда ДП</w:t>
            </w:r>
          </w:p>
        </w:tc>
        <w:tc>
          <w:tcPr>
            <w:tcW w:w="988" w:type="dxa"/>
            <w:tcBorders>
              <w:top w:val="single" w:sz="4" w:space="0" w:color="auto"/>
              <w:left w:val="single" w:sz="4" w:space="0" w:color="auto"/>
              <w:bottom w:val="single" w:sz="4" w:space="0" w:color="auto"/>
              <w:right w:val="single" w:sz="4" w:space="0" w:color="auto"/>
            </w:tcBorders>
            <w:hideMark/>
          </w:tcPr>
          <w:p w14:paraId="38A77AF7"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 xml:space="preserve">Осъдени лица с влязъл в сила съд.акт </w:t>
            </w:r>
          </w:p>
        </w:tc>
        <w:tc>
          <w:tcPr>
            <w:tcW w:w="993" w:type="dxa"/>
            <w:tcBorders>
              <w:top w:val="single" w:sz="4" w:space="0" w:color="auto"/>
              <w:left w:val="single" w:sz="4" w:space="0" w:color="auto"/>
              <w:bottom w:val="single" w:sz="4" w:space="0" w:color="auto"/>
              <w:right w:val="single" w:sz="4" w:space="0" w:color="auto"/>
            </w:tcBorders>
            <w:hideMark/>
          </w:tcPr>
          <w:p w14:paraId="0C252934"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Оправ</w:t>
            </w:r>
          </w:p>
          <w:p w14:paraId="08AA70B5"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дани лица с влязъл в сила съд.акт</w:t>
            </w:r>
          </w:p>
        </w:tc>
      </w:tr>
      <w:tr w:rsidR="0023213C" w:rsidRPr="0023213C" w14:paraId="77159486" w14:textId="77777777" w:rsidTr="0023213C">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5109838"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2022</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8AC6087" w14:textId="77777777" w:rsidR="0023213C" w:rsidRPr="0023213C" w:rsidRDefault="0023213C" w:rsidP="0023213C">
            <w:pPr>
              <w:spacing w:after="0"/>
              <w:jc w:val="both"/>
              <w:rPr>
                <w:rFonts w:ascii="Times New Roman" w:eastAsia="Calibri" w:hAnsi="Times New Roman" w:cs="Times New Roman"/>
                <w:b/>
                <w:bCs/>
                <w:color w:val="000000"/>
                <w:sz w:val="24"/>
                <w:szCs w:val="24"/>
              </w:rPr>
            </w:pPr>
            <w:r w:rsidRPr="0023213C">
              <w:rPr>
                <w:rFonts w:ascii="Times New Roman" w:eastAsia="Calibri" w:hAnsi="Times New Roman" w:cs="Times New Roman"/>
                <w:b/>
                <w:bCs/>
                <w:color w:val="000000"/>
                <w:sz w:val="24"/>
                <w:szCs w:val="24"/>
              </w:rPr>
              <w:t>181</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800001F"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129</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3118060"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124</w:t>
            </w:r>
          </w:p>
        </w:tc>
        <w:tc>
          <w:tcPr>
            <w:tcW w:w="8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176B7EC"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121</w:t>
            </w:r>
          </w:p>
        </w:tc>
        <w:tc>
          <w:tcPr>
            <w:tcW w:w="99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27A926F"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70</w:t>
            </w:r>
          </w:p>
        </w:tc>
        <w:tc>
          <w:tcPr>
            <w:tcW w:w="84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3505A8F"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71</w:t>
            </w:r>
          </w:p>
        </w:tc>
        <w:tc>
          <w:tcPr>
            <w:tcW w:w="8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CAED633"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w:t>
            </w:r>
          </w:p>
        </w:tc>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A5C297D"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67</w:t>
            </w:r>
          </w:p>
        </w:tc>
        <w:tc>
          <w:tcPr>
            <w:tcW w:w="99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CB06B69" w14:textId="77777777" w:rsidR="0023213C" w:rsidRPr="0023213C" w:rsidRDefault="0023213C" w:rsidP="0023213C">
            <w:pPr>
              <w:spacing w:after="0"/>
              <w:jc w:val="both"/>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w:t>
            </w:r>
          </w:p>
        </w:tc>
      </w:tr>
      <w:tr w:rsidR="0023213C" w:rsidRPr="0023213C" w14:paraId="18084E31" w14:textId="77777777" w:rsidTr="0023213C">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14:paraId="11EFE2C7"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20</w:t>
            </w:r>
            <w:r w:rsidRPr="0023213C">
              <w:rPr>
                <w:rFonts w:ascii="Times New Roman" w:eastAsia="Calibri" w:hAnsi="Times New Roman" w:cs="Times New Roman"/>
                <w:color w:val="000000"/>
                <w:sz w:val="24"/>
                <w:szCs w:val="24"/>
                <w:lang w:val="en-US"/>
              </w:rPr>
              <w:t>2</w:t>
            </w:r>
            <w:r w:rsidRPr="0023213C">
              <w:rPr>
                <w:rFonts w:ascii="Times New Roman" w:eastAsia="Calibri" w:hAnsi="Times New Roman" w:cs="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DB96C7" w14:textId="77777777" w:rsidR="0023213C" w:rsidRPr="0023213C" w:rsidRDefault="0023213C" w:rsidP="0023213C">
            <w:pPr>
              <w:spacing w:after="0"/>
              <w:jc w:val="both"/>
              <w:rPr>
                <w:rFonts w:ascii="Times New Roman" w:eastAsia="Calibri" w:hAnsi="Times New Roman" w:cs="Times New Roman"/>
                <w:bCs/>
                <w:color w:val="000000"/>
                <w:sz w:val="24"/>
                <w:szCs w:val="24"/>
              </w:rPr>
            </w:pPr>
            <w:r w:rsidRPr="0023213C">
              <w:rPr>
                <w:rFonts w:ascii="Times New Roman" w:eastAsia="Calibri" w:hAnsi="Times New Roman" w:cs="Times New Roman"/>
                <w:bCs/>
                <w:color w:val="000000"/>
                <w:sz w:val="24"/>
                <w:szCs w:val="24"/>
              </w:rPr>
              <w:t>187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3429C3"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112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32CCAC"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141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E2AA1D"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141</w:t>
            </w:r>
          </w:p>
        </w:tc>
        <w:tc>
          <w:tcPr>
            <w:tcW w:w="996" w:type="dxa"/>
            <w:tcBorders>
              <w:top w:val="single" w:sz="4" w:space="0" w:color="auto"/>
              <w:left w:val="single" w:sz="4" w:space="0" w:color="auto"/>
              <w:bottom w:val="single" w:sz="4" w:space="0" w:color="auto"/>
              <w:right w:val="single" w:sz="4" w:space="0" w:color="auto"/>
            </w:tcBorders>
            <w:vAlign w:val="center"/>
            <w:hideMark/>
          </w:tcPr>
          <w:p w14:paraId="42A50D40"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67</w:t>
            </w:r>
          </w:p>
        </w:tc>
        <w:tc>
          <w:tcPr>
            <w:tcW w:w="849" w:type="dxa"/>
            <w:tcBorders>
              <w:top w:val="single" w:sz="4" w:space="0" w:color="auto"/>
              <w:left w:val="single" w:sz="4" w:space="0" w:color="auto"/>
              <w:bottom w:val="single" w:sz="4" w:space="0" w:color="auto"/>
              <w:right w:val="single" w:sz="4" w:space="0" w:color="auto"/>
            </w:tcBorders>
            <w:vAlign w:val="center"/>
            <w:hideMark/>
          </w:tcPr>
          <w:p w14:paraId="50FA2DAF"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69</w:t>
            </w:r>
          </w:p>
        </w:tc>
        <w:tc>
          <w:tcPr>
            <w:tcW w:w="852" w:type="dxa"/>
            <w:tcBorders>
              <w:top w:val="single" w:sz="4" w:space="0" w:color="auto"/>
              <w:left w:val="single" w:sz="4" w:space="0" w:color="auto"/>
              <w:bottom w:val="single" w:sz="4" w:space="0" w:color="auto"/>
              <w:right w:val="single" w:sz="4" w:space="0" w:color="auto"/>
            </w:tcBorders>
            <w:vAlign w:val="center"/>
            <w:hideMark/>
          </w:tcPr>
          <w:p w14:paraId="28B77FD2"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hideMark/>
          </w:tcPr>
          <w:p w14:paraId="22AF6EB0"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67</w:t>
            </w:r>
          </w:p>
        </w:tc>
        <w:tc>
          <w:tcPr>
            <w:tcW w:w="993" w:type="dxa"/>
            <w:tcBorders>
              <w:top w:val="single" w:sz="4" w:space="0" w:color="auto"/>
              <w:left w:val="single" w:sz="4" w:space="0" w:color="auto"/>
              <w:bottom w:val="single" w:sz="4" w:space="0" w:color="auto"/>
              <w:right w:val="single" w:sz="4" w:space="0" w:color="auto"/>
            </w:tcBorders>
            <w:vAlign w:val="center"/>
            <w:hideMark/>
          </w:tcPr>
          <w:p w14:paraId="3F360FC8"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r>
      <w:tr w:rsidR="0023213C" w:rsidRPr="0023213C" w14:paraId="5C4D0EF0" w14:textId="77777777" w:rsidTr="0023213C">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14:paraId="11AC5BCF"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4ADBE8" w14:textId="77777777" w:rsidR="0023213C" w:rsidRPr="0023213C" w:rsidRDefault="0023213C" w:rsidP="0023213C">
            <w:pPr>
              <w:spacing w:after="0"/>
              <w:jc w:val="both"/>
              <w:rPr>
                <w:rFonts w:ascii="Times New Roman" w:eastAsia="Calibri" w:hAnsi="Times New Roman" w:cs="Times New Roman"/>
                <w:bCs/>
                <w:color w:val="000000"/>
                <w:sz w:val="24"/>
                <w:szCs w:val="24"/>
              </w:rPr>
            </w:pPr>
            <w:r w:rsidRPr="0023213C">
              <w:rPr>
                <w:rFonts w:ascii="Times New Roman" w:eastAsia="Calibri" w:hAnsi="Times New Roman" w:cs="Times New Roman"/>
                <w:bCs/>
                <w:color w:val="000000"/>
                <w:sz w:val="24"/>
                <w:szCs w:val="24"/>
              </w:rPr>
              <w:t>207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E32699"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117</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4CBB2F"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137</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B5E0CC"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140</w:t>
            </w:r>
          </w:p>
        </w:tc>
        <w:tc>
          <w:tcPr>
            <w:tcW w:w="996" w:type="dxa"/>
            <w:tcBorders>
              <w:top w:val="single" w:sz="4" w:space="0" w:color="auto"/>
              <w:left w:val="single" w:sz="4" w:space="0" w:color="auto"/>
              <w:bottom w:val="single" w:sz="4" w:space="0" w:color="auto"/>
              <w:right w:val="single" w:sz="4" w:space="0" w:color="auto"/>
            </w:tcBorders>
            <w:vAlign w:val="center"/>
            <w:hideMark/>
          </w:tcPr>
          <w:p w14:paraId="517DF383"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71</w:t>
            </w:r>
          </w:p>
        </w:tc>
        <w:tc>
          <w:tcPr>
            <w:tcW w:w="849" w:type="dxa"/>
            <w:tcBorders>
              <w:top w:val="single" w:sz="4" w:space="0" w:color="auto"/>
              <w:left w:val="single" w:sz="4" w:space="0" w:color="auto"/>
              <w:bottom w:val="single" w:sz="4" w:space="0" w:color="auto"/>
              <w:right w:val="single" w:sz="4" w:space="0" w:color="auto"/>
            </w:tcBorders>
            <w:vAlign w:val="center"/>
            <w:hideMark/>
          </w:tcPr>
          <w:p w14:paraId="67F3B6BD"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73</w:t>
            </w:r>
          </w:p>
        </w:tc>
        <w:tc>
          <w:tcPr>
            <w:tcW w:w="852" w:type="dxa"/>
            <w:tcBorders>
              <w:top w:val="single" w:sz="4" w:space="0" w:color="auto"/>
              <w:left w:val="single" w:sz="4" w:space="0" w:color="auto"/>
              <w:bottom w:val="single" w:sz="4" w:space="0" w:color="auto"/>
              <w:right w:val="single" w:sz="4" w:space="0" w:color="auto"/>
            </w:tcBorders>
            <w:vAlign w:val="center"/>
            <w:hideMark/>
          </w:tcPr>
          <w:p w14:paraId="0BB65BD0"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hideMark/>
          </w:tcPr>
          <w:p w14:paraId="6DECE44C"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61</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FF181E" w14:textId="77777777" w:rsidR="0023213C" w:rsidRPr="0023213C" w:rsidRDefault="0023213C" w:rsidP="0023213C">
            <w:pPr>
              <w:spacing w:after="0"/>
              <w:jc w:val="both"/>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r>
    </w:tbl>
    <w:p w14:paraId="1342F770"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През 2022 год. са наблюдавани общо 181 бр. ДП/ в сравнение през </w:t>
      </w:r>
      <w:r w:rsidRPr="0023213C">
        <w:rPr>
          <w:rFonts w:ascii="Times New Roman" w:eastAsia="Calibri" w:hAnsi="Times New Roman" w:cs="Times New Roman"/>
          <w:sz w:val="28"/>
          <w:szCs w:val="28"/>
          <w:lang w:val="en-US"/>
        </w:rPr>
        <w:t xml:space="preserve">2021 </w:t>
      </w:r>
      <w:proofErr w:type="spellStart"/>
      <w:r w:rsidRPr="0023213C">
        <w:rPr>
          <w:rFonts w:ascii="Times New Roman" w:eastAsia="Calibri" w:hAnsi="Times New Roman" w:cs="Times New Roman"/>
          <w:sz w:val="28"/>
          <w:szCs w:val="28"/>
          <w:lang w:val="en-US"/>
        </w:rPr>
        <w:t>год.са</w:t>
      </w:r>
      <w:proofErr w:type="spellEnd"/>
      <w:r w:rsidRPr="0023213C">
        <w:rPr>
          <w:rFonts w:ascii="Times New Roman" w:eastAsia="Calibri" w:hAnsi="Times New Roman" w:cs="Times New Roman"/>
          <w:sz w:val="28"/>
          <w:szCs w:val="28"/>
          <w:lang w:val="en-US"/>
        </w:rPr>
        <w:t xml:space="preserve"> </w:t>
      </w:r>
      <w:proofErr w:type="spellStart"/>
      <w:r w:rsidRPr="0023213C">
        <w:rPr>
          <w:rFonts w:ascii="Times New Roman" w:eastAsia="Calibri" w:hAnsi="Times New Roman" w:cs="Times New Roman"/>
          <w:sz w:val="28"/>
          <w:szCs w:val="28"/>
          <w:lang w:val="en-US"/>
        </w:rPr>
        <w:t>наблюдавани</w:t>
      </w:r>
      <w:proofErr w:type="spellEnd"/>
      <w:r w:rsidRPr="0023213C">
        <w:rPr>
          <w:rFonts w:ascii="Times New Roman" w:eastAsia="Calibri" w:hAnsi="Times New Roman" w:cs="Times New Roman"/>
          <w:sz w:val="28"/>
          <w:szCs w:val="28"/>
          <w:lang w:val="en-US"/>
        </w:rPr>
        <w:t xml:space="preserve"> </w:t>
      </w:r>
      <w:proofErr w:type="spellStart"/>
      <w:r w:rsidRPr="0023213C">
        <w:rPr>
          <w:rFonts w:ascii="Times New Roman" w:eastAsia="Calibri" w:hAnsi="Times New Roman" w:cs="Times New Roman"/>
          <w:sz w:val="28"/>
          <w:szCs w:val="28"/>
          <w:lang w:val="en-US"/>
        </w:rPr>
        <w:t>общо</w:t>
      </w:r>
      <w:proofErr w:type="spellEnd"/>
      <w:r w:rsidRPr="0023213C">
        <w:rPr>
          <w:rFonts w:ascii="Times New Roman" w:eastAsia="Calibri" w:hAnsi="Times New Roman" w:cs="Times New Roman"/>
          <w:sz w:val="28"/>
          <w:szCs w:val="28"/>
          <w:lang w:val="en-US"/>
        </w:rPr>
        <w:t xml:space="preserve"> 187 </w:t>
      </w:r>
      <w:proofErr w:type="spellStart"/>
      <w:r w:rsidRPr="0023213C">
        <w:rPr>
          <w:rFonts w:ascii="Times New Roman" w:eastAsia="Calibri" w:hAnsi="Times New Roman" w:cs="Times New Roman"/>
          <w:sz w:val="28"/>
          <w:szCs w:val="28"/>
          <w:lang w:val="en-US"/>
        </w:rPr>
        <w:t>бр.ДП</w:t>
      </w:r>
      <w:proofErr w:type="spellEnd"/>
      <w:r w:rsidRPr="0023213C">
        <w:rPr>
          <w:rFonts w:ascii="Times New Roman" w:eastAsia="Calibri" w:hAnsi="Times New Roman" w:cs="Times New Roman"/>
          <w:sz w:val="28"/>
          <w:szCs w:val="28"/>
        </w:rPr>
        <w:t xml:space="preserve">  и   207 бр. ДП за 2020 г.  / с предмет наркотични вещества и прекурсори.</w:t>
      </w:r>
    </w:p>
    <w:p w14:paraId="0B1B4CE5" w14:textId="51062B2D"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bCs/>
          <w:sz w:val="28"/>
          <w:szCs w:val="28"/>
        </w:rPr>
        <w:t>Новообразуваните 129 бр.ДП/при 112 бр.ДП за 2021 год. и при</w:t>
      </w:r>
      <w:r w:rsidR="006B0E6B">
        <w:rPr>
          <w:rFonts w:ascii="Times New Roman" w:eastAsia="Calibri" w:hAnsi="Times New Roman" w:cs="Times New Roman"/>
          <w:bCs/>
          <w:sz w:val="28"/>
          <w:szCs w:val="28"/>
        </w:rPr>
        <w:t xml:space="preserve"> </w:t>
      </w:r>
      <w:r w:rsidRPr="0023213C">
        <w:rPr>
          <w:rFonts w:ascii="Times New Roman" w:eastAsia="Calibri" w:hAnsi="Times New Roman" w:cs="Times New Roman"/>
          <w:bCs/>
          <w:sz w:val="28"/>
          <w:szCs w:val="28"/>
        </w:rPr>
        <w:t xml:space="preserve">117ДП за 2020 г.  / </w:t>
      </w:r>
      <w:r w:rsidRPr="0023213C">
        <w:rPr>
          <w:rFonts w:ascii="Times New Roman" w:eastAsia="Calibri" w:hAnsi="Times New Roman" w:cs="Times New Roman"/>
          <w:sz w:val="28"/>
          <w:szCs w:val="28"/>
        </w:rPr>
        <w:t xml:space="preserve">съставляват  71.29 % от общо наблюдаваните през годината ДП за този вид престъпления. Налице е увеличение  на новообразуваните досъдебни производства в сравнение с 2021г и 2020 г. </w:t>
      </w:r>
    </w:p>
    <w:p w14:paraId="3161B26D"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bookmarkStart w:id="87" w:name="_Toc127285412"/>
      <w:bookmarkStart w:id="88" w:name="_Toc127370293"/>
      <w:r w:rsidRPr="0023213C">
        <w:rPr>
          <w:rFonts w:ascii="Times New Roman" w:eastAsia="Calibri" w:hAnsi="Times New Roman" w:cs="Times New Roman"/>
          <w:color w:val="000000"/>
          <w:sz w:val="28"/>
          <w:u w:val="single"/>
          <w:lang w:eastAsia="bg-BG"/>
        </w:rPr>
        <w:t>9.1. Структурно разпределение на наблюдаваните ДП</w:t>
      </w:r>
      <w:r w:rsidRPr="0023213C">
        <w:rPr>
          <w:rFonts w:ascii="Times New Roman" w:eastAsia="Calibri" w:hAnsi="Times New Roman" w:cs="Times New Roman"/>
          <w:color w:val="000000"/>
          <w:sz w:val="28"/>
          <w:lang w:eastAsia="bg-BG"/>
        </w:rPr>
        <w:t>, съобразно съставите на престъпленията по НК</w:t>
      </w:r>
      <w:bookmarkEnd w:id="87"/>
      <w:bookmarkEnd w:id="88"/>
    </w:p>
    <w:p w14:paraId="0C06D325"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За престъпления по чл. 354а–в НК – незаконен трафик на наркотични вещества и прекурсори (незаконно производство, държане, разпространение), са наблюдавани  общо 173 бр.ДП/ при 174 бр.ДП за 2021 г. и при198бр.ДП за 2020г /.</w:t>
      </w:r>
    </w:p>
    <w:p w14:paraId="7CDEFA38"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по чл.354а, ал.1 от НК – 15  ДП – 8.28 % от общо наблюдаваните; </w:t>
      </w:r>
    </w:p>
    <w:p w14:paraId="11323700"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по чл. 354а, ал. 3 от НК – 113  ДП – 62.43  % от общо наблюдаваните; </w:t>
      </w:r>
    </w:p>
    <w:p w14:paraId="4E74A9D4"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по чл. 354а, ал. 5 от НК – 45 ДП – 24.86  % от общо наблюдаваните.</w:t>
      </w:r>
    </w:p>
    <w:p w14:paraId="6CA41802"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по чл.354в, ал.1 от НК – 8  ДП – 4.41 % от общо наблюдаваните.</w:t>
      </w:r>
    </w:p>
    <w:p w14:paraId="6E39F770"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Внесени в съда са 70 прокурорски акта за периода/ при 67 прокурорски акт за 2021 год. и при 71 прокурорски за 2020г./.</w:t>
      </w:r>
    </w:p>
    <w:p w14:paraId="40D6877D"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Осъдените лица с влязла в сила присъда са  общо 67 лица/ при 67лица за 2021 год. и 61лица за 2020г./. </w:t>
      </w:r>
    </w:p>
    <w:p w14:paraId="01188D5F"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bookmarkStart w:id="89" w:name="_Toc127285413"/>
      <w:bookmarkStart w:id="90" w:name="_Toc127370294"/>
      <w:r w:rsidRPr="0023213C">
        <w:rPr>
          <w:rFonts w:ascii="Times New Roman" w:eastAsia="Calibri" w:hAnsi="Times New Roman" w:cs="Times New Roman"/>
          <w:color w:val="000000"/>
          <w:sz w:val="28"/>
          <w:u w:val="single"/>
          <w:lang w:eastAsia="bg-BG"/>
        </w:rPr>
        <w:lastRenderedPageBreak/>
        <w:t>9.2. Срочност на разследването:</w:t>
      </w:r>
      <w:bookmarkEnd w:id="89"/>
      <w:bookmarkEnd w:id="90"/>
    </w:p>
    <w:p w14:paraId="25F42984"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разследването е приключило по 120 бр. ДП/ при 141бр.ДПза 2021 год. и при 137 бр. ДП за 2020г. /. Няма приключили досъдебни производства извън законовите срокове; </w:t>
      </w:r>
    </w:p>
    <w:p w14:paraId="22E962AE"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с неприключено разследване в края на отчетния период – 53бр. ДП. Решени от прокурора са общо 121бр. ДП.</w:t>
      </w:r>
    </w:p>
    <w:p w14:paraId="6E7B7541"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bookmarkStart w:id="91" w:name="_Toc127285414"/>
      <w:bookmarkStart w:id="92" w:name="_Toc127370295"/>
      <w:r w:rsidRPr="0023213C">
        <w:rPr>
          <w:rFonts w:ascii="Times New Roman" w:eastAsia="Calibri" w:hAnsi="Times New Roman" w:cs="Times New Roman"/>
          <w:color w:val="000000"/>
          <w:sz w:val="28"/>
          <w:u w:val="single"/>
          <w:lang w:eastAsia="bg-BG"/>
        </w:rPr>
        <w:t>9.3. Резултатност:</w:t>
      </w:r>
      <w:bookmarkEnd w:id="91"/>
      <w:bookmarkEnd w:id="92"/>
    </w:p>
    <w:p w14:paraId="114E1E1D"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внесените в съда 70 ДП спрямо решените съставляват са 57.85 % ( при 47.51% за 2021 г. и при  50 % за 2020г.  );</w:t>
      </w:r>
    </w:p>
    <w:p w14:paraId="7CE5F228"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върнати от съда дела за периода са 2 бр., като за предходните две години 2021 и 2020 г.няма.</w:t>
      </w:r>
    </w:p>
    <w:p w14:paraId="1C87EE81"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осъдени лица с влязла в сила присъда спрямо предадените на съд съставляват 94.36% / при 97.10%за 2021 г. и при 90.41% за 2020г./.</w:t>
      </w:r>
    </w:p>
    <w:p w14:paraId="25D59C03"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оправдани лица- 2 лица /в сравнение няма оправдани лица през 2021 год.  и  2020 г.).</w:t>
      </w:r>
    </w:p>
    <w:p w14:paraId="338FC6E3"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Забелязва се тенденция за незначително намаляване на общия брой наблюдавани ДП за този вид престъпления,  и незначително  увеличаване на внесените в съда актове спрямо 2021 год.</w:t>
      </w:r>
    </w:p>
    <w:p w14:paraId="2DCDBB99" w14:textId="3D94AEB8"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w:t>
      </w:r>
      <w:r w:rsidR="00FC76F9">
        <w:rPr>
          <w:rFonts w:ascii="Times New Roman" w:eastAsia="Calibri" w:hAnsi="Times New Roman" w:cs="Times New Roman"/>
          <w:sz w:val="28"/>
          <w:szCs w:val="28"/>
        </w:rPr>
        <w:tab/>
      </w:r>
      <w:r w:rsidRPr="0023213C">
        <w:rPr>
          <w:rFonts w:ascii="Times New Roman" w:eastAsia="Calibri" w:hAnsi="Times New Roman" w:cs="Times New Roman"/>
          <w:sz w:val="28"/>
          <w:szCs w:val="28"/>
        </w:rPr>
        <w:t xml:space="preserve">Налице е  устойчивост на  осъдените с влязъл в сила  съдебен акт лица в сравнение с предходния отчетен период.Като отрицателен момент следва да се отчете наличието на 2 оправдани за отчетния период лица и две върнати от съда дела за отстраняване на процесуални нарушения. </w:t>
      </w:r>
    </w:p>
    <w:p w14:paraId="48A29AD9"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Необходимо е осъществяването на по-строг контрол на разследващите органи на МВР относно срочността на разследването. Също така следва да се обърне и внимание относно повишаване качеството на разследване от страна на разследващите полицаи. </w:t>
      </w:r>
    </w:p>
    <w:p w14:paraId="211B4E80"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bookmarkStart w:id="93" w:name="_Toc127285415"/>
      <w:bookmarkStart w:id="94" w:name="_Toc127370296"/>
      <w:r w:rsidRPr="0023213C">
        <w:rPr>
          <w:rFonts w:ascii="Times New Roman" w:eastAsia="Calibri" w:hAnsi="Times New Roman" w:cs="Times New Roman"/>
          <w:color w:val="000000"/>
          <w:sz w:val="28"/>
          <w:u w:val="single"/>
          <w:lang w:eastAsia="bg-BG"/>
        </w:rPr>
        <w:t>9.4. Видове наказания на осъдените лица</w:t>
      </w:r>
      <w:r w:rsidRPr="0023213C">
        <w:rPr>
          <w:rFonts w:ascii="Times New Roman" w:eastAsia="Calibri" w:hAnsi="Times New Roman" w:cs="Times New Roman"/>
          <w:color w:val="000000"/>
          <w:sz w:val="28"/>
          <w:lang w:eastAsia="bg-BG"/>
        </w:rPr>
        <w:t xml:space="preserve"> – относителен дял спрямо общия брой определени от съда наказания:</w:t>
      </w:r>
      <w:bookmarkEnd w:id="93"/>
      <w:bookmarkEnd w:id="94"/>
    </w:p>
    <w:p w14:paraId="2F9F4BE8" w14:textId="77777777" w:rsidR="0023213C" w:rsidRPr="0023213C" w:rsidRDefault="0023213C" w:rsidP="0023213C">
      <w:pPr>
        <w:numPr>
          <w:ilvl w:val="0"/>
          <w:numId w:val="11"/>
        </w:numPr>
        <w:spacing w:after="0" w:line="240" w:lineRule="auto"/>
        <w:ind w:left="0"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„лишаване от свобода” с ефективно изтърпяване на наказанието – 9 лица;  </w:t>
      </w:r>
    </w:p>
    <w:p w14:paraId="0D2FE118" w14:textId="77777777" w:rsidR="0023213C" w:rsidRPr="0023213C" w:rsidRDefault="0023213C" w:rsidP="0023213C">
      <w:pPr>
        <w:numPr>
          <w:ilvl w:val="0"/>
          <w:numId w:val="11"/>
        </w:numPr>
        <w:spacing w:after="0" w:line="240" w:lineRule="auto"/>
        <w:ind w:left="0"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„лишаване от свобода” с отлагане на изтърпяване за определен от съда изпитателен срок –  36 лица; </w:t>
      </w:r>
    </w:p>
    <w:p w14:paraId="00DB1915" w14:textId="77777777" w:rsidR="0023213C" w:rsidRPr="0023213C" w:rsidRDefault="0023213C" w:rsidP="0023213C">
      <w:pPr>
        <w:numPr>
          <w:ilvl w:val="0"/>
          <w:numId w:val="11"/>
        </w:numPr>
        <w:spacing w:after="0" w:line="240" w:lineRule="auto"/>
        <w:ind w:left="0"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пробация – 1 лице; </w:t>
      </w:r>
    </w:p>
    <w:p w14:paraId="705DF96B" w14:textId="77777777" w:rsidR="0023213C" w:rsidRPr="0023213C" w:rsidRDefault="0023213C" w:rsidP="0023213C">
      <w:pPr>
        <w:numPr>
          <w:ilvl w:val="0"/>
          <w:numId w:val="11"/>
        </w:numPr>
        <w:spacing w:after="0" w:line="240" w:lineRule="auto"/>
        <w:ind w:left="0"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глоба – 24 лица;</w:t>
      </w:r>
    </w:p>
    <w:p w14:paraId="60365FF4" w14:textId="77777777" w:rsidR="0023213C" w:rsidRPr="0023213C" w:rsidRDefault="0023213C" w:rsidP="0023213C">
      <w:pPr>
        <w:numPr>
          <w:ilvl w:val="0"/>
          <w:numId w:val="11"/>
        </w:numPr>
        <w:spacing w:after="0" w:line="240" w:lineRule="auto"/>
        <w:ind w:left="0"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други – 3 лица;</w:t>
      </w:r>
    </w:p>
    <w:p w14:paraId="210BF02E" w14:textId="77777777" w:rsidR="0023213C" w:rsidRPr="0023213C" w:rsidRDefault="0023213C" w:rsidP="0023213C">
      <w:pPr>
        <w:spacing w:after="0" w:line="240" w:lineRule="auto"/>
        <w:jc w:val="both"/>
        <w:rPr>
          <w:rFonts w:ascii="Times New Roman" w:eastAsia="Calibri" w:hAnsi="Times New Roman" w:cs="Times New Roman"/>
          <w:sz w:val="28"/>
          <w:szCs w:val="28"/>
        </w:rPr>
      </w:pPr>
    </w:p>
    <w:p w14:paraId="6209D4B3"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И през отчетния период  продължава да стои проблемът за разкриването и доказването на престъпленията, свързани с наркотични вещества. Високата обществена опасност на тези престъпления (като такива против народното здраве и предимно, насочени срещу здравето на младите и подрастващите лица), налага приоритетна работа на органите на полицията.</w:t>
      </w:r>
    </w:p>
    <w:p w14:paraId="2E31B583" w14:textId="77777777"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В резултат на предприетите действия от страна на прокуратурата  и проведените СПО се констатиран увеличение броя на разкритите престъпления, новообразуваните досъдебни производства, ,внесените в съда прокурорски актове .</w:t>
      </w:r>
    </w:p>
    <w:p w14:paraId="440D3E4D" w14:textId="0BFF9DAB"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lastRenderedPageBreak/>
        <w:t xml:space="preserve"> </w:t>
      </w:r>
      <w:r w:rsidR="00FC76F9">
        <w:rPr>
          <w:rFonts w:ascii="Times New Roman" w:eastAsia="Calibri" w:hAnsi="Times New Roman" w:cs="Times New Roman"/>
          <w:sz w:val="28"/>
          <w:szCs w:val="28"/>
        </w:rPr>
        <w:tab/>
      </w:r>
      <w:r w:rsidRPr="0023213C">
        <w:rPr>
          <w:rFonts w:ascii="Times New Roman" w:eastAsia="Calibri" w:hAnsi="Times New Roman" w:cs="Times New Roman"/>
          <w:sz w:val="28"/>
          <w:szCs w:val="28"/>
        </w:rPr>
        <w:t>От изложените по - горе цифрови данни е видно, че се намалява незначително  броя на наблюдаваните и приключени дела в сравнение с предходните периоди (данните, посочени в таблицата по-горе). Запазва се броя  при осъдените лица с влязла в сила присъда.. Налага се извод за динамичност в този вид престъпна дейност и  ефективността  в оперативната полицейска работа и работата на прокуратурата.</w:t>
      </w:r>
    </w:p>
    <w:p w14:paraId="67390A2E" w14:textId="77777777" w:rsidR="0023213C" w:rsidRPr="0023213C" w:rsidRDefault="0023213C" w:rsidP="0023213C">
      <w:pPr>
        <w:spacing w:after="0" w:line="240" w:lineRule="auto"/>
        <w:jc w:val="both"/>
        <w:rPr>
          <w:rFonts w:ascii="Times New Roman" w:eastAsia="Calibri" w:hAnsi="Times New Roman" w:cs="Times New Roman"/>
          <w:i/>
          <w:sz w:val="28"/>
          <w:szCs w:val="28"/>
        </w:rPr>
      </w:pPr>
    </w:p>
    <w:p w14:paraId="12486BB8"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u w:val="single"/>
          <w:lang w:eastAsia="bg-BG"/>
        </w:rPr>
      </w:pPr>
      <w:bookmarkStart w:id="95" w:name="_Toc127370297"/>
      <w:r w:rsidRPr="0023213C">
        <w:rPr>
          <w:rFonts w:ascii="Times New Roman" w:eastAsia="Calibri" w:hAnsi="Times New Roman" w:cs="Arial"/>
          <w:color w:val="000000"/>
          <w:sz w:val="28"/>
          <w:u w:val="single"/>
          <w:lang w:eastAsia="bg-BG"/>
        </w:rPr>
        <w:t>10. Дела, образувани за престъпления, свързани с незаконен трафик на хора:</w:t>
      </w:r>
      <w:bookmarkEnd w:id="95"/>
    </w:p>
    <w:p w14:paraId="7F591F9F" w14:textId="77777777" w:rsidR="0023213C" w:rsidRPr="0023213C" w:rsidRDefault="0023213C" w:rsidP="0023213C">
      <w:pPr>
        <w:spacing w:after="0" w:line="240" w:lineRule="auto"/>
        <w:jc w:val="both"/>
        <w:rPr>
          <w:rFonts w:ascii="Times New Roman" w:eastAsia="Calibri" w:hAnsi="Times New Roman" w:cs="Times New Roman"/>
          <w:sz w:val="28"/>
          <w:szCs w:val="28"/>
        </w:rPr>
      </w:pPr>
    </w:p>
    <w:tbl>
      <w:tblPr>
        <w:tblW w:w="9975" w:type="dxa"/>
        <w:tblInd w:w="-72" w:type="dxa"/>
        <w:tblLayout w:type="fixed"/>
        <w:tblCellMar>
          <w:left w:w="70" w:type="dxa"/>
          <w:right w:w="70" w:type="dxa"/>
        </w:tblCellMar>
        <w:tblLook w:val="00A0" w:firstRow="1" w:lastRow="0" w:firstColumn="1" w:lastColumn="0" w:noHBand="0" w:noVBand="0"/>
      </w:tblPr>
      <w:tblGrid>
        <w:gridCol w:w="992"/>
        <w:gridCol w:w="940"/>
        <w:gridCol w:w="1135"/>
        <w:gridCol w:w="993"/>
        <w:gridCol w:w="902"/>
        <w:gridCol w:w="990"/>
        <w:gridCol w:w="1043"/>
        <w:gridCol w:w="26"/>
        <w:gridCol w:w="968"/>
        <w:gridCol w:w="993"/>
        <w:gridCol w:w="49"/>
        <w:gridCol w:w="944"/>
      </w:tblGrid>
      <w:tr w:rsidR="0023213C" w:rsidRPr="0023213C" w14:paraId="0D06CC63" w14:textId="77777777" w:rsidTr="0023213C">
        <w:trPr>
          <w:trHeight w:val="1585"/>
        </w:trPr>
        <w:tc>
          <w:tcPr>
            <w:tcW w:w="992" w:type="dxa"/>
            <w:tcBorders>
              <w:top w:val="single" w:sz="4" w:space="0" w:color="auto"/>
              <w:left w:val="single" w:sz="4" w:space="0" w:color="auto"/>
              <w:bottom w:val="single" w:sz="4" w:space="0" w:color="auto"/>
              <w:right w:val="single" w:sz="4" w:space="0" w:color="auto"/>
            </w:tcBorders>
            <w:hideMark/>
          </w:tcPr>
          <w:p w14:paraId="191F164B"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Година</w:t>
            </w:r>
          </w:p>
        </w:tc>
        <w:tc>
          <w:tcPr>
            <w:tcW w:w="940" w:type="dxa"/>
            <w:tcBorders>
              <w:top w:val="single" w:sz="4" w:space="0" w:color="auto"/>
              <w:left w:val="nil"/>
              <w:bottom w:val="single" w:sz="4" w:space="0" w:color="auto"/>
              <w:right w:val="single" w:sz="4" w:space="0" w:color="auto"/>
            </w:tcBorders>
            <w:hideMark/>
          </w:tcPr>
          <w:p w14:paraId="58A6F4B7" w14:textId="77777777" w:rsidR="0023213C" w:rsidRPr="0023213C" w:rsidRDefault="0023213C" w:rsidP="0023213C">
            <w:pPr>
              <w:spacing w:after="0"/>
              <w:rPr>
                <w:rFonts w:ascii="Times New Roman" w:eastAsia="Calibri" w:hAnsi="Times New Roman" w:cs="Times New Roman"/>
                <w:bCs/>
                <w:color w:val="000000"/>
                <w:sz w:val="24"/>
                <w:szCs w:val="24"/>
              </w:rPr>
            </w:pPr>
            <w:r w:rsidRPr="0023213C">
              <w:rPr>
                <w:rFonts w:ascii="Times New Roman" w:eastAsia="Calibri" w:hAnsi="Times New Roman" w:cs="Times New Roman"/>
                <w:bCs/>
                <w:color w:val="000000"/>
                <w:sz w:val="24"/>
                <w:szCs w:val="24"/>
              </w:rPr>
              <w:t>Наблюдавани ДП</w:t>
            </w:r>
          </w:p>
        </w:tc>
        <w:tc>
          <w:tcPr>
            <w:tcW w:w="1135" w:type="dxa"/>
            <w:tcBorders>
              <w:top w:val="single" w:sz="4" w:space="0" w:color="auto"/>
              <w:left w:val="nil"/>
              <w:bottom w:val="single" w:sz="4" w:space="0" w:color="auto"/>
              <w:right w:val="single" w:sz="4" w:space="0" w:color="auto"/>
            </w:tcBorders>
            <w:hideMark/>
          </w:tcPr>
          <w:p w14:paraId="1806F689"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Новооб</w:t>
            </w:r>
          </w:p>
          <w:p w14:paraId="5E2CA861"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разувани ДП</w:t>
            </w:r>
          </w:p>
        </w:tc>
        <w:tc>
          <w:tcPr>
            <w:tcW w:w="993" w:type="dxa"/>
            <w:tcBorders>
              <w:top w:val="single" w:sz="4" w:space="0" w:color="auto"/>
              <w:left w:val="nil"/>
              <w:bottom w:val="single" w:sz="4" w:space="0" w:color="auto"/>
              <w:right w:val="single" w:sz="4" w:space="0" w:color="auto"/>
            </w:tcBorders>
            <w:hideMark/>
          </w:tcPr>
          <w:p w14:paraId="72447D6F"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Приклю</w:t>
            </w:r>
          </w:p>
          <w:p w14:paraId="488CF041"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чени разследвания</w:t>
            </w:r>
          </w:p>
        </w:tc>
        <w:tc>
          <w:tcPr>
            <w:tcW w:w="902" w:type="dxa"/>
            <w:tcBorders>
              <w:top w:val="single" w:sz="4" w:space="0" w:color="auto"/>
              <w:left w:val="nil"/>
              <w:bottom w:val="single" w:sz="4" w:space="0" w:color="auto"/>
              <w:right w:val="single" w:sz="4" w:space="0" w:color="auto"/>
            </w:tcBorders>
            <w:hideMark/>
          </w:tcPr>
          <w:p w14:paraId="61E9BADD"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Реше</w:t>
            </w:r>
          </w:p>
          <w:p w14:paraId="5EB2948A"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ни ДП</w:t>
            </w:r>
          </w:p>
        </w:tc>
        <w:tc>
          <w:tcPr>
            <w:tcW w:w="990" w:type="dxa"/>
            <w:tcBorders>
              <w:top w:val="single" w:sz="4" w:space="0" w:color="auto"/>
              <w:left w:val="nil"/>
              <w:bottom w:val="single" w:sz="4" w:space="0" w:color="auto"/>
              <w:right w:val="single" w:sz="4" w:space="0" w:color="auto"/>
            </w:tcBorders>
            <w:hideMark/>
          </w:tcPr>
          <w:p w14:paraId="03F94D53"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Проку</w:t>
            </w:r>
          </w:p>
          <w:p w14:paraId="0E181ECE"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рорски актове, внесени в съда</w:t>
            </w:r>
          </w:p>
        </w:tc>
        <w:tc>
          <w:tcPr>
            <w:tcW w:w="1069" w:type="dxa"/>
            <w:gridSpan w:val="2"/>
            <w:tcBorders>
              <w:top w:val="single" w:sz="4" w:space="0" w:color="auto"/>
              <w:left w:val="nil"/>
              <w:bottom w:val="single" w:sz="4" w:space="0" w:color="auto"/>
              <w:right w:val="single" w:sz="4" w:space="0" w:color="auto"/>
            </w:tcBorders>
            <w:hideMark/>
          </w:tcPr>
          <w:p w14:paraId="4E627A69"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Предадени на съд лица</w:t>
            </w:r>
          </w:p>
        </w:tc>
        <w:tc>
          <w:tcPr>
            <w:tcW w:w="968" w:type="dxa"/>
            <w:tcBorders>
              <w:top w:val="single" w:sz="4" w:space="0" w:color="auto"/>
              <w:left w:val="nil"/>
              <w:bottom w:val="single" w:sz="4" w:space="0" w:color="auto"/>
              <w:right w:val="single" w:sz="4" w:space="0" w:color="auto"/>
            </w:tcBorders>
            <w:hideMark/>
          </w:tcPr>
          <w:p w14:paraId="32FEE31D"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Върна</w:t>
            </w:r>
          </w:p>
          <w:p w14:paraId="775BA89F"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ти от съда ДП</w:t>
            </w:r>
          </w:p>
        </w:tc>
        <w:tc>
          <w:tcPr>
            <w:tcW w:w="1042" w:type="dxa"/>
            <w:gridSpan w:val="2"/>
            <w:tcBorders>
              <w:top w:val="single" w:sz="4" w:space="0" w:color="auto"/>
              <w:left w:val="nil"/>
              <w:bottom w:val="single" w:sz="4" w:space="0" w:color="auto"/>
              <w:right w:val="single" w:sz="4" w:space="0" w:color="auto"/>
            </w:tcBorders>
            <w:hideMark/>
          </w:tcPr>
          <w:p w14:paraId="1260DAD8"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Осъдени лица с влязъл в сила съдебен акт</w:t>
            </w:r>
          </w:p>
        </w:tc>
        <w:tc>
          <w:tcPr>
            <w:tcW w:w="944" w:type="dxa"/>
            <w:tcBorders>
              <w:top w:val="single" w:sz="4" w:space="0" w:color="auto"/>
              <w:left w:val="nil"/>
              <w:bottom w:val="single" w:sz="4" w:space="0" w:color="auto"/>
              <w:right w:val="single" w:sz="4" w:space="0" w:color="auto"/>
            </w:tcBorders>
            <w:hideMark/>
          </w:tcPr>
          <w:p w14:paraId="28B84658"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Оправ</w:t>
            </w:r>
          </w:p>
          <w:p w14:paraId="406F6873"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дани лица с влязъл в сила съд. акт</w:t>
            </w:r>
          </w:p>
        </w:tc>
      </w:tr>
      <w:tr w:rsidR="0023213C" w:rsidRPr="0023213C" w14:paraId="28FC8010" w14:textId="77777777" w:rsidTr="0023213C">
        <w:trPr>
          <w:trHeight w:val="330"/>
        </w:trPr>
        <w:tc>
          <w:tcPr>
            <w:tcW w:w="992" w:type="dxa"/>
            <w:tcBorders>
              <w:top w:val="single" w:sz="4" w:space="0" w:color="auto"/>
              <w:left w:val="single" w:sz="8" w:space="0" w:color="auto"/>
              <w:bottom w:val="single" w:sz="4" w:space="0" w:color="auto"/>
              <w:right w:val="single" w:sz="4" w:space="0" w:color="auto"/>
            </w:tcBorders>
            <w:shd w:val="clear" w:color="auto" w:fill="C2D69B" w:themeFill="accent3" w:themeFillTint="99"/>
            <w:hideMark/>
          </w:tcPr>
          <w:p w14:paraId="58DBA5D0"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2022</w:t>
            </w:r>
          </w:p>
        </w:tc>
        <w:tc>
          <w:tcPr>
            <w:tcW w:w="940" w:type="dxa"/>
            <w:tcBorders>
              <w:top w:val="single" w:sz="4" w:space="0" w:color="auto"/>
              <w:left w:val="nil"/>
              <w:bottom w:val="single" w:sz="8" w:space="0" w:color="auto"/>
              <w:right w:val="single" w:sz="4" w:space="0" w:color="auto"/>
            </w:tcBorders>
            <w:shd w:val="clear" w:color="auto" w:fill="C2D69B" w:themeFill="accent3" w:themeFillTint="99"/>
            <w:hideMark/>
          </w:tcPr>
          <w:p w14:paraId="7D751113" w14:textId="77777777" w:rsidR="0023213C" w:rsidRPr="0023213C" w:rsidRDefault="0023213C" w:rsidP="0023213C">
            <w:pPr>
              <w:spacing w:after="0"/>
              <w:rPr>
                <w:rFonts w:ascii="Times New Roman" w:eastAsia="Calibri" w:hAnsi="Times New Roman" w:cs="Times New Roman"/>
                <w:bCs/>
                <w:color w:val="000000"/>
                <w:sz w:val="24"/>
                <w:szCs w:val="24"/>
              </w:rPr>
            </w:pPr>
            <w:r w:rsidRPr="0023213C">
              <w:rPr>
                <w:rFonts w:ascii="Times New Roman" w:eastAsia="Calibri" w:hAnsi="Times New Roman" w:cs="Times New Roman"/>
                <w:bCs/>
                <w:color w:val="000000"/>
                <w:sz w:val="24"/>
                <w:szCs w:val="24"/>
              </w:rPr>
              <w:t>5</w:t>
            </w:r>
          </w:p>
        </w:tc>
        <w:tc>
          <w:tcPr>
            <w:tcW w:w="1135" w:type="dxa"/>
            <w:tcBorders>
              <w:top w:val="single" w:sz="4" w:space="0" w:color="auto"/>
              <w:left w:val="nil"/>
              <w:bottom w:val="single" w:sz="4" w:space="0" w:color="auto"/>
              <w:right w:val="single" w:sz="4" w:space="0" w:color="auto"/>
            </w:tcBorders>
            <w:shd w:val="clear" w:color="auto" w:fill="C2D69B" w:themeFill="accent3" w:themeFillTint="99"/>
            <w:hideMark/>
          </w:tcPr>
          <w:p w14:paraId="0F1CF10E"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3</w:t>
            </w:r>
          </w:p>
        </w:tc>
        <w:tc>
          <w:tcPr>
            <w:tcW w:w="993" w:type="dxa"/>
            <w:tcBorders>
              <w:top w:val="single" w:sz="4" w:space="0" w:color="auto"/>
              <w:left w:val="nil"/>
              <w:bottom w:val="single" w:sz="4" w:space="0" w:color="auto"/>
              <w:right w:val="single" w:sz="4" w:space="0" w:color="auto"/>
            </w:tcBorders>
            <w:shd w:val="clear" w:color="auto" w:fill="C2D69B" w:themeFill="accent3" w:themeFillTint="99"/>
            <w:hideMark/>
          </w:tcPr>
          <w:p w14:paraId="64584FF8"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1</w:t>
            </w:r>
          </w:p>
        </w:tc>
        <w:tc>
          <w:tcPr>
            <w:tcW w:w="902" w:type="dxa"/>
            <w:tcBorders>
              <w:top w:val="single" w:sz="4" w:space="0" w:color="auto"/>
              <w:left w:val="nil"/>
              <w:bottom w:val="single" w:sz="4" w:space="0" w:color="auto"/>
              <w:right w:val="single" w:sz="4" w:space="0" w:color="auto"/>
            </w:tcBorders>
            <w:shd w:val="clear" w:color="auto" w:fill="C2D69B" w:themeFill="accent3" w:themeFillTint="99"/>
            <w:hideMark/>
          </w:tcPr>
          <w:p w14:paraId="2B00CB8A"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2</w:t>
            </w:r>
          </w:p>
        </w:tc>
        <w:tc>
          <w:tcPr>
            <w:tcW w:w="990" w:type="dxa"/>
            <w:tcBorders>
              <w:top w:val="single" w:sz="4" w:space="0" w:color="auto"/>
              <w:left w:val="nil"/>
              <w:bottom w:val="single" w:sz="4" w:space="0" w:color="auto"/>
              <w:right w:val="single" w:sz="4" w:space="0" w:color="auto"/>
            </w:tcBorders>
            <w:shd w:val="clear" w:color="auto" w:fill="C2D69B" w:themeFill="accent3" w:themeFillTint="99"/>
            <w:hideMark/>
          </w:tcPr>
          <w:p w14:paraId="588D3CEE"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c>
          <w:tcPr>
            <w:tcW w:w="1043" w:type="dxa"/>
            <w:tcBorders>
              <w:top w:val="single" w:sz="4" w:space="0" w:color="auto"/>
              <w:left w:val="nil"/>
              <w:bottom w:val="single" w:sz="4" w:space="0" w:color="auto"/>
              <w:right w:val="single" w:sz="4" w:space="0" w:color="auto"/>
            </w:tcBorders>
            <w:shd w:val="clear" w:color="auto" w:fill="C2D69B" w:themeFill="accent3" w:themeFillTint="99"/>
            <w:hideMark/>
          </w:tcPr>
          <w:p w14:paraId="3D676176"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c>
          <w:tcPr>
            <w:tcW w:w="994" w:type="dxa"/>
            <w:gridSpan w:val="2"/>
            <w:tcBorders>
              <w:top w:val="single" w:sz="4" w:space="0" w:color="auto"/>
              <w:left w:val="nil"/>
              <w:bottom w:val="single" w:sz="4" w:space="0" w:color="auto"/>
              <w:right w:val="single" w:sz="4" w:space="0" w:color="auto"/>
            </w:tcBorders>
            <w:shd w:val="clear" w:color="auto" w:fill="C2D69B" w:themeFill="accent3" w:themeFillTint="99"/>
            <w:hideMark/>
          </w:tcPr>
          <w:p w14:paraId="4212AE07"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c>
          <w:tcPr>
            <w:tcW w:w="993" w:type="dxa"/>
            <w:tcBorders>
              <w:top w:val="single" w:sz="4" w:space="0" w:color="auto"/>
              <w:left w:val="nil"/>
              <w:bottom w:val="single" w:sz="4" w:space="0" w:color="auto"/>
              <w:right w:val="single" w:sz="4" w:space="0" w:color="auto"/>
            </w:tcBorders>
            <w:shd w:val="clear" w:color="auto" w:fill="C2D69B" w:themeFill="accent3" w:themeFillTint="99"/>
            <w:hideMark/>
          </w:tcPr>
          <w:p w14:paraId="61AB2B4A"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c>
          <w:tcPr>
            <w:tcW w:w="993" w:type="dxa"/>
            <w:gridSpan w:val="2"/>
            <w:tcBorders>
              <w:top w:val="single" w:sz="4" w:space="0" w:color="auto"/>
              <w:left w:val="nil"/>
              <w:bottom w:val="single" w:sz="4" w:space="0" w:color="auto"/>
              <w:right w:val="single" w:sz="8" w:space="0" w:color="auto"/>
            </w:tcBorders>
            <w:shd w:val="clear" w:color="auto" w:fill="C2D69B" w:themeFill="accent3" w:themeFillTint="99"/>
            <w:hideMark/>
          </w:tcPr>
          <w:p w14:paraId="7EA8B389"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r>
      <w:tr w:rsidR="0023213C" w:rsidRPr="0023213C" w14:paraId="04948E01" w14:textId="77777777" w:rsidTr="0023213C">
        <w:trPr>
          <w:trHeight w:val="330"/>
        </w:trPr>
        <w:tc>
          <w:tcPr>
            <w:tcW w:w="992" w:type="dxa"/>
            <w:tcBorders>
              <w:top w:val="single" w:sz="8" w:space="0" w:color="auto"/>
              <w:left w:val="single" w:sz="8" w:space="0" w:color="auto"/>
              <w:bottom w:val="single" w:sz="4" w:space="0" w:color="auto"/>
              <w:right w:val="single" w:sz="4" w:space="0" w:color="auto"/>
            </w:tcBorders>
            <w:hideMark/>
          </w:tcPr>
          <w:p w14:paraId="79C9B1DD"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2021</w:t>
            </w:r>
          </w:p>
        </w:tc>
        <w:tc>
          <w:tcPr>
            <w:tcW w:w="940" w:type="dxa"/>
            <w:tcBorders>
              <w:top w:val="single" w:sz="8" w:space="0" w:color="auto"/>
              <w:left w:val="nil"/>
              <w:bottom w:val="single" w:sz="8" w:space="0" w:color="auto"/>
              <w:right w:val="single" w:sz="4" w:space="0" w:color="auto"/>
            </w:tcBorders>
            <w:hideMark/>
          </w:tcPr>
          <w:p w14:paraId="49B95323" w14:textId="77777777" w:rsidR="0023213C" w:rsidRPr="0023213C" w:rsidRDefault="0023213C" w:rsidP="0023213C">
            <w:pPr>
              <w:spacing w:after="0"/>
              <w:rPr>
                <w:rFonts w:ascii="Times New Roman" w:eastAsia="Calibri" w:hAnsi="Times New Roman" w:cs="Times New Roman"/>
                <w:bCs/>
                <w:color w:val="000000"/>
                <w:sz w:val="24"/>
                <w:szCs w:val="24"/>
              </w:rPr>
            </w:pPr>
            <w:r w:rsidRPr="0023213C">
              <w:rPr>
                <w:rFonts w:ascii="Times New Roman" w:eastAsia="Calibri" w:hAnsi="Times New Roman" w:cs="Times New Roman"/>
                <w:bCs/>
                <w:color w:val="000000"/>
                <w:sz w:val="24"/>
                <w:szCs w:val="24"/>
              </w:rPr>
              <w:t>9</w:t>
            </w:r>
          </w:p>
        </w:tc>
        <w:tc>
          <w:tcPr>
            <w:tcW w:w="1135" w:type="dxa"/>
            <w:tcBorders>
              <w:top w:val="single" w:sz="8" w:space="0" w:color="auto"/>
              <w:left w:val="nil"/>
              <w:bottom w:val="single" w:sz="4" w:space="0" w:color="auto"/>
              <w:right w:val="single" w:sz="4" w:space="0" w:color="auto"/>
            </w:tcBorders>
            <w:hideMark/>
          </w:tcPr>
          <w:p w14:paraId="65B73643"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1</w:t>
            </w:r>
          </w:p>
        </w:tc>
        <w:tc>
          <w:tcPr>
            <w:tcW w:w="993" w:type="dxa"/>
            <w:tcBorders>
              <w:top w:val="single" w:sz="8" w:space="0" w:color="auto"/>
              <w:left w:val="nil"/>
              <w:bottom w:val="single" w:sz="4" w:space="0" w:color="auto"/>
              <w:right w:val="single" w:sz="4" w:space="0" w:color="auto"/>
            </w:tcBorders>
            <w:hideMark/>
          </w:tcPr>
          <w:p w14:paraId="40A98C4B"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5</w:t>
            </w:r>
          </w:p>
        </w:tc>
        <w:tc>
          <w:tcPr>
            <w:tcW w:w="902" w:type="dxa"/>
            <w:tcBorders>
              <w:top w:val="single" w:sz="8" w:space="0" w:color="auto"/>
              <w:left w:val="nil"/>
              <w:bottom w:val="single" w:sz="4" w:space="0" w:color="auto"/>
              <w:right w:val="single" w:sz="4" w:space="0" w:color="auto"/>
            </w:tcBorders>
            <w:hideMark/>
          </w:tcPr>
          <w:p w14:paraId="4377FEED"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8</w:t>
            </w:r>
          </w:p>
        </w:tc>
        <w:tc>
          <w:tcPr>
            <w:tcW w:w="990" w:type="dxa"/>
            <w:tcBorders>
              <w:top w:val="single" w:sz="8" w:space="0" w:color="auto"/>
              <w:left w:val="nil"/>
              <w:bottom w:val="single" w:sz="4" w:space="0" w:color="auto"/>
              <w:right w:val="single" w:sz="4" w:space="0" w:color="auto"/>
            </w:tcBorders>
            <w:hideMark/>
          </w:tcPr>
          <w:p w14:paraId="6D7B903A"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c>
          <w:tcPr>
            <w:tcW w:w="1043" w:type="dxa"/>
            <w:tcBorders>
              <w:top w:val="single" w:sz="8" w:space="0" w:color="auto"/>
              <w:left w:val="nil"/>
              <w:bottom w:val="single" w:sz="4" w:space="0" w:color="auto"/>
              <w:right w:val="single" w:sz="4" w:space="0" w:color="auto"/>
            </w:tcBorders>
            <w:hideMark/>
          </w:tcPr>
          <w:p w14:paraId="385901DF"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c>
          <w:tcPr>
            <w:tcW w:w="994" w:type="dxa"/>
            <w:gridSpan w:val="2"/>
            <w:tcBorders>
              <w:top w:val="single" w:sz="8" w:space="0" w:color="auto"/>
              <w:left w:val="nil"/>
              <w:bottom w:val="single" w:sz="4" w:space="0" w:color="auto"/>
              <w:right w:val="single" w:sz="4" w:space="0" w:color="auto"/>
            </w:tcBorders>
            <w:hideMark/>
          </w:tcPr>
          <w:p w14:paraId="49A9AB24"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c>
          <w:tcPr>
            <w:tcW w:w="993" w:type="dxa"/>
            <w:tcBorders>
              <w:top w:val="single" w:sz="8" w:space="0" w:color="auto"/>
              <w:left w:val="nil"/>
              <w:bottom w:val="single" w:sz="4" w:space="0" w:color="auto"/>
              <w:right w:val="single" w:sz="4" w:space="0" w:color="auto"/>
            </w:tcBorders>
            <w:hideMark/>
          </w:tcPr>
          <w:p w14:paraId="0D1769D6"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c>
          <w:tcPr>
            <w:tcW w:w="993" w:type="dxa"/>
            <w:gridSpan w:val="2"/>
            <w:tcBorders>
              <w:top w:val="single" w:sz="8" w:space="0" w:color="auto"/>
              <w:left w:val="nil"/>
              <w:bottom w:val="single" w:sz="4" w:space="0" w:color="auto"/>
              <w:right w:val="single" w:sz="8" w:space="0" w:color="auto"/>
            </w:tcBorders>
            <w:hideMark/>
          </w:tcPr>
          <w:p w14:paraId="5643DD7B"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r>
      <w:tr w:rsidR="0023213C" w:rsidRPr="0023213C" w14:paraId="358D02B7" w14:textId="77777777" w:rsidTr="0023213C">
        <w:trPr>
          <w:trHeight w:val="330"/>
        </w:trPr>
        <w:tc>
          <w:tcPr>
            <w:tcW w:w="992" w:type="dxa"/>
            <w:tcBorders>
              <w:top w:val="single" w:sz="8" w:space="0" w:color="auto"/>
              <w:left w:val="single" w:sz="8" w:space="0" w:color="auto"/>
              <w:bottom w:val="single" w:sz="4" w:space="0" w:color="auto"/>
              <w:right w:val="single" w:sz="4" w:space="0" w:color="auto"/>
            </w:tcBorders>
            <w:hideMark/>
          </w:tcPr>
          <w:p w14:paraId="5218796E"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2020</w:t>
            </w:r>
          </w:p>
        </w:tc>
        <w:tc>
          <w:tcPr>
            <w:tcW w:w="940" w:type="dxa"/>
            <w:tcBorders>
              <w:top w:val="single" w:sz="8" w:space="0" w:color="auto"/>
              <w:left w:val="nil"/>
              <w:bottom w:val="single" w:sz="4" w:space="0" w:color="auto"/>
              <w:right w:val="single" w:sz="4" w:space="0" w:color="auto"/>
            </w:tcBorders>
            <w:hideMark/>
          </w:tcPr>
          <w:p w14:paraId="0FF74C3A" w14:textId="77777777" w:rsidR="0023213C" w:rsidRPr="0023213C" w:rsidRDefault="0023213C" w:rsidP="0023213C">
            <w:pPr>
              <w:spacing w:after="0"/>
              <w:rPr>
                <w:rFonts w:ascii="Times New Roman" w:eastAsia="Calibri" w:hAnsi="Times New Roman" w:cs="Times New Roman"/>
                <w:bCs/>
                <w:color w:val="000000"/>
                <w:sz w:val="24"/>
                <w:szCs w:val="24"/>
              </w:rPr>
            </w:pPr>
            <w:r w:rsidRPr="0023213C">
              <w:rPr>
                <w:rFonts w:ascii="Times New Roman" w:eastAsia="Calibri" w:hAnsi="Times New Roman" w:cs="Times New Roman"/>
                <w:bCs/>
                <w:color w:val="000000"/>
                <w:sz w:val="24"/>
                <w:szCs w:val="24"/>
              </w:rPr>
              <w:t>8</w:t>
            </w:r>
          </w:p>
        </w:tc>
        <w:tc>
          <w:tcPr>
            <w:tcW w:w="1135" w:type="dxa"/>
            <w:tcBorders>
              <w:top w:val="single" w:sz="8" w:space="0" w:color="auto"/>
              <w:left w:val="nil"/>
              <w:bottom w:val="single" w:sz="4" w:space="0" w:color="auto"/>
              <w:right w:val="single" w:sz="4" w:space="0" w:color="auto"/>
            </w:tcBorders>
            <w:hideMark/>
          </w:tcPr>
          <w:p w14:paraId="1D3409B1"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2</w:t>
            </w:r>
          </w:p>
        </w:tc>
        <w:tc>
          <w:tcPr>
            <w:tcW w:w="993" w:type="dxa"/>
            <w:tcBorders>
              <w:top w:val="single" w:sz="8" w:space="0" w:color="auto"/>
              <w:left w:val="nil"/>
              <w:bottom w:val="single" w:sz="4" w:space="0" w:color="auto"/>
              <w:right w:val="single" w:sz="4" w:space="0" w:color="auto"/>
            </w:tcBorders>
            <w:hideMark/>
          </w:tcPr>
          <w:p w14:paraId="70647CC0"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2</w:t>
            </w:r>
          </w:p>
        </w:tc>
        <w:tc>
          <w:tcPr>
            <w:tcW w:w="902" w:type="dxa"/>
            <w:tcBorders>
              <w:top w:val="single" w:sz="8" w:space="0" w:color="auto"/>
              <w:left w:val="nil"/>
              <w:bottom w:val="single" w:sz="4" w:space="0" w:color="auto"/>
              <w:right w:val="single" w:sz="4" w:space="0" w:color="auto"/>
            </w:tcBorders>
            <w:hideMark/>
          </w:tcPr>
          <w:p w14:paraId="5A12CD75"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3</w:t>
            </w:r>
          </w:p>
        </w:tc>
        <w:tc>
          <w:tcPr>
            <w:tcW w:w="990" w:type="dxa"/>
            <w:tcBorders>
              <w:top w:val="single" w:sz="8" w:space="0" w:color="auto"/>
              <w:left w:val="nil"/>
              <w:bottom w:val="single" w:sz="4" w:space="0" w:color="auto"/>
              <w:right w:val="single" w:sz="4" w:space="0" w:color="auto"/>
            </w:tcBorders>
            <w:hideMark/>
          </w:tcPr>
          <w:p w14:paraId="1E60D726"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c>
          <w:tcPr>
            <w:tcW w:w="1043" w:type="dxa"/>
            <w:tcBorders>
              <w:top w:val="single" w:sz="8" w:space="0" w:color="auto"/>
              <w:left w:val="nil"/>
              <w:bottom w:val="single" w:sz="4" w:space="0" w:color="auto"/>
              <w:right w:val="single" w:sz="4" w:space="0" w:color="auto"/>
            </w:tcBorders>
            <w:hideMark/>
          </w:tcPr>
          <w:p w14:paraId="042A97E3"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c>
          <w:tcPr>
            <w:tcW w:w="994" w:type="dxa"/>
            <w:gridSpan w:val="2"/>
            <w:tcBorders>
              <w:top w:val="single" w:sz="8" w:space="0" w:color="auto"/>
              <w:left w:val="nil"/>
              <w:bottom w:val="single" w:sz="4" w:space="0" w:color="auto"/>
              <w:right w:val="single" w:sz="4" w:space="0" w:color="auto"/>
            </w:tcBorders>
            <w:hideMark/>
          </w:tcPr>
          <w:p w14:paraId="71119316"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c>
          <w:tcPr>
            <w:tcW w:w="993" w:type="dxa"/>
            <w:tcBorders>
              <w:top w:val="single" w:sz="8" w:space="0" w:color="auto"/>
              <w:left w:val="nil"/>
              <w:bottom w:val="single" w:sz="4" w:space="0" w:color="auto"/>
              <w:right w:val="single" w:sz="4" w:space="0" w:color="auto"/>
            </w:tcBorders>
            <w:hideMark/>
          </w:tcPr>
          <w:p w14:paraId="4A44B8F7"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c>
          <w:tcPr>
            <w:tcW w:w="993" w:type="dxa"/>
            <w:gridSpan w:val="2"/>
            <w:tcBorders>
              <w:top w:val="single" w:sz="8" w:space="0" w:color="auto"/>
              <w:left w:val="nil"/>
              <w:bottom w:val="single" w:sz="4" w:space="0" w:color="auto"/>
              <w:right w:val="single" w:sz="8" w:space="0" w:color="auto"/>
            </w:tcBorders>
            <w:hideMark/>
          </w:tcPr>
          <w:p w14:paraId="4978ACE1"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r>
    </w:tbl>
    <w:p w14:paraId="7DADEB30" w14:textId="68504DE9"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bCs/>
          <w:sz w:val="28"/>
          <w:szCs w:val="28"/>
        </w:rPr>
        <w:t xml:space="preserve"> </w:t>
      </w:r>
      <w:r w:rsidR="00FC76F9">
        <w:rPr>
          <w:rFonts w:ascii="Times New Roman" w:eastAsia="Calibri" w:hAnsi="Times New Roman" w:cs="Times New Roman"/>
          <w:bCs/>
          <w:sz w:val="28"/>
          <w:szCs w:val="28"/>
        </w:rPr>
        <w:tab/>
      </w:r>
      <w:proofErr w:type="spellStart"/>
      <w:r w:rsidRPr="0023213C">
        <w:rPr>
          <w:rFonts w:ascii="Times New Roman" w:eastAsia="Calibri" w:hAnsi="Times New Roman" w:cs="Times New Roman"/>
          <w:bCs/>
          <w:sz w:val="28"/>
          <w:szCs w:val="28"/>
          <w:lang w:val="en-US"/>
        </w:rPr>
        <w:t>През</w:t>
      </w:r>
      <w:proofErr w:type="spellEnd"/>
      <w:r w:rsidRPr="0023213C">
        <w:rPr>
          <w:rFonts w:ascii="Times New Roman" w:eastAsia="Calibri" w:hAnsi="Times New Roman" w:cs="Times New Roman"/>
          <w:bCs/>
          <w:sz w:val="28"/>
          <w:szCs w:val="28"/>
          <w:lang w:val="en-US"/>
        </w:rPr>
        <w:t xml:space="preserve"> </w:t>
      </w:r>
      <w:r w:rsidRPr="0023213C">
        <w:rPr>
          <w:rFonts w:ascii="Times New Roman" w:eastAsia="Calibri" w:hAnsi="Times New Roman" w:cs="Times New Roman"/>
          <w:bCs/>
          <w:sz w:val="28"/>
          <w:szCs w:val="28"/>
        </w:rPr>
        <w:t xml:space="preserve"> 2022 год. са наблюдавани общо 5 бр. ДП, образувани за престъпления, свързани с незаконен трафик на хора. / В сравнение през </w:t>
      </w:r>
      <w:r w:rsidRPr="0023213C">
        <w:rPr>
          <w:rFonts w:ascii="Times New Roman" w:eastAsia="Calibri" w:hAnsi="Times New Roman" w:cs="Times New Roman"/>
          <w:bCs/>
          <w:sz w:val="28"/>
          <w:szCs w:val="28"/>
          <w:lang w:val="en-US"/>
        </w:rPr>
        <w:t>20</w:t>
      </w:r>
      <w:r w:rsidRPr="0023213C">
        <w:rPr>
          <w:rFonts w:ascii="Times New Roman" w:eastAsia="Calibri" w:hAnsi="Times New Roman" w:cs="Times New Roman"/>
          <w:bCs/>
          <w:sz w:val="28"/>
          <w:szCs w:val="28"/>
        </w:rPr>
        <w:t>21</w:t>
      </w:r>
      <w:r w:rsidRPr="0023213C">
        <w:rPr>
          <w:rFonts w:ascii="Times New Roman" w:eastAsia="Calibri" w:hAnsi="Times New Roman" w:cs="Times New Roman"/>
          <w:bCs/>
          <w:sz w:val="28"/>
          <w:szCs w:val="28"/>
          <w:lang w:val="en-US"/>
        </w:rPr>
        <w:t xml:space="preserve"> </w:t>
      </w:r>
      <w:proofErr w:type="spellStart"/>
      <w:r w:rsidRPr="0023213C">
        <w:rPr>
          <w:rFonts w:ascii="Times New Roman" w:eastAsia="Calibri" w:hAnsi="Times New Roman" w:cs="Times New Roman"/>
          <w:bCs/>
          <w:sz w:val="28"/>
          <w:szCs w:val="28"/>
          <w:lang w:val="en-US"/>
        </w:rPr>
        <w:t>год</w:t>
      </w:r>
      <w:proofErr w:type="spellEnd"/>
      <w:r w:rsidRPr="0023213C">
        <w:rPr>
          <w:rFonts w:ascii="Times New Roman" w:eastAsia="Calibri" w:hAnsi="Times New Roman" w:cs="Times New Roman"/>
          <w:bCs/>
          <w:sz w:val="28"/>
          <w:szCs w:val="28"/>
          <w:lang w:val="en-US"/>
        </w:rPr>
        <w:t xml:space="preserve">. </w:t>
      </w:r>
      <w:r w:rsidRPr="0023213C">
        <w:rPr>
          <w:rFonts w:ascii="Times New Roman" w:eastAsia="Calibri" w:hAnsi="Times New Roman" w:cs="Times New Roman"/>
          <w:bCs/>
          <w:sz w:val="28"/>
          <w:szCs w:val="28"/>
        </w:rPr>
        <w:t>са наблюдавани общо 9 бр. досъдебни производства, а  през 2020 год. са наблюдавани 8бр.ДП досъдебни производства, образувани за престъпления, свързани с незаконен трафик на хора.Новообразувани за периода  са 3 бр. ДП.</w:t>
      </w:r>
    </w:p>
    <w:p w14:paraId="14247FEF"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Cs/>
          <w:color w:val="000000"/>
          <w:sz w:val="28"/>
          <w:szCs w:val="28"/>
          <w:u w:val="single"/>
          <w:lang w:eastAsia="bg-BG"/>
        </w:rPr>
      </w:pPr>
      <w:bookmarkStart w:id="96" w:name="_Toc127285417"/>
      <w:bookmarkStart w:id="97" w:name="_Toc127370298"/>
      <w:r w:rsidRPr="0023213C">
        <w:rPr>
          <w:rFonts w:ascii="Times New Roman" w:eastAsia="Calibri" w:hAnsi="Times New Roman" w:cs="Times New Roman"/>
          <w:color w:val="000000"/>
          <w:sz w:val="28"/>
          <w:u w:val="single"/>
          <w:lang w:eastAsia="bg-BG"/>
        </w:rPr>
        <w:t>10.1. Структурно разпределение на наблюдаваните ДП</w:t>
      </w:r>
      <w:r w:rsidRPr="0023213C">
        <w:rPr>
          <w:rFonts w:ascii="Times New Roman" w:eastAsia="Calibri" w:hAnsi="Times New Roman" w:cs="Times New Roman"/>
          <w:color w:val="000000"/>
          <w:sz w:val="28"/>
          <w:lang w:eastAsia="bg-BG"/>
        </w:rPr>
        <w:t>, съобразно съставите на престъпленията по НК:</w:t>
      </w:r>
      <w:bookmarkEnd w:id="96"/>
      <w:bookmarkEnd w:id="97"/>
    </w:p>
    <w:p w14:paraId="574CB217"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по чл. 159а, ал. 1 НК – 1 бр.; </w:t>
      </w:r>
    </w:p>
    <w:p w14:paraId="3458F406"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По чл. 159а ал.2 НК – няма ;</w:t>
      </w:r>
    </w:p>
    <w:p w14:paraId="53965196"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по чл. 159б, ал. 1 НК – 1 бр.;</w:t>
      </w:r>
    </w:p>
    <w:p w14:paraId="48C4C54D"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по чл. 159б ал.2 вр. с чл.159а ал.2- 3бр.; </w:t>
      </w:r>
    </w:p>
    <w:p w14:paraId="3FD204B2"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по чл. 159г НК – няма. </w:t>
      </w:r>
    </w:p>
    <w:p w14:paraId="770B05D0"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Times New Roman"/>
          <w:color w:val="000000"/>
          <w:sz w:val="28"/>
          <w:u w:val="single"/>
          <w:lang w:eastAsia="bg-BG"/>
        </w:rPr>
      </w:pPr>
      <w:bookmarkStart w:id="98" w:name="_Toc127285418"/>
      <w:bookmarkStart w:id="99" w:name="_Toc127370299"/>
      <w:r w:rsidRPr="0023213C">
        <w:rPr>
          <w:rFonts w:ascii="Times New Roman" w:eastAsia="Calibri" w:hAnsi="Times New Roman" w:cs="Times New Roman"/>
          <w:color w:val="000000"/>
          <w:sz w:val="28"/>
          <w:u w:val="single"/>
          <w:lang w:eastAsia="bg-BG"/>
        </w:rPr>
        <w:t>10.2. Срочност на разследването:</w:t>
      </w:r>
      <w:bookmarkEnd w:id="98"/>
      <w:bookmarkEnd w:id="99"/>
    </w:p>
    <w:p w14:paraId="7CEB0501"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p>
    <w:p w14:paraId="5F2BEEB9" w14:textId="5132135C" w:rsidR="0023213C" w:rsidRPr="0023213C" w:rsidRDefault="0023213C" w:rsidP="00FC76F9">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Разследването е приключило по1 бр. ДП/ при 5бр.ДП за 2021 г</w:t>
      </w:r>
      <w:r w:rsidR="00D5719B">
        <w:rPr>
          <w:rFonts w:ascii="Times New Roman" w:eastAsia="Calibri" w:hAnsi="Times New Roman" w:cs="Times New Roman"/>
          <w:sz w:val="28"/>
          <w:szCs w:val="28"/>
        </w:rPr>
        <w:t>од. и при при 2 бр. ДП за 2020г</w:t>
      </w:r>
      <w:r w:rsidRPr="0023213C">
        <w:rPr>
          <w:rFonts w:ascii="Times New Roman" w:eastAsia="Calibri" w:hAnsi="Times New Roman" w:cs="Times New Roman"/>
          <w:sz w:val="28"/>
          <w:szCs w:val="28"/>
        </w:rPr>
        <w:t xml:space="preserve">./.  Налице е  тенденция за  увеличение на  новообразуваните в сравнение с предходен период. И през отчетния период се запазва тенденцията, както и през предходните години, за липса на досъдебни производства, приключени извън законовите срокове; </w:t>
      </w:r>
    </w:p>
    <w:p w14:paraId="337216AF"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bookmarkStart w:id="100" w:name="_Toc127285419"/>
      <w:bookmarkStart w:id="101" w:name="_Toc127370300"/>
      <w:r w:rsidRPr="0023213C">
        <w:rPr>
          <w:rFonts w:ascii="Times New Roman" w:eastAsia="Calibri" w:hAnsi="Times New Roman" w:cs="Times New Roman"/>
          <w:color w:val="000000"/>
          <w:sz w:val="28"/>
          <w:u w:val="single"/>
          <w:lang w:eastAsia="bg-BG"/>
        </w:rPr>
        <w:t>10.3. Резултатност:</w:t>
      </w:r>
      <w:bookmarkEnd w:id="100"/>
      <w:bookmarkEnd w:id="101"/>
    </w:p>
    <w:p w14:paraId="3ADD0B7F"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Решени от прокурора са  общо от прокурора 2 бр., от които 1 бр. ДП е прекратено и 1 бр. изпратено по компетентност./ В сравнение през 2021 год. са решени  8бр.ДП, а през 2020год. са решени 3 бр. ДП./</w:t>
      </w:r>
    </w:p>
    <w:p w14:paraId="4D0ECB65" w14:textId="77777777" w:rsidR="0023213C" w:rsidRPr="0023213C" w:rsidRDefault="0023213C" w:rsidP="0023213C">
      <w:pPr>
        <w:spacing w:after="0" w:line="240" w:lineRule="auto"/>
        <w:jc w:val="both"/>
        <w:rPr>
          <w:rFonts w:ascii="Times New Roman" w:eastAsia="Calibri" w:hAnsi="Times New Roman" w:cs="Times New Roman"/>
          <w:sz w:val="28"/>
          <w:szCs w:val="28"/>
        </w:rPr>
      </w:pPr>
    </w:p>
    <w:p w14:paraId="4B9DCDBD"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През отчетния период няма спрени досъдебни производства/ при  2 бр.ДП спрени през 2021 год. и  при  1 бр.ДП за 2020г./</w:t>
      </w:r>
    </w:p>
    <w:p w14:paraId="7FEAA2A6"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Прекратени ДП – 1 бр. ДП.</w:t>
      </w:r>
    </w:p>
    <w:p w14:paraId="676EB616"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lastRenderedPageBreak/>
        <w:t>-    В съда за отчетния период  не са внасяни прокурорски актове. За сравнение – през 2021 г. и 2020 год. също няма внесени актове.</w:t>
      </w:r>
    </w:p>
    <w:p w14:paraId="1D4C4688" w14:textId="77777777" w:rsidR="0023213C" w:rsidRPr="0023213C" w:rsidRDefault="0023213C" w:rsidP="00C83687">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В обобщение за резултатността на прокурорската работа през отчетния период 2022  г., сравнение с 2021г и 2020г., се налагат следните процентни съотношения:</w:t>
      </w:r>
    </w:p>
    <w:p w14:paraId="123A8F66"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 решени ДП спрямо наблюдаваните – 40% / при 88.8% за 2021г. и при 37.5% за 2020г./; </w:t>
      </w:r>
    </w:p>
    <w:p w14:paraId="6B9BF42C"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 внесени в съда ДП спрямо решените – 0%/ при 0.0% за 2021 г. и при 0.0% за 2020г.  ); </w:t>
      </w:r>
    </w:p>
    <w:p w14:paraId="58F33E0F"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 върнати от съда дела спрямо внесените прокурорски актове –0%, както и през предходните два периода/. </w:t>
      </w:r>
    </w:p>
    <w:p w14:paraId="06A0ABE1" w14:textId="77777777" w:rsidR="0023213C" w:rsidRPr="0023213C" w:rsidRDefault="0023213C" w:rsidP="00C83687">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През отчетния период няма оправдани лица.</w:t>
      </w:r>
    </w:p>
    <w:p w14:paraId="5CEE95D4" w14:textId="77777777" w:rsidR="0023213C" w:rsidRPr="0023213C" w:rsidRDefault="0023213C" w:rsidP="0023213C">
      <w:pPr>
        <w:spacing w:after="0" w:line="240" w:lineRule="auto"/>
        <w:jc w:val="both"/>
        <w:rPr>
          <w:rFonts w:ascii="Times New Roman" w:eastAsia="Calibri" w:hAnsi="Times New Roman" w:cs="Times New Roman"/>
          <w:sz w:val="28"/>
          <w:szCs w:val="28"/>
        </w:rPr>
      </w:pPr>
    </w:p>
    <w:p w14:paraId="47F6BD9B"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bookmarkStart w:id="102" w:name="_Toc127285420"/>
      <w:bookmarkStart w:id="103" w:name="_Toc127370301"/>
      <w:r w:rsidRPr="0023213C">
        <w:rPr>
          <w:rFonts w:ascii="Times New Roman" w:eastAsia="Calibri" w:hAnsi="Times New Roman" w:cs="Times New Roman"/>
          <w:color w:val="000000"/>
          <w:sz w:val="28"/>
          <w:u w:val="single"/>
          <w:lang w:eastAsia="bg-BG"/>
        </w:rPr>
        <w:t>10.4. Видове наказания на осъдените лица</w:t>
      </w:r>
      <w:r w:rsidRPr="0023213C">
        <w:rPr>
          <w:rFonts w:ascii="Times New Roman" w:eastAsia="Calibri" w:hAnsi="Times New Roman" w:cs="Times New Roman"/>
          <w:color w:val="000000"/>
          <w:sz w:val="28"/>
          <w:lang w:eastAsia="bg-BG"/>
        </w:rPr>
        <w:t xml:space="preserve"> – относителен дял спрямо общия брой определени от съда наказания:</w:t>
      </w:r>
      <w:bookmarkEnd w:id="102"/>
      <w:bookmarkEnd w:id="103"/>
    </w:p>
    <w:p w14:paraId="5FD4CA1C" w14:textId="77777777" w:rsidR="0023213C" w:rsidRPr="0023213C" w:rsidRDefault="0023213C" w:rsidP="00C83687">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През отчетния период не са внасяни в съда прокурорски актове и няма постановени съдебни актове. През 2021 год. също няма, както и през 2020 год..</w:t>
      </w:r>
    </w:p>
    <w:p w14:paraId="015A761B" w14:textId="1FC42AEC"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w:t>
      </w:r>
      <w:r w:rsidR="00C83687">
        <w:rPr>
          <w:rFonts w:ascii="Times New Roman" w:eastAsia="Calibri" w:hAnsi="Times New Roman" w:cs="Times New Roman"/>
          <w:sz w:val="28"/>
          <w:szCs w:val="28"/>
        </w:rPr>
        <w:tab/>
      </w:r>
      <w:r w:rsidRPr="0023213C">
        <w:rPr>
          <w:rFonts w:ascii="Times New Roman" w:eastAsia="Calibri" w:hAnsi="Times New Roman" w:cs="Times New Roman"/>
          <w:sz w:val="28"/>
          <w:szCs w:val="28"/>
        </w:rPr>
        <w:t>По наблюдаваните през отчетния период досъдебни производства за престъпления, свързани с незаконен трафик на хора, има общо32 пострадали лица, от които 1 лице е непълнолетно.От общо 32 те пострадали лица,30 лица са мъже и 2 лица са жени.</w:t>
      </w:r>
    </w:p>
    <w:p w14:paraId="0671ACCC" w14:textId="43AF7228"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w:t>
      </w:r>
      <w:r w:rsidR="00C83687">
        <w:rPr>
          <w:rFonts w:ascii="Times New Roman" w:eastAsia="Calibri" w:hAnsi="Times New Roman" w:cs="Times New Roman"/>
          <w:sz w:val="28"/>
          <w:szCs w:val="28"/>
        </w:rPr>
        <w:tab/>
      </w:r>
      <w:r w:rsidRPr="0023213C">
        <w:rPr>
          <w:rFonts w:ascii="Times New Roman" w:eastAsia="Calibri" w:hAnsi="Times New Roman" w:cs="Times New Roman"/>
          <w:sz w:val="28"/>
          <w:szCs w:val="28"/>
        </w:rPr>
        <w:t xml:space="preserve">В сравнение с 2021 год. има 11 пострадали лица, от които 2 лица от мъжки пол и 9 лица от женски пол.Няма непълнолетни, малолетни и защитени свидетели. </w:t>
      </w:r>
    </w:p>
    <w:p w14:paraId="51FED06C" w14:textId="77777777" w:rsidR="0023213C" w:rsidRPr="0023213C" w:rsidRDefault="0023213C" w:rsidP="00C83687">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Няма защитени свидетели от пострадалите от незаконен трафик на хора, както няма и случаи на поискана и отказана защита по реда на НПК.</w:t>
      </w:r>
    </w:p>
    <w:p w14:paraId="378E9B0E" w14:textId="77777777" w:rsidR="0023213C" w:rsidRPr="0023213C" w:rsidRDefault="0023213C" w:rsidP="00C83687">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Делата за незаконен трафик на хора се разглеждат като приоритетни от прокуратурите от региона на Окръжна прокуратура гр. Монтана, поради значимостта на този вид посегателства и високата им обществена опасност за правата и свободата на личността.</w:t>
      </w:r>
    </w:p>
    <w:p w14:paraId="74DF3E2D" w14:textId="77777777" w:rsidR="0023213C" w:rsidRPr="0023213C" w:rsidRDefault="0023213C" w:rsidP="0023213C">
      <w:pPr>
        <w:spacing w:after="0" w:line="240" w:lineRule="auto"/>
        <w:jc w:val="both"/>
        <w:rPr>
          <w:rFonts w:ascii="Times New Roman" w:eastAsia="Calibri" w:hAnsi="Times New Roman" w:cs="Times New Roman"/>
          <w:i/>
          <w:sz w:val="28"/>
          <w:szCs w:val="28"/>
        </w:rPr>
      </w:pPr>
    </w:p>
    <w:p w14:paraId="3361393D"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u w:val="single"/>
          <w:lang w:eastAsia="bg-BG"/>
        </w:rPr>
      </w:pPr>
      <w:bookmarkStart w:id="104" w:name="_Toc127370302"/>
      <w:r w:rsidRPr="0023213C">
        <w:rPr>
          <w:rFonts w:ascii="Times New Roman" w:eastAsia="Calibri" w:hAnsi="Times New Roman" w:cs="Arial"/>
          <w:color w:val="000000"/>
          <w:sz w:val="28"/>
          <w:u w:val="single"/>
          <w:lang w:eastAsia="bg-BG"/>
        </w:rPr>
        <w:t>11. Дела, образувани за престъпления, извършени от непълнолетни лица:</w:t>
      </w:r>
      <w:bookmarkEnd w:id="104"/>
    </w:p>
    <w:tbl>
      <w:tblPr>
        <w:tblW w:w="9765" w:type="dxa"/>
        <w:tblInd w:w="70" w:type="dxa"/>
        <w:tblLayout w:type="fixed"/>
        <w:tblCellMar>
          <w:left w:w="70" w:type="dxa"/>
          <w:right w:w="70" w:type="dxa"/>
        </w:tblCellMar>
        <w:tblLook w:val="00A0" w:firstRow="1" w:lastRow="0" w:firstColumn="1" w:lastColumn="0" w:noHBand="0" w:noVBand="0"/>
      </w:tblPr>
      <w:tblGrid>
        <w:gridCol w:w="993"/>
        <w:gridCol w:w="1081"/>
        <w:gridCol w:w="1043"/>
        <w:gridCol w:w="993"/>
        <w:gridCol w:w="798"/>
        <w:gridCol w:w="939"/>
        <w:gridCol w:w="852"/>
        <w:gridCol w:w="870"/>
        <w:gridCol w:w="1115"/>
        <w:gridCol w:w="1081"/>
      </w:tblGrid>
      <w:tr w:rsidR="0023213C" w:rsidRPr="0023213C" w14:paraId="34CCC622" w14:textId="77777777" w:rsidTr="0023213C">
        <w:trPr>
          <w:trHeight w:val="1643"/>
        </w:trPr>
        <w:tc>
          <w:tcPr>
            <w:tcW w:w="993" w:type="dxa"/>
            <w:tcBorders>
              <w:top w:val="single" w:sz="4" w:space="0" w:color="auto"/>
              <w:left w:val="single" w:sz="4" w:space="0" w:color="auto"/>
              <w:bottom w:val="single" w:sz="4" w:space="0" w:color="auto"/>
              <w:right w:val="single" w:sz="4" w:space="0" w:color="auto"/>
            </w:tcBorders>
            <w:hideMark/>
          </w:tcPr>
          <w:p w14:paraId="33DD9A6C"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Година</w:t>
            </w:r>
          </w:p>
        </w:tc>
        <w:tc>
          <w:tcPr>
            <w:tcW w:w="1082" w:type="dxa"/>
            <w:tcBorders>
              <w:top w:val="single" w:sz="4" w:space="0" w:color="auto"/>
              <w:left w:val="nil"/>
              <w:bottom w:val="single" w:sz="4" w:space="0" w:color="auto"/>
              <w:right w:val="single" w:sz="4" w:space="0" w:color="auto"/>
            </w:tcBorders>
            <w:hideMark/>
          </w:tcPr>
          <w:p w14:paraId="577A0317" w14:textId="77777777" w:rsidR="0023213C" w:rsidRPr="0023213C" w:rsidRDefault="0023213C" w:rsidP="0023213C">
            <w:pPr>
              <w:spacing w:after="0"/>
              <w:rPr>
                <w:rFonts w:ascii="Times New Roman" w:eastAsia="Calibri" w:hAnsi="Times New Roman" w:cs="Times New Roman"/>
                <w:bCs/>
                <w:color w:val="000000"/>
                <w:sz w:val="24"/>
                <w:szCs w:val="24"/>
              </w:rPr>
            </w:pPr>
            <w:r w:rsidRPr="0023213C">
              <w:rPr>
                <w:rFonts w:ascii="Times New Roman" w:eastAsia="Calibri" w:hAnsi="Times New Roman" w:cs="Times New Roman"/>
                <w:bCs/>
                <w:color w:val="000000"/>
                <w:sz w:val="24"/>
                <w:szCs w:val="24"/>
              </w:rPr>
              <w:t>Наблюда</w:t>
            </w:r>
          </w:p>
          <w:p w14:paraId="7ED56BBC" w14:textId="77777777" w:rsidR="0023213C" w:rsidRPr="0023213C" w:rsidRDefault="0023213C" w:rsidP="0023213C">
            <w:pPr>
              <w:spacing w:after="0"/>
              <w:rPr>
                <w:rFonts w:ascii="Times New Roman" w:eastAsia="Calibri" w:hAnsi="Times New Roman" w:cs="Times New Roman"/>
                <w:bCs/>
                <w:color w:val="000000"/>
                <w:sz w:val="24"/>
                <w:szCs w:val="24"/>
              </w:rPr>
            </w:pPr>
            <w:r w:rsidRPr="0023213C">
              <w:rPr>
                <w:rFonts w:ascii="Times New Roman" w:eastAsia="Calibri" w:hAnsi="Times New Roman" w:cs="Times New Roman"/>
                <w:bCs/>
                <w:color w:val="000000"/>
                <w:sz w:val="24"/>
                <w:szCs w:val="24"/>
              </w:rPr>
              <w:t>вани ДП</w:t>
            </w:r>
          </w:p>
        </w:tc>
        <w:tc>
          <w:tcPr>
            <w:tcW w:w="1044" w:type="dxa"/>
            <w:tcBorders>
              <w:top w:val="single" w:sz="4" w:space="0" w:color="auto"/>
              <w:left w:val="nil"/>
              <w:bottom w:val="single" w:sz="4" w:space="0" w:color="auto"/>
              <w:right w:val="single" w:sz="4" w:space="0" w:color="auto"/>
            </w:tcBorders>
            <w:hideMark/>
          </w:tcPr>
          <w:p w14:paraId="5C92F817"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Новооб</w:t>
            </w:r>
          </w:p>
          <w:p w14:paraId="0D4480AC"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разувани ДП</w:t>
            </w:r>
          </w:p>
        </w:tc>
        <w:tc>
          <w:tcPr>
            <w:tcW w:w="994" w:type="dxa"/>
            <w:tcBorders>
              <w:top w:val="single" w:sz="4" w:space="0" w:color="auto"/>
              <w:left w:val="nil"/>
              <w:bottom w:val="single" w:sz="4" w:space="0" w:color="auto"/>
              <w:right w:val="single" w:sz="4" w:space="0" w:color="auto"/>
            </w:tcBorders>
            <w:hideMark/>
          </w:tcPr>
          <w:p w14:paraId="1808F2B2"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Приклю</w:t>
            </w:r>
          </w:p>
          <w:p w14:paraId="2A535096"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чени разследвания</w:t>
            </w:r>
          </w:p>
        </w:tc>
        <w:tc>
          <w:tcPr>
            <w:tcW w:w="798" w:type="dxa"/>
            <w:tcBorders>
              <w:top w:val="single" w:sz="4" w:space="0" w:color="auto"/>
              <w:left w:val="nil"/>
              <w:bottom w:val="single" w:sz="4" w:space="0" w:color="auto"/>
              <w:right w:val="single" w:sz="4" w:space="0" w:color="auto"/>
            </w:tcBorders>
            <w:hideMark/>
          </w:tcPr>
          <w:p w14:paraId="59474DA0"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Решени ДП</w:t>
            </w:r>
          </w:p>
        </w:tc>
        <w:tc>
          <w:tcPr>
            <w:tcW w:w="939" w:type="dxa"/>
            <w:tcBorders>
              <w:top w:val="single" w:sz="4" w:space="0" w:color="auto"/>
              <w:left w:val="nil"/>
              <w:bottom w:val="single" w:sz="4" w:space="0" w:color="auto"/>
              <w:right w:val="single" w:sz="4" w:space="0" w:color="auto"/>
            </w:tcBorders>
            <w:hideMark/>
          </w:tcPr>
          <w:p w14:paraId="1F79E9BD"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Проку</w:t>
            </w:r>
          </w:p>
          <w:p w14:paraId="2308BFBE"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рорски актове, внесе</w:t>
            </w:r>
          </w:p>
          <w:p w14:paraId="21B0ABD3"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ни в съда</w:t>
            </w:r>
          </w:p>
        </w:tc>
        <w:tc>
          <w:tcPr>
            <w:tcW w:w="852" w:type="dxa"/>
            <w:tcBorders>
              <w:top w:val="single" w:sz="4" w:space="0" w:color="auto"/>
              <w:left w:val="nil"/>
              <w:bottom w:val="single" w:sz="4" w:space="0" w:color="auto"/>
              <w:right w:val="single" w:sz="4" w:space="0" w:color="auto"/>
            </w:tcBorders>
            <w:hideMark/>
          </w:tcPr>
          <w:p w14:paraId="11BC824A"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Преда</w:t>
            </w:r>
          </w:p>
          <w:p w14:paraId="07DF130C"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дени на съд лица</w:t>
            </w:r>
          </w:p>
        </w:tc>
        <w:tc>
          <w:tcPr>
            <w:tcW w:w="870" w:type="dxa"/>
            <w:tcBorders>
              <w:top w:val="single" w:sz="4" w:space="0" w:color="auto"/>
              <w:left w:val="nil"/>
              <w:bottom w:val="single" w:sz="4" w:space="0" w:color="auto"/>
              <w:right w:val="single" w:sz="4" w:space="0" w:color="auto"/>
            </w:tcBorders>
            <w:hideMark/>
          </w:tcPr>
          <w:p w14:paraId="13EA75C0"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Върнати от съда ДП</w:t>
            </w:r>
          </w:p>
        </w:tc>
        <w:tc>
          <w:tcPr>
            <w:tcW w:w="1116" w:type="dxa"/>
            <w:tcBorders>
              <w:top w:val="single" w:sz="4" w:space="0" w:color="auto"/>
              <w:left w:val="nil"/>
              <w:bottom w:val="single" w:sz="4" w:space="0" w:color="auto"/>
              <w:right w:val="single" w:sz="4" w:space="0" w:color="auto"/>
            </w:tcBorders>
            <w:hideMark/>
          </w:tcPr>
          <w:p w14:paraId="24B3F7AE"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 xml:space="preserve">Осъдени лица с влязъл в сила съдебен акт </w:t>
            </w:r>
          </w:p>
        </w:tc>
        <w:tc>
          <w:tcPr>
            <w:tcW w:w="1082" w:type="dxa"/>
            <w:tcBorders>
              <w:top w:val="single" w:sz="4" w:space="0" w:color="auto"/>
              <w:left w:val="nil"/>
              <w:bottom w:val="single" w:sz="4" w:space="0" w:color="auto"/>
              <w:right w:val="single" w:sz="4" w:space="0" w:color="auto"/>
            </w:tcBorders>
            <w:hideMark/>
          </w:tcPr>
          <w:p w14:paraId="27319924"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Оправдани лица с влязъл в сила съдебен акт</w:t>
            </w:r>
          </w:p>
        </w:tc>
      </w:tr>
      <w:tr w:rsidR="0023213C" w:rsidRPr="0023213C" w14:paraId="43B6C2F0" w14:textId="77777777" w:rsidTr="0023213C">
        <w:trPr>
          <w:trHeight w:val="330"/>
        </w:trPr>
        <w:tc>
          <w:tcPr>
            <w:tcW w:w="993" w:type="dxa"/>
            <w:tcBorders>
              <w:top w:val="single" w:sz="4" w:space="0" w:color="auto"/>
              <w:left w:val="single" w:sz="8" w:space="0" w:color="auto"/>
              <w:bottom w:val="single" w:sz="4" w:space="0" w:color="auto"/>
              <w:right w:val="single" w:sz="4" w:space="0" w:color="auto"/>
            </w:tcBorders>
            <w:shd w:val="clear" w:color="auto" w:fill="C2D69B" w:themeFill="accent3" w:themeFillTint="99"/>
            <w:vAlign w:val="center"/>
            <w:hideMark/>
          </w:tcPr>
          <w:p w14:paraId="2ED9C7D7"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2022</w:t>
            </w:r>
          </w:p>
        </w:tc>
        <w:tc>
          <w:tcPr>
            <w:tcW w:w="1082" w:type="dxa"/>
            <w:tcBorders>
              <w:top w:val="single" w:sz="4" w:space="0" w:color="auto"/>
              <w:left w:val="nil"/>
              <w:bottom w:val="single" w:sz="8" w:space="0" w:color="auto"/>
              <w:right w:val="single" w:sz="4" w:space="0" w:color="auto"/>
            </w:tcBorders>
            <w:shd w:val="clear" w:color="auto" w:fill="C2D69B" w:themeFill="accent3" w:themeFillTint="99"/>
            <w:vAlign w:val="center"/>
            <w:hideMark/>
          </w:tcPr>
          <w:p w14:paraId="73D45380" w14:textId="77777777" w:rsidR="0023213C" w:rsidRPr="0023213C" w:rsidRDefault="0023213C" w:rsidP="0023213C">
            <w:pPr>
              <w:spacing w:after="0"/>
              <w:rPr>
                <w:rFonts w:ascii="Times New Roman" w:eastAsia="Calibri" w:hAnsi="Times New Roman" w:cs="Times New Roman"/>
                <w:b/>
                <w:bCs/>
                <w:color w:val="000000"/>
                <w:sz w:val="24"/>
                <w:szCs w:val="24"/>
              </w:rPr>
            </w:pPr>
            <w:r w:rsidRPr="0023213C">
              <w:rPr>
                <w:rFonts w:ascii="Times New Roman" w:eastAsia="Calibri" w:hAnsi="Times New Roman" w:cs="Times New Roman"/>
                <w:b/>
                <w:bCs/>
                <w:color w:val="000000"/>
                <w:sz w:val="24"/>
                <w:szCs w:val="24"/>
              </w:rPr>
              <w:t>37</w:t>
            </w:r>
          </w:p>
        </w:tc>
        <w:tc>
          <w:tcPr>
            <w:tcW w:w="104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339451E2"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21</w:t>
            </w:r>
          </w:p>
        </w:tc>
        <w:tc>
          <w:tcPr>
            <w:tcW w:w="99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5C1612A8"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29</w:t>
            </w:r>
          </w:p>
        </w:tc>
        <w:tc>
          <w:tcPr>
            <w:tcW w:w="798"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55D6A2C7"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31</w:t>
            </w:r>
          </w:p>
        </w:tc>
        <w:tc>
          <w:tcPr>
            <w:tcW w:w="939"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262F8DC7"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15</w:t>
            </w:r>
          </w:p>
        </w:tc>
        <w:tc>
          <w:tcPr>
            <w:tcW w:w="852"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095ECAD6"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24</w:t>
            </w:r>
          </w:p>
        </w:tc>
        <w:tc>
          <w:tcPr>
            <w:tcW w:w="87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1498286B"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1</w:t>
            </w:r>
          </w:p>
        </w:tc>
        <w:tc>
          <w:tcPr>
            <w:tcW w:w="1116"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2C535EF3"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17</w:t>
            </w:r>
          </w:p>
        </w:tc>
        <w:tc>
          <w:tcPr>
            <w:tcW w:w="1082" w:type="dxa"/>
            <w:tcBorders>
              <w:top w:val="single" w:sz="4" w:space="0" w:color="auto"/>
              <w:left w:val="nil"/>
              <w:bottom w:val="single" w:sz="4" w:space="0" w:color="auto"/>
              <w:right w:val="single" w:sz="8" w:space="0" w:color="auto"/>
            </w:tcBorders>
            <w:shd w:val="clear" w:color="auto" w:fill="C2D69B" w:themeFill="accent3" w:themeFillTint="99"/>
            <w:vAlign w:val="center"/>
            <w:hideMark/>
          </w:tcPr>
          <w:p w14:paraId="156E4E19" w14:textId="77777777" w:rsidR="0023213C" w:rsidRPr="0023213C" w:rsidRDefault="0023213C" w:rsidP="0023213C">
            <w:pPr>
              <w:spacing w:after="0"/>
              <w:rPr>
                <w:rFonts w:ascii="Times New Roman" w:eastAsia="Calibri" w:hAnsi="Times New Roman" w:cs="Times New Roman"/>
                <w:b/>
                <w:color w:val="000000"/>
                <w:sz w:val="24"/>
                <w:szCs w:val="24"/>
              </w:rPr>
            </w:pPr>
            <w:r w:rsidRPr="0023213C">
              <w:rPr>
                <w:rFonts w:ascii="Times New Roman" w:eastAsia="Calibri" w:hAnsi="Times New Roman" w:cs="Times New Roman"/>
                <w:b/>
                <w:color w:val="000000"/>
                <w:sz w:val="24"/>
                <w:szCs w:val="24"/>
              </w:rPr>
              <w:t>0</w:t>
            </w:r>
          </w:p>
        </w:tc>
      </w:tr>
      <w:tr w:rsidR="0023213C" w:rsidRPr="0023213C" w14:paraId="277D2660" w14:textId="77777777" w:rsidTr="0023213C">
        <w:trPr>
          <w:trHeight w:val="330"/>
        </w:trPr>
        <w:tc>
          <w:tcPr>
            <w:tcW w:w="993" w:type="dxa"/>
            <w:tcBorders>
              <w:top w:val="single" w:sz="8" w:space="0" w:color="auto"/>
              <w:left w:val="single" w:sz="8" w:space="0" w:color="auto"/>
              <w:bottom w:val="single" w:sz="4" w:space="0" w:color="auto"/>
              <w:right w:val="single" w:sz="4" w:space="0" w:color="auto"/>
            </w:tcBorders>
            <w:vAlign w:val="center"/>
            <w:hideMark/>
          </w:tcPr>
          <w:p w14:paraId="55615152"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2020</w:t>
            </w:r>
          </w:p>
        </w:tc>
        <w:tc>
          <w:tcPr>
            <w:tcW w:w="1082" w:type="dxa"/>
            <w:tcBorders>
              <w:top w:val="single" w:sz="8" w:space="0" w:color="auto"/>
              <w:left w:val="nil"/>
              <w:bottom w:val="single" w:sz="8" w:space="0" w:color="auto"/>
              <w:right w:val="single" w:sz="4" w:space="0" w:color="auto"/>
            </w:tcBorders>
            <w:vAlign w:val="center"/>
            <w:hideMark/>
          </w:tcPr>
          <w:p w14:paraId="1179925B" w14:textId="77777777" w:rsidR="0023213C" w:rsidRPr="0023213C" w:rsidRDefault="0023213C" w:rsidP="0023213C">
            <w:pPr>
              <w:spacing w:after="0"/>
              <w:rPr>
                <w:rFonts w:ascii="Times New Roman" w:eastAsia="Calibri" w:hAnsi="Times New Roman" w:cs="Times New Roman"/>
                <w:bCs/>
                <w:color w:val="000000"/>
                <w:sz w:val="24"/>
                <w:szCs w:val="24"/>
              </w:rPr>
            </w:pPr>
            <w:r w:rsidRPr="0023213C">
              <w:rPr>
                <w:rFonts w:ascii="Times New Roman" w:eastAsia="Calibri" w:hAnsi="Times New Roman" w:cs="Times New Roman"/>
                <w:bCs/>
                <w:color w:val="000000"/>
                <w:sz w:val="24"/>
                <w:szCs w:val="24"/>
              </w:rPr>
              <w:t>43</w:t>
            </w:r>
          </w:p>
        </w:tc>
        <w:tc>
          <w:tcPr>
            <w:tcW w:w="1044" w:type="dxa"/>
            <w:tcBorders>
              <w:top w:val="single" w:sz="8" w:space="0" w:color="auto"/>
              <w:left w:val="nil"/>
              <w:bottom w:val="single" w:sz="4" w:space="0" w:color="auto"/>
              <w:right w:val="single" w:sz="4" w:space="0" w:color="auto"/>
            </w:tcBorders>
            <w:vAlign w:val="center"/>
            <w:hideMark/>
          </w:tcPr>
          <w:p w14:paraId="7FF05F2F"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24</w:t>
            </w:r>
          </w:p>
        </w:tc>
        <w:tc>
          <w:tcPr>
            <w:tcW w:w="994" w:type="dxa"/>
            <w:tcBorders>
              <w:top w:val="single" w:sz="8" w:space="0" w:color="auto"/>
              <w:left w:val="nil"/>
              <w:bottom w:val="single" w:sz="4" w:space="0" w:color="auto"/>
              <w:right w:val="single" w:sz="4" w:space="0" w:color="auto"/>
            </w:tcBorders>
            <w:vAlign w:val="center"/>
            <w:hideMark/>
          </w:tcPr>
          <w:p w14:paraId="43807BC5"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37</w:t>
            </w:r>
          </w:p>
        </w:tc>
        <w:tc>
          <w:tcPr>
            <w:tcW w:w="798" w:type="dxa"/>
            <w:tcBorders>
              <w:top w:val="single" w:sz="8" w:space="0" w:color="auto"/>
              <w:left w:val="nil"/>
              <w:bottom w:val="single" w:sz="4" w:space="0" w:color="auto"/>
              <w:right w:val="single" w:sz="4" w:space="0" w:color="auto"/>
            </w:tcBorders>
            <w:vAlign w:val="center"/>
            <w:hideMark/>
          </w:tcPr>
          <w:p w14:paraId="33190B69"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37</w:t>
            </w:r>
          </w:p>
        </w:tc>
        <w:tc>
          <w:tcPr>
            <w:tcW w:w="939" w:type="dxa"/>
            <w:tcBorders>
              <w:top w:val="single" w:sz="8" w:space="0" w:color="auto"/>
              <w:left w:val="nil"/>
              <w:bottom w:val="single" w:sz="4" w:space="0" w:color="auto"/>
              <w:right w:val="single" w:sz="4" w:space="0" w:color="auto"/>
            </w:tcBorders>
            <w:vAlign w:val="center"/>
            <w:hideMark/>
          </w:tcPr>
          <w:p w14:paraId="62D782A0"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12</w:t>
            </w:r>
          </w:p>
        </w:tc>
        <w:tc>
          <w:tcPr>
            <w:tcW w:w="852" w:type="dxa"/>
            <w:tcBorders>
              <w:top w:val="single" w:sz="8" w:space="0" w:color="auto"/>
              <w:left w:val="nil"/>
              <w:bottom w:val="single" w:sz="4" w:space="0" w:color="auto"/>
              <w:right w:val="single" w:sz="4" w:space="0" w:color="auto"/>
            </w:tcBorders>
            <w:vAlign w:val="center"/>
            <w:hideMark/>
          </w:tcPr>
          <w:p w14:paraId="00BB18E8"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12</w:t>
            </w:r>
          </w:p>
        </w:tc>
        <w:tc>
          <w:tcPr>
            <w:tcW w:w="870" w:type="dxa"/>
            <w:tcBorders>
              <w:top w:val="single" w:sz="8" w:space="0" w:color="auto"/>
              <w:left w:val="nil"/>
              <w:bottom w:val="single" w:sz="4" w:space="0" w:color="auto"/>
              <w:right w:val="single" w:sz="4" w:space="0" w:color="auto"/>
            </w:tcBorders>
            <w:vAlign w:val="center"/>
            <w:hideMark/>
          </w:tcPr>
          <w:p w14:paraId="24B73B86"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c>
          <w:tcPr>
            <w:tcW w:w="1116" w:type="dxa"/>
            <w:tcBorders>
              <w:top w:val="single" w:sz="8" w:space="0" w:color="auto"/>
              <w:left w:val="nil"/>
              <w:bottom w:val="single" w:sz="4" w:space="0" w:color="auto"/>
              <w:right w:val="single" w:sz="4" w:space="0" w:color="auto"/>
            </w:tcBorders>
            <w:vAlign w:val="center"/>
            <w:hideMark/>
          </w:tcPr>
          <w:p w14:paraId="247342D9"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16</w:t>
            </w:r>
          </w:p>
        </w:tc>
        <w:tc>
          <w:tcPr>
            <w:tcW w:w="1082" w:type="dxa"/>
            <w:tcBorders>
              <w:top w:val="single" w:sz="8" w:space="0" w:color="auto"/>
              <w:left w:val="nil"/>
              <w:bottom w:val="single" w:sz="4" w:space="0" w:color="auto"/>
              <w:right w:val="single" w:sz="8" w:space="0" w:color="auto"/>
            </w:tcBorders>
            <w:vAlign w:val="center"/>
            <w:hideMark/>
          </w:tcPr>
          <w:p w14:paraId="74D84287"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2</w:t>
            </w:r>
          </w:p>
        </w:tc>
      </w:tr>
      <w:tr w:rsidR="0023213C" w:rsidRPr="0023213C" w14:paraId="5242C93A" w14:textId="77777777" w:rsidTr="0023213C">
        <w:trPr>
          <w:trHeight w:val="330"/>
        </w:trPr>
        <w:tc>
          <w:tcPr>
            <w:tcW w:w="993" w:type="dxa"/>
            <w:tcBorders>
              <w:top w:val="single" w:sz="8" w:space="0" w:color="auto"/>
              <w:left w:val="single" w:sz="8" w:space="0" w:color="auto"/>
              <w:bottom w:val="single" w:sz="4" w:space="0" w:color="auto"/>
              <w:right w:val="single" w:sz="4" w:space="0" w:color="auto"/>
            </w:tcBorders>
            <w:vAlign w:val="center"/>
            <w:hideMark/>
          </w:tcPr>
          <w:p w14:paraId="0735ED59"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2020</w:t>
            </w:r>
          </w:p>
        </w:tc>
        <w:tc>
          <w:tcPr>
            <w:tcW w:w="1082" w:type="dxa"/>
            <w:tcBorders>
              <w:top w:val="single" w:sz="8" w:space="0" w:color="auto"/>
              <w:left w:val="nil"/>
              <w:bottom w:val="single" w:sz="4" w:space="0" w:color="auto"/>
              <w:right w:val="single" w:sz="4" w:space="0" w:color="auto"/>
            </w:tcBorders>
            <w:vAlign w:val="center"/>
            <w:hideMark/>
          </w:tcPr>
          <w:p w14:paraId="3ADF12D9" w14:textId="77777777" w:rsidR="0023213C" w:rsidRPr="0023213C" w:rsidRDefault="0023213C" w:rsidP="0023213C">
            <w:pPr>
              <w:spacing w:after="0"/>
              <w:rPr>
                <w:rFonts w:ascii="Times New Roman" w:eastAsia="Calibri" w:hAnsi="Times New Roman" w:cs="Times New Roman"/>
                <w:bCs/>
                <w:color w:val="000000"/>
                <w:sz w:val="24"/>
                <w:szCs w:val="24"/>
              </w:rPr>
            </w:pPr>
            <w:r w:rsidRPr="0023213C">
              <w:rPr>
                <w:rFonts w:ascii="Times New Roman" w:eastAsia="Calibri" w:hAnsi="Times New Roman" w:cs="Times New Roman"/>
                <w:bCs/>
                <w:color w:val="000000"/>
                <w:sz w:val="24"/>
                <w:szCs w:val="24"/>
              </w:rPr>
              <w:t>37</w:t>
            </w:r>
          </w:p>
        </w:tc>
        <w:tc>
          <w:tcPr>
            <w:tcW w:w="1044" w:type="dxa"/>
            <w:tcBorders>
              <w:top w:val="single" w:sz="8" w:space="0" w:color="auto"/>
              <w:left w:val="nil"/>
              <w:bottom w:val="single" w:sz="4" w:space="0" w:color="auto"/>
              <w:right w:val="single" w:sz="4" w:space="0" w:color="auto"/>
            </w:tcBorders>
            <w:vAlign w:val="center"/>
            <w:hideMark/>
          </w:tcPr>
          <w:p w14:paraId="1AE2EC6C"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17</w:t>
            </w:r>
          </w:p>
        </w:tc>
        <w:tc>
          <w:tcPr>
            <w:tcW w:w="994" w:type="dxa"/>
            <w:tcBorders>
              <w:top w:val="single" w:sz="8" w:space="0" w:color="auto"/>
              <w:left w:val="nil"/>
              <w:bottom w:val="single" w:sz="4" w:space="0" w:color="auto"/>
              <w:right w:val="single" w:sz="4" w:space="0" w:color="auto"/>
            </w:tcBorders>
            <w:vAlign w:val="center"/>
            <w:hideMark/>
          </w:tcPr>
          <w:p w14:paraId="0E9499B1"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36</w:t>
            </w:r>
          </w:p>
        </w:tc>
        <w:tc>
          <w:tcPr>
            <w:tcW w:w="798" w:type="dxa"/>
            <w:tcBorders>
              <w:top w:val="single" w:sz="8" w:space="0" w:color="auto"/>
              <w:left w:val="nil"/>
              <w:bottom w:val="single" w:sz="4" w:space="0" w:color="auto"/>
              <w:right w:val="single" w:sz="4" w:space="0" w:color="auto"/>
            </w:tcBorders>
            <w:vAlign w:val="center"/>
            <w:hideMark/>
          </w:tcPr>
          <w:p w14:paraId="75D8E673"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36</w:t>
            </w:r>
          </w:p>
        </w:tc>
        <w:tc>
          <w:tcPr>
            <w:tcW w:w="939" w:type="dxa"/>
            <w:tcBorders>
              <w:top w:val="single" w:sz="8" w:space="0" w:color="auto"/>
              <w:left w:val="nil"/>
              <w:bottom w:val="single" w:sz="4" w:space="0" w:color="auto"/>
              <w:right w:val="single" w:sz="4" w:space="0" w:color="auto"/>
            </w:tcBorders>
            <w:vAlign w:val="center"/>
            <w:hideMark/>
          </w:tcPr>
          <w:p w14:paraId="1D0DD11A"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16</w:t>
            </w:r>
          </w:p>
        </w:tc>
        <w:tc>
          <w:tcPr>
            <w:tcW w:w="852" w:type="dxa"/>
            <w:tcBorders>
              <w:top w:val="single" w:sz="8" w:space="0" w:color="auto"/>
              <w:left w:val="nil"/>
              <w:bottom w:val="single" w:sz="4" w:space="0" w:color="auto"/>
              <w:right w:val="single" w:sz="4" w:space="0" w:color="auto"/>
            </w:tcBorders>
            <w:vAlign w:val="center"/>
            <w:hideMark/>
          </w:tcPr>
          <w:p w14:paraId="361B87B8"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23</w:t>
            </w:r>
          </w:p>
        </w:tc>
        <w:tc>
          <w:tcPr>
            <w:tcW w:w="870" w:type="dxa"/>
            <w:tcBorders>
              <w:top w:val="single" w:sz="8" w:space="0" w:color="auto"/>
              <w:left w:val="nil"/>
              <w:bottom w:val="single" w:sz="4" w:space="0" w:color="auto"/>
              <w:right w:val="single" w:sz="4" w:space="0" w:color="auto"/>
            </w:tcBorders>
            <w:vAlign w:val="center"/>
            <w:hideMark/>
          </w:tcPr>
          <w:p w14:paraId="59327D4D"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c>
          <w:tcPr>
            <w:tcW w:w="1116" w:type="dxa"/>
            <w:tcBorders>
              <w:top w:val="single" w:sz="8" w:space="0" w:color="auto"/>
              <w:left w:val="nil"/>
              <w:bottom w:val="single" w:sz="4" w:space="0" w:color="auto"/>
              <w:right w:val="single" w:sz="4" w:space="0" w:color="auto"/>
            </w:tcBorders>
            <w:vAlign w:val="center"/>
            <w:hideMark/>
          </w:tcPr>
          <w:p w14:paraId="00FDDC8D"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13</w:t>
            </w:r>
          </w:p>
        </w:tc>
        <w:tc>
          <w:tcPr>
            <w:tcW w:w="1082" w:type="dxa"/>
            <w:tcBorders>
              <w:top w:val="single" w:sz="8" w:space="0" w:color="auto"/>
              <w:left w:val="nil"/>
              <w:bottom w:val="single" w:sz="4" w:space="0" w:color="auto"/>
              <w:right w:val="single" w:sz="8" w:space="0" w:color="auto"/>
            </w:tcBorders>
            <w:vAlign w:val="center"/>
            <w:hideMark/>
          </w:tcPr>
          <w:p w14:paraId="2602BE14" w14:textId="77777777" w:rsidR="0023213C" w:rsidRPr="0023213C" w:rsidRDefault="0023213C" w:rsidP="0023213C">
            <w:pPr>
              <w:spacing w:after="0"/>
              <w:rPr>
                <w:rFonts w:ascii="Times New Roman" w:eastAsia="Calibri" w:hAnsi="Times New Roman" w:cs="Times New Roman"/>
                <w:color w:val="000000"/>
                <w:sz w:val="24"/>
                <w:szCs w:val="24"/>
              </w:rPr>
            </w:pPr>
            <w:r w:rsidRPr="0023213C">
              <w:rPr>
                <w:rFonts w:ascii="Times New Roman" w:eastAsia="Calibri" w:hAnsi="Times New Roman" w:cs="Times New Roman"/>
                <w:color w:val="000000"/>
                <w:sz w:val="24"/>
                <w:szCs w:val="24"/>
              </w:rPr>
              <w:t>0</w:t>
            </w:r>
          </w:p>
        </w:tc>
      </w:tr>
    </w:tbl>
    <w:p w14:paraId="672E91BE" w14:textId="77777777" w:rsidR="0023213C" w:rsidRPr="0023213C" w:rsidRDefault="0023213C" w:rsidP="00C83687">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През отчетния период на 2022 год. в региона на Окръжна прокуратура Монтана са наблюдавани общо 37бр.ДП, образувани за престъпления, извършени от непълнолетни лица./ В сравнение с 2021 год. са наблюдавани общо 43бр.ДП, образувани за престъпления, извършени от непълнолетни и   </w:t>
      </w:r>
      <w:r w:rsidRPr="0023213C">
        <w:rPr>
          <w:rFonts w:ascii="Times New Roman" w:eastAsia="Calibri" w:hAnsi="Times New Roman" w:cs="Times New Roman"/>
          <w:sz w:val="28"/>
          <w:szCs w:val="28"/>
        </w:rPr>
        <w:lastRenderedPageBreak/>
        <w:t>37 ДП за 2020 год./. От така наблюдаваните досъдебни производства, 21 бр. ДП са новообразувани.</w:t>
      </w:r>
    </w:p>
    <w:p w14:paraId="009A1C1D" w14:textId="77777777" w:rsidR="0023213C" w:rsidRPr="0023213C" w:rsidRDefault="0023213C" w:rsidP="00C83687">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bCs/>
          <w:sz w:val="28"/>
          <w:szCs w:val="28"/>
        </w:rPr>
        <w:t xml:space="preserve">Новообразуваните 21 бр.дела  през отчетния период </w:t>
      </w:r>
      <w:r w:rsidRPr="0023213C">
        <w:rPr>
          <w:rFonts w:ascii="Times New Roman" w:eastAsia="Calibri" w:hAnsi="Times New Roman" w:cs="Times New Roman"/>
          <w:sz w:val="28"/>
          <w:szCs w:val="28"/>
        </w:rPr>
        <w:t xml:space="preserve">съставляват 56.75% / при 55.81% за 2021 год. и  при 45.94% за 2020 г. / от общо наблюдаваните през годината досъдебни производства за този вид престъпления. </w:t>
      </w:r>
    </w:p>
    <w:p w14:paraId="33354234" w14:textId="77777777" w:rsidR="0023213C" w:rsidRPr="0023213C" w:rsidRDefault="0023213C" w:rsidP="0023213C">
      <w:pPr>
        <w:spacing w:after="0" w:line="240" w:lineRule="auto"/>
        <w:jc w:val="both"/>
        <w:rPr>
          <w:rFonts w:ascii="Times New Roman" w:eastAsia="Calibri" w:hAnsi="Times New Roman" w:cs="Times New Roman"/>
          <w:i/>
          <w:sz w:val="28"/>
          <w:szCs w:val="28"/>
        </w:rPr>
      </w:pPr>
    </w:p>
    <w:p w14:paraId="1D398B2D"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bookmarkStart w:id="105" w:name="_Toc127285422"/>
      <w:bookmarkStart w:id="106" w:name="_Toc127370303"/>
      <w:r w:rsidRPr="0023213C">
        <w:rPr>
          <w:rFonts w:ascii="Times New Roman" w:eastAsia="Calibri" w:hAnsi="Times New Roman" w:cs="Times New Roman"/>
          <w:color w:val="000000"/>
          <w:sz w:val="28"/>
          <w:u w:val="single"/>
          <w:lang w:eastAsia="bg-BG"/>
        </w:rPr>
        <w:t>11.1. Структурно разпределение на наблюдаваните ДП, съобразно съставите на престъпленията по НК:</w:t>
      </w:r>
      <w:bookmarkEnd w:id="105"/>
      <w:bookmarkEnd w:id="106"/>
    </w:p>
    <w:p w14:paraId="439D0ADC" w14:textId="113B6F67" w:rsidR="0023213C" w:rsidRPr="0023213C" w:rsidRDefault="0023213C" w:rsidP="00C83687">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От наблюдаваните досъдебни производства срещу непълнолетни по текстове от НК с най-голям дял са:  престъпленията против собствеността-17 бр.ДП или45.94 %,общоопасните престъпления – 10 бр. ДП или 27.02 % от общо наблюдаваните,против личността- 5 бр. ДП или 13.5%,против стопанството- 2 бр. ДП или 5.4%, против реда и общественото спокойствие- 2 бр.или 5.4% и против брака, семейството и младежта1 бр. Д или 2.7%. от общо наблюдаваните.</w:t>
      </w:r>
    </w:p>
    <w:p w14:paraId="7AB68361" w14:textId="12C09B23" w:rsidR="0023213C" w:rsidRPr="0023213C" w:rsidRDefault="0023213C" w:rsidP="00C83687">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В сравнение с предходните години  се констатира намаляване на   броя на наблюдаваните досъдебни производства спрямо 2021г. и</w:t>
      </w:r>
      <w:r w:rsidR="001C5158">
        <w:rPr>
          <w:rFonts w:ascii="Times New Roman" w:eastAsia="Calibri" w:hAnsi="Times New Roman" w:cs="Times New Roman"/>
          <w:sz w:val="28"/>
          <w:szCs w:val="28"/>
        </w:rPr>
        <w:t xml:space="preserve"> устойчивост спрямо 2020 год. </w:t>
      </w:r>
      <w:r w:rsidRPr="0023213C">
        <w:rPr>
          <w:rFonts w:ascii="Times New Roman" w:eastAsia="Calibri" w:hAnsi="Times New Roman" w:cs="Times New Roman"/>
          <w:sz w:val="28"/>
          <w:szCs w:val="28"/>
        </w:rPr>
        <w:t xml:space="preserve"> Констатира се намаляване на новообразуваните  досъдебни производства спрямо 2021 год.и увеличение на новообразуваните такива спрямо 2020г., като  с най-висок процент отново са  престъпленията против собствеността.</w:t>
      </w:r>
    </w:p>
    <w:p w14:paraId="46DB2682" w14:textId="77777777" w:rsidR="0023213C" w:rsidRPr="0023213C" w:rsidRDefault="0023213C" w:rsidP="00C83687">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За периода са приключени общо 29 бр. ДП, представляващи 78.37 % от общо наблюдаваните. Неприключени са останали само 5 бр. ДП, представляващи 13.51% от наблюдаваните.</w:t>
      </w:r>
    </w:p>
    <w:p w14:paraId="6061363F" w14:textId="77777777" w:rsidR="0023213C" w:rsidRPr="0023213C" w:rsidRDefault="0023213C" w:rsidP="00C83687">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От прокурора са решени общо 31 ДП, от които:</w:t>
      </w:r>
    </w:p>
    <w:p w14:paraId="0C6AF3BE" w14:textId="78DB38D5"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Внесени в съда са общо 15 прокурорски акта/ при 12 прокурорски акта за 2021 г. и п</w:t>
      </w:r>
      <w:r w:rsidR="001C5158">
        <w:rPr>
          <w:rFonts w:ascii="Times New Roman" w:eastAsia="Calibri" w:hAnsi="Times New Roman" w:cs="Times New Roman"/>
          <w:sz w:val="28"/>
          <w:szCs w:val="28"/>
        </w:rPr>
        <w:t>ри 16 прокурорски за 2020 г. /</w:t>
      </w:r>
      <w:r w:rsidRPr="0023213C">
        <w:rPr>
          <w:rFonts w:ascii="Times New Roman" w:eastAsia="Calibri" w:hAnsi="Times New Roman" w:cs="Times New Roman"/>
          <w:sz w:val="28"/>
          <w:szCs w:val="28"/>
        </w:rPr>
        <w:t>, срещу 24 лица.</w:t>
      </w:r>
    </w:p>
    <w:p w14:paraId="7E15863A" w14:textId="77777777" w:rsidR="0023213C" w:rsidRPr="0023213C" w:rsidRDefault="0023213C" w:rsidP="0023213C">
      <w:pPr>
        <w:spacing w:after="0" w:line="240" w:lineRule="auto"/>
        <w:jc w:val="both"/>
        <w:rPr>
          <w:rFonts w:ascii="Times New Roman" w:eastAsia="Calibri" w:hAnsi="Times New Roman" w:cs="Times New Roman"/>
          <w:sz w:val="28"/>
          <w:szCs w:val="28"/>
        </w:rPr>
      </w:pPr>
    </w:p>
    <w:p w14:paraId="1ACB66D8"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Осъдените с влязла в сила непълнолетни лица през отчетния период  са 17 лица/ при  16 лица за 2021 год. и  при 13 лица за 2020 г. /.</w:t>
      </w:r>
    </w:p>
    <w:p w14:paraId="0835250B" w14:textId="77777777" w:rsidR="0023213C" w:rsidRPr="0023213C" w:rsidRDefault="0023213C" w:rsidP="00C83687">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Прекратени са 16 бр.ДП,като от тях   прекратени по чл. 61 НК са 10 бр. ДП.. Лекото увеличение    на броя/ с 1 лице/ на осъдените непълнолетни е пряк резултат от  приключването на голяма част от наблюдаваните 25 бр.досъдебни производства чрез прекратяване и изпращане на МКБППМН по чл. 61 от НК. </w:t>
      </w:r>
    </w:p>
    <w:p w14:paraId="79DACFCA"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bookmarkStart w:id="107" w:name="_Toc127285423"/>
      <w:bookmarkStart w:id="108" w:name="_Toc127370304"/>
      <w:r w:rsidRPr="0023213C">
        <w:rPr>
          <w:rFonts w:ascii="Times New Roman" w:eastAsia="Calibri" w:hAnsi="Times New Roman" w:cs="Times New Roman"/>
          <w:color w:val="000000"/>
          <w:sz w:val="28"/>
          <w:u w:val="single"/>
          <w:lang w:eastAsia="bg-BG"/>
        </w:rPr>
        <w:t>11.2. Срочност на разследването:</w:t>
      </w:r>
      <w:bookmarkEnd w:id="107"/>
      <w:bookmarkEnd w:id="108"/>
    </w:p>
    <w:p w14:paraId="5A626C72"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w:t>
      </w:r>
      <w:r w:rsidRPr="0023213C">
        <w:rPr>
          <w:rFonts w:ascii="Times New Roman" w:eastAsia="Calibri" w:hAnsi="Times New Roman" w:cs="Times New Roman"/>
          <w:bCs/>
          <w:sz w:val="28"/>
          <w:szCs w:val="28"/>
        </w:rPr>
        <w:t xml:space="preserve">разследването е приключило </w:t>
      </w:r>
      <w:r w:rsidRPr="0023213C">
        <w:rPr>
          <w:rFonts w:ascii="Times New Roman" w:eastAsia="Calibri" w:hAnsi="Times New Roman" w:cs="Times New Roman"/>
          <w:sz w:val="28"/>
          <w:szCs w:val="28"/>
        </w:rPr>
        <w:t xml:space="preserve">по 29 бр.ДП/ при 37 бр. ДП за 2021 г. и при 36 бр.ДП за 2020 г. /. Няма приключили ДП извън законовите срокове; </w:t>
      </w:r>
    </w:p>
    <w:p w14:paraId="0CE73931"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w:t>
      </w:r>
      <w:r w:rsidRPr="0023213C">
        <w:rPr>
          <w:rFonts w:ascii="Times New Roman" w:eastAsia="Calibri" w:hAnsi="Times New Roman" w:cs="Times New Roman"/>
          <w:bCs/>
          <w:sz w:val="28"/>
          <w:szCs w:val="28"/>
        </w:rPr>
        <w:t xml:space="preserve">с неприключено разследване </w:t>
      </w:r>
      <w:r w:rsidRPr="0023213C">
        <w:rPr>
          <w:rFonts w:ascii="Times New Roman" w:eastAsia="Calibri" w:hAnsi="Times New Roman" w:cs="Times New Roman"/>
          <w:sz w:val="28"/>
          <w:szCs w:val="28"/>
        </w:rPr>
        <w:t xml:space="preserve">в края на отчетния период  остават5 бр.ДП/ при  6 бр.ДП за 2021 г. и при  1  бр. ДП за 2020 г. /, всички те са в законовите срокове. </w:t>
      </w:r>
    </w:p>
    <w:p w14:paraId="1D89D63C"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bookmarkStart w:id="109" w:name="_Toc127285424"/>
      <w:bookmarkStart w:id="110" w:name="_Toc127370305"/>
      <w:r w:rsidRPr="0023213C">
        <w:rPr>
          <w:rFonts w:ascii="Times New Roman" w:eastAsia="Calibri" w:hAnsi="Times New Roman" w:cs="Times New Roman"/>
          <w:color w:val="000000"/>
          <w:sz w:val="28"/>
          <w:u w:val="single"/>
          <w:lang w:eastAsia="bg-BG"/>
        </w:rPr>
        <w:t>11.3. Резултатност:</w:t>
      </w:r>
      <w:bookmarkEnd w:id="109"/>
      <w:bookmarkEnd w:id="110"/>
    </w:p>
    <w:p w14:paraId="4BEC6F92" w14:textId="5B43A273"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внесените  в съда 15 бр.прокурорски актове, спрямо решените ДП – съставляват 48.38% </w:t>
      </w:r>
      <w:r w:rsidR="007C518D">
        <w:rPr>
          <w:rFonts w:ascii="Times New Roman" w:eastAsia="Calibri" w:hAnsi="Times New Roman" w:cs="Times New Roman"/>
          <w:sz w:val="28"/>
          <w:szCs w:val="28"/>
        </w:rPr>
        <w:t xml:space="preserve"> </w:t>
      </w:r>
      <w:r w:rsidRPr="0023213C">
        <w:rPr>
          <w:rFonts w:ascii="Times New Roman" w:eastAsia="Calibri" w:hAnsi="Times New Roman" w:cs="Times New Roman"/>
          <w:sz w:val="28"/>
          <w:szCs w:val="28"/>
        </w:rPr>
        <w:t xml:space="preserve">/32.43% за 2021 г.   и 44.44.% за 2020 г. . /; </w:t>
      </w:r>
    </w:p>
    <w:p w14:paraId="48812196" w14:textId="4CBBF4A3"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върнати от съда дела, спрямо внесените прокурорски актове – няма върнати от съда дела 6.66% </w:t>
      </w:r>
      <w:r w:rsidR="007C518D">
        <w:rPr>
          <w:rFonts w:ascii="Times New Roman" w:eastAsia="Calibri" w:hAnsi="Times New Roman" w:cs="Times New Roman"/>
          <w:sz w:val="28"/>
          <w:szCs w:val="28"/>
        </w:rPr>
        <w:t xml:space="preserve"> </w:t>
      </w:r>
      <w:r w:rsidRPr="0023213C">
        <w:rPr>
          <w:rFonts w:ascii="Times New Roman" w:eastAsia="Calibri" w:hAnsi="Times New Roman" w:cs="Times New Roman"/>
          <w:sz w:val="28"/>
          <w:szCs w:val="28"/>
        </w:rPr>
        <w:t xml:space="preserve">/0% за 2021 г. и 0% за 2020 г. /; </w:t>
      </w:r>
    </w:p>
    <w:p w14:paraId="1CF24066"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lastRenderedPageBreak/>
        <w:t>- осъдени са 17 лица за периода с влязъл в сила съдебен акт , като съотношението спрямо предадените на съд 24 лица е 70.83 %/  133.3% за 2021 год. и при 56.52% за 2020г. /.</w:t>
      </w:r>
    </w:p>
    <w:p w14:paraId="149D58C8" w14:textId="77777777" w:rsidR="0023213C" w:rsidRPr="0023213C" w:rsidRDefault="0023213C" w:rsidP="0023213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bookmarkStart w:id="111" w:name="_Toc127285425"/>
      <w:bookmarkStart w:id="112" w:name="_Toc127370306"/>
      <w:r w:rsidRPr="0023213C">
        <w:rPr>
          <w:rFonts w:ascii="Times New Roman" w:eastAsia="Calibri" w:hAnsi="Times New Roman" w:cs="Times New Roman"/>
          <w:color w:val="000000"/>
          <w:sz w:val="28"/>
          <w:u w:val="single"/>
          <w:lang w:eastAsia="bg-BG"/>
        </w:rPr>
        <w:t>11.4. Видове наказания на осъдените лица:</w:t>
      </w:r>
      <w:bookmarkEnd w:id="111"/>
      <w:bookmarkEnd w:id="112"/>
    </w:p>
    <w:p w14:paraId="7363AE52" w14:textId="77777777" w:rsidR="0023213C" w:rsidRPr="0023213C" w:rsidRDefault="0023213C" w:rsidP="0023213C">
      <w:pPr>
        <w:numPr>
          <w:ilvl w:val="0"/>
          <w:numId w:val="12"/>
        </w:numPr>
        <w:spacing w:after="0" w:line="240" w:lineRule="auto"/>
        <w:ind w:left="0"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„лишаване от свобода” с ефективно изтърпяване на наказанието –  2 лица; </w:t>
      </w:r>
    </w:p>
    <w:p w14:paraId="52236C6F" w14:textId="77777777" w:rsidR="0023213C" w:rsidRPr="0023213C" w:rsidRDefault="0023213C" w:rsidP="0023213C">
      <w:pPr>
        <w:numPr>
          <w:ilvl w:val="0"/>
          <w:numId w:val="12"/>
        </w:numPr>
        <w:spacing w:after="0" w:line="240" w:lineRule="auto"/>
        <w:ind w:left="0"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„лишаване от свобода” с приложението на чл.69 във вр. чл. 66 от НК – наложена на 3  лица; </w:t>
      </w:r>
    </w:p>
    <w:p w14:paraId="3403C6DA" w14:textId="77777777" w:rsidR="0023213C" w:rsidRPr="0023213C" w:rsidRDefault="0023213C" w:rsidP="0023213C">
      <w:pPr>
        <w:numPr>
          <w:ilvl w:val="0"/>
          <w:numId w:val="12"/>
        </w:numPr>
        <w:spacing w:after="0" w:line="240" w:lineRule="auto"/>
        <w:ind w:left="0"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обществено порицание (пробация за лица над 16 г.) – наложени на 12 лица; </w:t>
      </w:r>
    </w:p>
    <w:p w14:paraId="0FF05B96" w14:textId="77777777" w:rsidR="0023213C" w:rsidRPr="0023213C" w:rsidRDefault="0023213C" w:rsidP="0023213C">
      <w:pPr>
        <w:numPr>
          <w:ilvl w:val="0"/>
          <w:numId w:val="12"/>
        </w:numPr>
        <w:spacing w:after="0" w:line="240" w:lineRule="auto"/>
        <w:ind w:left="0" w:firstLine="709"/>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освобождаване от наказателна отговорност с налагане на административно наказание - 0.</w:t>
      </w:r>
    </w:p>
    <w:p w14:paraId="12F63A6C" w14:textId="77777777" w:rsidR="0023213C" w:rsidRPr="0023213C" w:rsidRDefault="0023213C" w:rsidP="00C83687">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През отчетния период няма оправдани лица/ в сравнение с 2021 год., когато са оправдани 2 лица с влязла в сила присъда и, като през 2020 год. също няма оправдани лица./</w:t>
      </w:r>
    </w:p>
    <w:p w14:paraId="0B2C0C2B" w14:textId="77777777" w:rsidR="0023213C" w:rsidRPr="0023213C" w:rsidRDefault="0023213C" w:rsidP="0023213C">
      <w:pPr>
        <w:spacing w:after="0" w:line="240" w:lineRule="auto"/>
        <w:jc w:val="both"/>
        <w:rPr>
          <w:rFonts w:ascii="Times New Roman" w:eastAsia="Calibri" w:hAnsi="Times New Roman" w:cs="Times New Roman"/>
          <w:i/>
          <w:sz w:val="28"/>
          <w:szCs w:val="28"/>
        </w:rPr>
      </w:pPr>
    </w:p>
    <w:p w14:paraId="33DB7350" w14:textId="77777777" w:rsidR="0023213C" w:rsidRPr="0023213C" w:rsidRDefault="0023213C" w:rsidP="00C83687">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Наблюдава се тенденция за увеличаване на броя на осъдените непълнолетни лица през 2022 год. в сравнение с предходните две години. .</w:t>
      </w:r>
    </w:p>
    <w:p w14:paraId="04E3858E"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От изложените по-горе абсолютни цифрови стойности се налага извод за  намаляване  на делата за престъпления, извършени от непълнолетни лица спрямо 2021 г и устойчивост  спрямо 2020 г.</w:t>
      </w:r>
    </w:p>
    <w:p w14:paraId="2787429F" w14:textId="77777777" w:rsidR="0023213C" w:rsidRPr="0023213C" w:rsidRDefault="0023213C" w:rsidP="0023213C">
      <w:pPr>
        <w:spacing w:after="0" w:line="240" w:lineRule="auto"/>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Престъпленията против собствеността спрямо общо извършените престъпления от непълнолетни лица отново представлява най- голям дял от извършените престъпления. </w:t>
      </w:r>
    </w:p>
    <w:p w14:paraId="0B13A3C8" w14:textId="77777777" w:rsidR="0023213C" w:rsidRPr="0023213C" w:rsidRDefault="0023213C" w:rsidP="00C83687">
      <w:pPr>
        <w:spacing w:after="0" w:line="240" w:lineRule="auto"/>
        <w:ind w:firstLine="708"/>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Причините за извършени престъпления  от непълнолетни и малолетни лица се дължи на комплекс от фактори: израстване на непълнолетните в криминогенна среда, ниска степен на образователен ценз на непълнолетните извършители на престъпления,  липса на  възпитание в семейна среда, нисък жизнен стандарт в областта. </w:t>
      </w:r>
    </w:p>
    <w:p w14:paraId="20DEBE5E" w14:textId="77777777" w:rsidR="0023213C" w:rsidRDefault="0023213C" w:rsidP="0023213C">
      <w:pPr>
        <w:tabs>
          <w:tab w:val="left" w:pos="826"/>
        </w:tabs>
        <w:autoSpaceDE w:val="0"/>
        <w:autoSpaceDN w:val="0"/>
        <w:adjustRightInd w:val="0"/>
        <w:spacing w:after="0" w:line="240" w:lineRule="auto"/>
        <w:ind w:firstLine="720"/>
        <w:jc w:val="both"/>
        <w:rPr>
          <w:rFonts w:ascii="Times New Roman" w:eastAsia="Calibri" w:hAnsi="Times New Roman" w:cs="Times New Roman"/>
          <w:sz w:val="28"/>
          <w:szCs w:val="28"/>
        </w:rPr>
      </w:pPr>
      <w:r w:rsidRPr="0023213C">
        <w:rPr>
          <w:rFonts w:ascii="Times New Roman" w:eastAsia="Calibri" w:hAnsi="Times New Roman" w:cs="Times New Roman"/>
          <w:sz w:val="28"/>
          <w:szCs w:val="28"/>
        </w:rPr>
        <w:t xml:space="preserve"> Следва  да продължи взаимодействието с местните комисии за борба с противообществените прояви на малолетни и непълнолетни , с инспекторите на детските педагогически стаи с оглед увеличение интензитета на работа и увеличаване на  възможностите за предотвратяване извършването на престъпни деяния от непълнолетни извършители. Следва да се повиши ефективността на работата по превантивна дейност на местните комисии в съответните общини на територията на съдебния район с оглед провеждане обучителни и образователни  беседи в училищата на територията на област Монтана.</w:t>
      </w:r>
    </w:p>
    <w:p w14:paraId="34BA8184" w14:textId="77777777" w:rsidR="0023213C" w:rsidRDefault="0023213C" w:rsidP="0023213C">
      <w:pPr>
        <w:keepNext/>
        <w:shd w:val="clear" w:color="auto" w:fill="FFFFFF"/>
        <w:tabs>
          <w:tab w:val="left" w:pos="763"/>
        </w:tabs>
        <w:autoSpaceDE w:val="0"/>
        <w:autoSpaceDN w:val="0"/>
        <w:adjustRightInd w:val="0"/>
        <w:spacing w:after="0" w:line="240" w:lineRule="auto"/>
        <w:jc w:val="both"/>
        <w:outlineLvl w:val="1"/>
        <w:rPr>
          <w:rFonts w:ascii="Calibri" w:eastAsia="Calibri" w:hAnsi="Calibri" w:cs="Times New Roman"/>
        </w:rPr>
      </w:pPr>
      <w:r w:rsidRPr="0023213C">
        <w:rPr>
          <w:rFonts w:ascii="Calibri" w:eastAsia="Calibri" w:hAnsi="Calibri" w:cs="Times New Roman"/>
          <w:lang w:val="en-US"/>
        </w:rPr>
        <w:t xml:space="preserve">          </w:t>
      </w:r>
      <w:r w:rsidRPr="0023213C">
        <w:rPr>
          <w:rFonts w:ascii="Calibri" w:eastAsia="Calibri" w:hAnsi="Calibri" w:cs="Times New Roman"/>
        </w:rPr>
        <w:t xml:space="preserve">  </w:t>
      </w:r>
    </w:p>
    <w:p w14:paraId="2098B176" w14:textId="77777777" w:rsidR="0023213C" w:rsidRDefault="0023213C" w:rsidP="0023213C">
      <w:pPr>
        <w:keepNext/>
        <w:shd w:val="clear" w:color="auto" w:fill="FFFFFF"/>
        <w:tabs>
          <w:tab w:val="left" w:pos="763"/>
        </w:tabs>
        <w:autoSpaceDE w:val="0"/>
        <w:autoSpaceDN w:val="0"/>
        <w:adjustRightInd w:val="0"/>
        <w:spacing w:after="0" w:line="240" w:lineRule="auto"/>
        <w:jc w:val="both"/>
        <w:outlineLvl w:val="1"/>
        <w:rPr>
          <w:rFonts w:ascii="Calibri" w:eastAsia="Calibri" w:hAnsi="Calibri" w:cs="Times New Roman"/>
        </w:rPr>
      </w:pPr>
    </w:p>
    <w:p w14:paraId="05810FB2" w14:textId="1CDCB856" w:rsidR="0023213C" w:rsidRPr="0023213C" w:rsidRDefault="0023213C" w:rsidP="0023213C">
      <w:pPr>
        <w:keepNext/>
        <w:shd w:val="clear" w:color="auto" w:fill="FFFFFF"/>
        <w:tabs>
          <w:tab w:val="left" w:pos="763"/>
        </w:tabs>
        <w:autoSpaceDE w:val="0"/>
        <w:autoSpaceDN w:val="0"/>
        <w:adjustRightInd w:val="0"/>
        <w:spacing w:after="0" w:line="240" w:lineRule="auto"/>
        <w:jc w:val="both"/>
        <w:outlineLvl w:val="1"/>
        <w:rPr>
          <w:rFonts w:ascii="Times New Roman" w:eastAsia="Calibri" w:hAnsi="Times New Roman" w:cs="Arial"/>
          <w:b/>
          <w:iCs/>
          <w:color w:val="000000"/>
          <w:sz w:val="28"/>
          <w:lang w:eastAsia="bg-BG"/>
        </w:rPr>
      </w:pPr>
      <w:r>
        <w:rPr>
          <w:rFonts w:ascii="Calibri" w:eastAsia="Calibri" w:hAnsi="Calibri" w:cs="Times New Roman"/>
        </w:rPr>
        <w:tab/>
      </w:r>
      <w:r w:rsidRPr="0023213C">
        <w:rPr>
          <w:rFonts w:ascii="Calibri" w:eastAsia="Calibri" w:hAnsi="Calibri" w:cs="Times New Roman"/>
        </w:rPr>
        <w:t xml:space="preserve"> </w:t>
      </w:r>
      <w:r w:rsidRPr="0023213C">
        <w:rPr>
          <w:rFonts w:ascii="Calibri" w:eastAsia="Calibri" w:hAnsi="Calibri" w:cs="Times New Roman"/>
          <w:lang w:val="en-US"/>
        </w:rPr>
        <w:t xml:space="preserve"> </w:t>
      </w:r>
      <w:bookmarkStart w:id="113" w:name="_Toc127370307"/>
      <w:r w:rsidRPr="0023213C">
        <w:rPr>
          <w:rFonts w:ascii="Times New Roman" w:eastAsia="Calibri" w:hAnsi="Times New Roman" w:cs="Arial"/>
          <w:b/>
          <w:iCs/>
          <w:color w:val="000000"/>
          <w:sz w:val="28"/>
          <w:lang w:eastAsia="bg-BG"/>
        </w:rPr>
        <w:t>IV. МЕЖДУНАРОДНО – ПРАВНО СЪТРУДНИЧЕСТВО</w:t>
      </w:r>
      <w:bookmarkEnd w:id="113"/>
    </w:p>
    <w:p w14:paraId="4343C01C"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p>
    <w:p w14:paraId="192DBE9A"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В дейността си по дела с международен елемент, прокурорите в региона се съобразяват стриктно с разпоредбите на Европейската Конвенция за взаимопомощ по наказателно-правни въпроси от 1959 г. /в сила за Република България от 15.09.1994 г./, с  Конвенцията от 29.05.2000 г. за взаимопомощ по </w:t>
      </w:r>
      <w:r w:rsidRPr="0023213C">
        <w:rPr>
          <w:rFonts w:ascii="Times New Roman" w:eastAsia="Times New Roman" w:hAnsi="Times New Roman" w:cs="Times New Roman"/>
          <w:sz w:val="28"/>
          <w:szCs w:val="28"/>
        </w:rPr>
        <w:lastRenderedPageBreak/>
        <w:t>наказателно-правни въпроси между страни-членки на ЕС /в сила от 01.12.2007 г./  и  с всички други приложими международни актове; с разпоредбите на НПК и указанията на прокурорите от  „Международен” при ВКП.</w:t>
      </w:r>
    </w:p>
    <w:p w14:paraId="0AF5D7EA"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Предвид териториалното разположение и конкретната обстановка в регион - Монтана, по начало не се отбелязва интензивна работа по международни поръчки. </w:t>
      </w:r>
    </w:p>
    <w:p w14:paraId="1468E7CE"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p>
    <w:p w14:paraId="17917B5E" w14:textId="77777777" w:rsidR="0023213C" w:rsidRPr="0023213C" w:rsidRDefault="0023213C" w:rsidP="0023213C">
      <w:pPr>
        <w:numPr>
          <w:ilvl w:val="0"/>
          <w:numId w:val="15"/>
        </w:numPr>
        <w:spacing w:after="0" w:line="240" w:lineRule="auto"/>
        <w:jc w:val="both"/>
        <w:rPr>
          <w:rFonts w:ascii="Times New Roman" w:eastAsia="Times New Roman" w:hAnsi="Times New Roman" w:cs="Times New Roman"/>
          <w:b/>
          <w:i/>
          <w:sz w:val="28"/>
          <w:szCs w:val="28"/>
          <w:u w:val="single"/>
        </w:rPr>
      </w:pPr>
      <w:r w:rsidRPr="0023213C">
        <w:rPr>
          <w:rFonts w:ascii="Times New Roman" w:eastAsia="Times New Roman" w:hAnsi="Times New Roman" w:cs="Times New Roman"/>
          <w:b/>
          <w:i/>
          <w:sz w:val="28"/>
          <w:szCs w:val="28"/>
          <w:u w:val="single"/>
        </w:rPr>
        <w:t>Изпълнени МПП:</w:t>
      </w:r>
    </w:p>
    <w:p w14:paraId="43367B19" w14:textId="77777777" w:rsidR="0023213C" w:rsidRPr="0023213C" w:rsidRDefault="0023213C" w:rsidP="0023213C">
      <w:pPr>
        <w:spacing w:after="0" w:line="240" w:lineRule="auto"/>
        <w:ind w:left="1069"/>
        <w:jc w:val="both"/>
        <w:rPr>
          <w:rFonts w:ascii="Times New Roman" w:eastAsia="Times New Roman" w:hAnsi="Times New Roman" w:cs="Times New Roman"/>
          <w:b/>
          <w:i/>
          <w:sz w:val="28"/>
          <w:szCs w:val="28"/>
          <w:u w:val="single"/>
        </w:rPr>
      </w:pPr>
    </w:p>
    <w:p w14:paraId="1C1D3F88" w14:textId="05DC5778" w:rsidR="0023213C" w:rsidRPr="0023213C" w:rsidRDefault="0023213C" w:rsidP="00C83687">
      <w:pPr>
        <w:spacing w:after="0" w:line="240" w:lineRule="auto"/>
        <w:ind w:firstLine="708"/>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През 2022 година са получени и изпълнени </w:t>
      </w:r>
      <w:r w:rsidRPr="0023213C">
        <w:rPr>
          <w:rFonts w:ascii="Times New Roman" w:eastAsia="Times New Roman" w:hAnsi="Times New Roman" w:cs="Times New Roman"/>
          <w:b/>
          <w:sz w:val="28"/>
          <w:szCs w:val="28"/>
        </w:rPr>
        <w:t>15 броя</w:t>
      </w:r>
      <w:r w:rsidRPr="0023213C">
        <w:rPr>
          <w:rFonts w:ascii="Times New Roman" w:eastAsia="Times New Roman" w:hAnsi="Times New Roman" w:cs="Times New Roman"/>
          <w:sz w:val="28"/>
          <w:szCs w:val="28"/>
        </w:rPr>
        <w:t xml:space="preserve"> молби за правна помощ и са отправени </w:t>
      </w:r>
      <w:r w:rsidRPr="0023213C">
        <w:rPr>
          <w:rFonts w:ascii="Times New Roman" w:eastAsia="Times New Roman" w:hAnsi="Times New Roman" w:cs="Times New Roman"/>
          <w:b/>
          <w:sz w:val="28"/>
          <w:szCs w:val="28"/>
        </w:rPr>
        <w:t>3 броя</w:t>
      </w:r>
      <w:r w:rsidRPr="0023213C">
        <w:rPr>
          <w:rFonts w:ascii="Times New Roman" w:eastAsia="Times New Roman" w:hAnsi="Times New Roman" w:cs="Times New Roman"/>
          <w:sz w:val="28"/>
          <w:szCs w:val="28"/>
        </w:rPr>
        <w:t xml:space="preserve"> такива до държави-членки на ЕС.</w:t>
      </w:r>
    </w:p>
    <w:p w14:paraId="291B08E4" w14:textId="7114456C" w:rsidR="0023213C" w:rsidRPr="0023213C" w:rsidRDefault="0023213C" w:rsidP="00C83687">
      <w:pPr>
        <w:spacing w:after="0" w:line="240" w:lineRule="auto"/>
        <w:ind w:firstLine="708"/>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През 2021 година са полученви и  изпълнени </w:t>
      </w:r>
      <w:r w:rsidRPr="0023213C">
        <w:rPr>
          <w:rFonts w:ascii="Times New Roman" w:eastAsia="Times New Roman" w:hAnsi="Times New Roman" w:cs="Times New Roman"/>
          <w:b/>
          <w:sz w:val="28"/>
          <w:szCs w:val="28"/>
        </w:rPr>
        <w:t xml:space="preserve">13 броя </w:t>
      </w:r>
      <w:r w:rsidRPr="0023213C">
        <w:rPr>
          <w:rFonts w:ascii="Times New Roman" w:eastAsia="Times New Roman" w:hAnsi="Times New Roman" w:cs="Times New Roman"/>
          <w:sz w:val="28"/>
          <w:szCs w:val="28"/>
        </w:rPr>
        <w:t xml:space="preserve">молби за правна помощ и са отправени </w:t>
      </w:r>
      <w:r w:rsidRPr="0023213C">
        <w:rPr>
          <w:rFonts w:ascii="Times New Roman" w:eastAsia="Times New Roman" w:hAnsi="Times New Roman" w:cs="Times New Roman"/>
          <w:b/>
          <w:sz w:val="28"/>
          <w:szCs w:val="28"/>
        </w:rPr>
        <w:t>5 броя</w:t>
      </w:r>
      <w:r w:rsidRPr="0023213C">
        <w:rPr>
          <w:rFonts w:ascii="Times New Roman" w:eastAsia="Times New Roman" w:hAnsi="Times New Roman" w:cs="Times New Roman"/>
          <w:sz w:val="28"/>
          <w:szCs w:val="28"/>
        </w:rPr>
        <w:t xml:space="preserve"> такива до държави-членки на ЕС. </w:t>
      </w:r>
    </w:p>
    <w:p w14:paraId="0D30ED6B" w14:textId="31B82E3B" w:rsidR="0023213C" w:rsidRPr="0023213C" w:rsidRDefault="0023213C" w:rsidP="00C83687">
      <w:pPr>
        <w:spacing w:after="0" w:line="240" w:lineRule="auto"/>
        <w:ind w:firstLine="708"/>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През 2020 година са получени и изпълнени  </w:t>
      </w:r>
      <w:r w:rsidRPr="0023213C">
        <w:rPr>
          <w:rFonts w:ascii="Times New Roman" w:eastAsia="Times New Roman" w:hAnsi="Times New Roman" w:cs="Times New Roman"/>
          <w:b/>
          <w:sz w:val="28"/>
          <w:szCs w:val="28"/>
        </w:rPr>
        <w:t>9 броя молби</w:t>
      </w:r>
      <w:r w:rsidRPr="0023213C">
        <w:rPr>
          <w:rFonts w:ascii="Times New Roman" w:eastAsia="Times New Roman" w:hAnsi="Times New Roman" w:cs="Times New Roman"/>
          <w:sz w:val="28"/>
          <w:szCs w:val="28"/>
        </w:rPr>
        <w:t xml:space="preserve"> за правна помощ и са отправени </w:t>
      </w:r>
      <w:r w:rsidRPr="0023213C">
        <w:rPr>
          <w:rFonts w:ascii="Times New Roman" w:eastAsia="Times New Roman" w:hAnsi="Times New Roman" w:cs="Times New Roman"/>
          <w:b/>
          <w:sz w:val="28"/>
          <w:szCs w:val="28"/>
        </w:rPr>
        <w:t>6 броя</w:t>
      </w:r>
      <w:r w:rsidRPr="0023213C">
        <w:rPr>
          <w:rFonts w:ascii="Times New Roman" w:eastAsia="Times New Roman" w:hAnsi="Times New Roman" w:cs="Times New Roman"/>
          <w:sz w:val="28"/>
          <w:szCs w:val="28"/>
        </w:rPr>
        <w:t xml:space="preserve"> такива до държави- членки на ЕС.</w:t>
      </w:r>
    </w:p>
    <w:p w14:paraId="2910EC80" w14:textId="01D259CA" w:rsidR="0023213C" w:rsidRPr="0023213C" w:rsidRDefault="0023213C" w:rsidP="00C83687">
      <w:pPr>
        <w:spacing w:after="0" w:line="240" w:lineRule="auto"/>
        <w:ind w:firstLine="708"/>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Получени са и са признати </w:t>
      </w:r>
      <w:r w:rsidRPr="0023213C">
        <w:rPr>
          <w:rFonts w:ascii="Times New Roman" w:eastAsia="Times New Roman" w:hAnsi="Times New Roman" w:cs="Times New Roman"/>
          <w:b/>
          <w:sz w:val="28"/>
          <w:szCs w:val="28"/>
        </w:rPr>
        <w:t>8 броя</w:t>
      </w:r>
      <w:r w:rsidRPr="0023213C">
        <w:rPr>
          <w:rFonts w:ascii="Times New Roman" w:eastAsia="Times New Roman" w:hAnsi="Times New Roman" w:cs="Times New Roman"/>
          <w:sz w:val="28"/>
          <w:szCs w:val="28"/>
        </w:rPr>
        <w:t xml:space="preserve"> Европейски заповеди за разследване и са издадени </w:t>
      </w:r>
      <w:r w:rsidRPr="0023213C">
        <w:rPr>
          <w:rFonts w:ascii="Times New Roman" w:eastAsia="Times New Roman" w:hAnsi="Times New Roman" w:cs="Times New Roman"/>
          <w:b/>
          <w:sz w:val="28"/>
          <w:szCs w:val="28"/>
        </w:rPr>
        <w:t>9 броя</w:t>
      </w:r>
      <w:r w:rsidRPr="0023213C">
        <w:rPr>
          <w:rFonts w:ascii="Times New Roman" w:eastAsia="Times New Roman" w:hAnsi="Times New Roman" w:cs="Times New Roman"/>
          <w:sz w:val="28"/>
          <w:szCs w:val="28"/>
        </w:rPr>
        <w:t>.</w:t>
      </w:r>
    </w:p>
    <w:p w14:paraId="3408B66B" w14:textId="77777777" w:rsidR="00C83687" w:rsidRDefault="0023213C" w:rsidP="00C83687">
      <w:pPr>
        <w:spacing w:after="0" w:line="240" w:lineRule="auto"/>
        <w:ind w:firstLine="708"/>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За 2021 година са били получени и  признати </w:t>
      </w:r>
      <w:r w:rsidRPr="0023213C">
        <w:rPr>
          <w:rFonts w:ascii="Times New Roman" w:eastAsia="Times New Roman" w:hAnsi="Times New Roman" w:cs="Times New Roman"/>
          <w:b/>
          <w:sz w:val="28"/>
          <w:szCs w:val="28"/>
        </w:rPr>
        <w:t>3 броя</w:t>
      </w:r>
      <w:r w:rsidRPr="0023213C">
        <w:rPr>
          <w:rFonts w:ascii="Times New Roman" w:eastAsia="Times New Roman" w:hAnsi="Times New Roman" w:cs="Times New Roman"/>
          <w:sz w:val="28"/>
          <w:szCs w:val="28"/>
        </w:rPr>
        <w:t xml:space="preserve"> Европейски заповеди за разследване , а е издадан </w:t>
      </w:r>
      <w:r w:rsidRPr="0023213C">
        <w:rPr>
          <w:rFonts w:ascii="Times New Roman" w:eastAsia="Times New Roman" w:hAnsi="Times New Roman" w:cs="Times New Roman"/>
          <w:b/>
          <w:sz w:val="28"/>
          <w:szCs w:val="28"/>
        </w:rPr>
        <w:t>1 брой</w:t>
      </w:r>
      <w:r w:rsidRPr="0023213C">
        <w:rPr>
          <w:rFonts w:ascii="Times New Roman" w:eastAsia="Times New Roman" w:hAnsi="Times New Roman" w:cs="Times New Roman"/>
          <w:sz w:val="28"/>
          <w:szCs w:val="28"/>
        </w:rPr>
        <w:t xml:space="preserve"> такава. </w:t>
      </w:r>
    </w:p>
    <w:p w14:paraId="1D823739" w14:textId="77777777" w:rsidR="00C83687" w:rsidRDefault="0023213C" w:rsidP="00C83687">
      <w:pPr>
        <w:spacing w:after="0" w:line="240" w:lineRule="auto"/>
        <w:ind w:firstLine="708"/>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За 2020 година са били п</w:t>
      </w:r>
      <w:r w:rsidRPr="0023213C">
        <w:rPr>
          <w:rFonts w:ascii="Times New Roman" w:eastAsia="Times New Roman" w:hAnsi="Times New Roman" w:cs="Times New Roman"/>
          <w:b/>
          <w:sz w:val="28"/>
          <w:szCs w:val="28"/>
        </w:rPr>
        <w:t>олучени</w:t>
      </w:r>
      <w:r w:rsidRPr="0023213C">
        <w:rPr>
          <w:rFonts w:ascii="Times New Roman" w:eastAsia="Times New Roman" w:hAnsi="Times New Roman" w:cs="Times New Roman"/>
          <w:sz w:val="28"/>
          <w:szCs w:val="28"/>
        </w:rPr>
        <w:t xml:space="preserve">  и признати </w:t>
      </w:r>
      <w:r w:rsidRPr="0023213C">
        <w:rPr>
          <w:rFonts w:ascii="Times New Roman" w:eastAsia="Times New Roman" w:hAnsi="Times New Roman" w:cs="Times New Roman"/>
          <w:b/>
          <w:sz w:val="28"/>
          <w:szCs w:val="28"/>
        </w:rPr>
        <w:t>2 броя</w:t>
      </w:r>
      <w:r w:rsidRPr="0023213C">
        <w:rPr>
          <w:rFonts w:ascii="Times New Roman" w:eastAsia="Times New Roman" w:hAnsi="Times New Roman" w:cs="Times New Roman"/>
          <w:sz w:val="28"/>
          <w:szCs w:val="28"/>
        </w:rPr>
        <w:t xml:space="preserve"> Европейски заповеди за разследване а са били издадени  </w:t>
      </w:r>
      <w:r w:rsidRPr="0023213C">
        <w:rPr>
          <w:rFonts w:ascii="Times New Roman" w:eastAsia="Times New Roman" w:hAnsi="Times New Roman" w:cs="Times New Roman"/>
          <w:b/>
          <w:sz w:val="28"/>
          <w:szCs w:val="28"/>
        </w:rPr>
        <w:t>4 броя</w:t>
      </w:r>
      <w:r w:rsidR="00C83687">
        <w:rPr>
          <w:rFonts w:ascii="Times New Roman" w:eastAsia="Times New Roman" w:hAnsi="Times New Roman" w:cs="Times New Roman"/>
          <w:sz w:val="28"/>
          <w:szCs w:val="28"/>
        </w:rPr>
        <w:t xml:space="preserve"> такива.</w:t>
      </w:r>
    </w:p>
    <w:p w14:paraId="49A6BCFE" w14:textId="278D55A8" w:rsidR="0023213C" w:rsidRPr="0023213C" w:rsidRDefault="0023213C" w:rsidP="00C83687">
      <w:pPr>
        <w:spacing w:after="0" w:line="240" w:lineRule="auto"/>
        <w:ind w:firstLine="708"/>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Съпоставката сочи, че броят на молбите  за правна помощ, а така също и на признаните и издадени ЕЗР </w:t>
      </w:r>
      <w:r w:rsidRPr="0023213C">
        <w:rPr>
          <w:rFonts w:ascii="Times New Roman" w:eastAsia="Times New Roman" w:hAnsi="Times New Roman" w:cs="Times New Roman"/>
          <w:i/>
          <w:sz w:val="28"/>
          <w:szCs w:val="28"/>
        </w:rPr>
        <w:t>е завишен</w:t>
      </w:r>
      <w:r w:rsidRPr="0023213C">
        <w:rPr>
          <w:rFonts w:ascii="Times New Roman" w:eastAsia="Times New Roman" w:hAnsi="Times New Roman" w:cs="Times New Roman"/>
          <w:sz w:val="28"/>
          <w:szCs w:val="28"/>
        </w:rPr>
        <w:t xml:space="preserve"> и спрямо двата предходни периода.  </w:t>
      </w:r>
    </w:p>
    <w:p w14:paraId="1CAD4061" w14:textId="77777777" w:rsidR="0023213C" w:rsidRPr="0023213C" w:rsidRDefault="0023213C" w:rsidP="0023213C">
      <w:pPr>
        <w:spacing w:after="0" w:line="240" w:lineRule="auto"/>
        <w:ind w:left="142" w:firstLine="709"/>
        <w:jc w:val="both"/>
        <w:rPr>
          <w:rFonts w:ascii="Times New Roman" w:eastAsia="Times New Roman" w:hAnsi="Times New Roman" w:cs="Times New Roman"/>
          <w:color w:val="000000"/>
          <w:sz w:val="28"/>
          <w:szCs w:val="28"/>
          <w:lang w:eastAsia="bg-BG"/>
        </w:rPr>
      </w:pPr>
    </w:p>
    <w:p w14:paraId="3D8B967D" w14:textId="77777777" w:rsidR="0023213C" w:rsidRPr="0023213C" w:rsidRDefault="0023213C" w:rsidP="0023213C">
      <w:pPr>
        <w:numPr>
          <w:ilvl w:val="0"/>
          <w:numId w:val="15"/>
        </w:numPr>
        <w:spacing w:after="0" w:line="240" w:lineRule="auto"/>
        <w:jc w:val="both"/>
        <w:rPr>
          <w:rFonts w:ascii="Times New Roman" w:eastAsia="Times New Roman" w:hAnsi="Times New Roman" w:cs="Times New Roman"/>
          <w:b/>
          <w:i/>
          <w:color w:val="000000"/>
          <w:sz w:val="28"/>
          <w:szCs w:val="28"/>
          <w:u w:val="single"/>
          <w:lang w:eastAsia="bg-BG"/>
        </w:rPr>
      </w:pPr>
      <w:r w:rsidRPr="0023213C">
        <w:rPr>
          <w:rFonts w:ascii="Times New Roman" w:eastAsia="Times New Roman" w:hAnsi="Times New Roman" w:cs="Times New Roman"/>
          <w:b/>
          <w:i/>
          <w:color w:val="000000"/>
          <w:sz w:val="28"/>
          <w:szCs w:val="28"/>
          <w:lang w:eastAsia="bg-BG"/>
        </w:rPr>
        <w:t xml:space="preserve">   </w:t>
      </w:r>
      <w:r w:rsidRPr="0023213C">
        <w:rPr>
          <w:rFonts w:ascii="Times New Roman" w:eastAsia="Times New Roman" w:hAnsi="Times New Roman" w:cs="Times New Roman"/>
          <w:b/>
          <w:i/>
          <w:color w:val="000000"/>
          <w:sz w:val="28"/>
          <w:szCs w:val="28"/>
          <w:u w:val="single"/>
          <w:lang w:eastAsia="bg-BG"/>
        </w:rPr>
        <w:t>Получени ЕЗА и молби за екстрадиция:</w:t>
      </w:r>
    </w:p>
    <w:p w14:paraId="2F191DAA" w14:textId="77777777" w:rsidR="0023213C" w:rsidRPr="0023213C" w:rsidRDefault="0023213C" w:rsidP="0023213C">
      <w:pPr>
        <w:spacing w:after="0" w:line="240" w:lineRule="auto"/>
        <w:ind w:left="709"/>
        <w:jc w:val="both"/>
        <w:rPr>
          <w:rFonts w:ascii="Times New Roman" w:eastAsia="Times New Roman" w:hAnsi="Times New Roman" w:cs="Times New Roman"/>
          <w:b/>
          <w:i/>
          <w:color w:val="000000"/>
          <w:sz w:val="28"/>
          <w:szCs w:val="28"/>
          <w:u w:val="single"/>
          <w:lang w:eastAsia="bg-BG"/>
        </w:rPr>
      </w:pPr>
    </w:p>
    <w:p w14:paraId="7193DDF1" w14:textId="79D65E9D" w:rsidR="0023213C" w:rsidRPr="0023213C" w:rsidRDefault="0023213C" w:rsidP="0023213C">
      <w:pPr>
        <w:spacing w:after="0" w:line="240" w:lineRule="auto"/>
        <w:ind w:hanging="1069"/>
        <w:jc w:val="both"/>
        <w:rPr>
          <w:rFonts w:ascii="Times New Roman" w:eastAsia="Times New Roman" w:hAnsi="Times New Roman" w:cs="Times New Roman"/>
          <w:color w:val="000000"/>
          <w:sz w:val="28"/>
          <w:szCs w:val="28"/>
          <w:lang w:eastAsia="bg-BG"/>
        </w:rPr>
      </w:pPr>
      <w:r w:rsidRPr="0023213C">
        <w:rPr>
          <w:rFonts w:ascii="Times New Roman" w:eastAsia="Times New Roman" w:hAnsi="Times New Roman" w:cs="Times New Roman"/>
          <w:color w:val="000000"/>
          <w:sz w:val="28"/>
          <w:szCs w:val="28"/>
          <w:lang w:eastAsia="bg-BG"/>
        </w:rPr>
        <w:t xml:space="preserve">             </w:t>
      </w:r>
      <w:r w:rsidR="00C83687">
        <w:rPr>
          <w:rFonts w:ascii="Times New Roman" w:eastAsia="Times New Roman" w:hAnsi="Times New Roman" w:cs="Times New Roman"/>
          <w:color w:val="000000"/>
          <w:sz w:val="28"/>
          <w:szCs w:val="28"/>
          <w:lang w:eastAsia="bg-BG"/>
        </w:rPr>
        <w:tab/>
      </w:r>
      <w:r w:rsidR="00C83687">
        <w:rPr>
          <w:rFonts w:ascii="Times New Roman" w:eastAsia="Times New Roman" w:hAnsi="Times New Roman" w:cs="Times New Roman"/>
          <w:color w:val="000000"/>
          <w:sz w:val="28"/>
          <w:szCs w:val="28"/>
          <w:lang w:eastAsia="bg-BG"/>
        </w:rPr>
        <w:tab/>
      </w:r>
      <w:r w:rsidRPr="0023213C">
        <w:rPr>
          <w:rFonts w:ascii="Times New Roman" w:eastAsia="Times New Roman" w:hAnsi="Times New Roman" w:cs="Times New Roman"/>
          <w:color w:val="000000"/>
          <w:sz w:val="28"/>
          <w:szCs w:val="28"/>
          <w:lang w:eastAsia="bg-BG"/>
        </w:rPr>
        <w:t xml:space="preserve">В регион – Монтана за отчетния период   е получена </w:t>
      </w:r>
      <w:r w:rsidRPr="0023213C">
        <w:rPr>
          <w:rFonts w:ascii="Times New Roman" w:eastAsia="Times New Roman" w:hAnsi="Times New Roman" w:cs="Times New Roman"/>
          <w:b/>
          <w:color w:val="000000"/>
          <w:sz w:val="28"/>
          <w:szCs w:val="28"/>
          <w:lang w:eastAsia="bg-BG"/>
        </w:rPr>
        <w:t>1 брой ЕЗА</w:t>
      </w:r>
      <w:r w:rsidRPr="0023213C">
        <w:rPr>
          <w:rFonts w:ascii="Times New Roman" w:eastAsia="Times New Roman" w:hAnsi="Times New Roman" w:cs="Times New Roman"/>
          <w:color w:val="000000"/>
          <w:sz w:val="28"/>
          <w:szCs w:val="28"/>
          <w:lang w:eastAsia="bg-BG"/>
        </w:rPr>
        <w:t xml:space="preserve"> и </w:t>
      </w:r>
      <w:r w:rsidRPr="0023213C">
        <w:rPr>
          <w:rFonts w:ascii="Times New Roman" w:eastAsia="Times New Roman" w:hAnsi="Times New Roman" w:cs="Times New Roman"/>
          <w:b/>
          <w:color w:val="000000"/>
          <w:sz w:val="28"/>
          <w:szCs w:val="28"/>
          <w:lang w:eastAsia="bg-BG"/>
        </w:rPr>
        <w:t>1 брой молба</w:t>
      </w:r>
      <w:r w:rsidR="003E3203">
        <w:rPr>
          <w:rFonts w:ascii="Times New Roman" w:eastAsia="Times New Roman" w:hAnsi="Times New Roman" w:cs="Times New Roman"/>
          <w:color w:val="000000"/>
          <w:sz w:val="28"/>
          <w:szCs w:val="28"/>
          <w:lang w:eastAsia="bg-BG"/>
        </w:rPr>
        <w:t xml:space="preserve"> за екст</w:t>
      </w:r>
      <w:r w:rsidR="007E21C1">
        <w:rPr>
          <w:rFonts w:ascii="Times New Roman" w:eastAsia="Times New Roman" w:hAnsi="Times New Roman" w:cs="Times New Roman"/>
          <w:color w:val="000000"/>
          <w:sz w:val="28"/>
          <w:szCs w:val="28"/>
          <w:lang w:eastAsia="bg-BG"/>
        </w:rPr>
        <w:t>рад</w:t>
      </w:r>
      <w:r w:rsidRPr="0023213C">
        <w:rPr>
          <w:rFonts w:ascii="Times New Roman" w:eastAsia="Times New Roman" w:hAnsi="Times New Roman" w:cs="Times New Roman"/>
          <w:color w:val="000000"/>
          <w:sz w:val="28"/>
          <w:szCs w:val="28"/>
          <w:lang w:eastAsia="bg-BG"/>
        </w:rPr>
        <w:t xml:space="preserve">иция. </w:t>
      </w:r>
    </w:p>
    <w:p w14:paraId="50B668ED" w14:textId="14DEC2A0" w:rsidR="0023213C" w:rsidRPr="0023213C" w:rsidRDefault="0023213C" w:rsidP="0023213C">
      <w:pPr>
        <w:spacing w:after="0" w:line="240" w:lineRule="auto"/>
        <w:ind w:hanging="1069"/>
        <w:jc w:val="both"/>
        <w:rPr>
          <w:rFonts w:ascii="Times New Roman" w:eastAsia="Times New Roman" w:hAnsi="Times New Roman" w:cs="Times New Roman"/>
          <w:color w:val="000000"/>
          <w:sz w:val="28"/>
          <w:szCs w:val="28"/>
          <w:lang w:eastAsia="bg-BG"/>
        </w:rPr>
      </w:pPr>
      <w:r w:rsidRPr="0023213C">
        <w:rPr>
          <w:rFonts w:ascii="Times New Roman" w:eastAsia="Times New Roman" w:hAnsi="Times New Roman" w:cs="Times New Roman"/>
          <w:color w:val="000000"/>
          <w:sz w:val="28"/>
          <w:szCs w:val="28"/>
          <w:lang w:eastAsia="bg-BG"/>
        </w:rPr>
        <w:t xml:space="preserve">               </w:t>
      </w:r>
      <w:r w:rsidR="00C83687">
        <w:rPr>
          <w:rFonts w:ascii="Times New Roman" w:eastAsia="Times New Roman" w:hAnsi="Times New Roman" w:cs="Times New Roman"/>
          <w:color w:val="000000"/>
          <w:sz w:val="28"/>
          <w:szCs w:val="28"/>
          <w:lang w:eastAsia="bg-BG"/>
        </w:rPr>
        <w:tab/>
      </w:r>
      <w:r w:rsidR="00C83687">
        <w:rPr>
          <w:rFonts w:ascii="Times New Roman" w:eastAsia="Times New Roman" w:hAnsi="Times New Roman" w:cs="Times New Roman"/>
          <w:color w:val="000000"/>
          <w:sz w:val="28"/>
          <w:szCs w:val="28"/>
          <w:lang w:eastAsia="bg-BG"/>
        </w:rPr>
        <w:tab/>
      </w:r>
      <w:r w:rsidRPr="0023213C">
        <w:rPr>
          <w:rFonts w:ascii="Times New Roman" w:eastAsia="Times New Roman" w:hAnsi="Times New Roman" w:cs="Times New Roman"/>
          <w:color w:val="000000"/>
          <w:sz w:val="28"/>
          <w:szCs w:val="28"/>
          <w:lang w:eastAsia="bg-BG"/>
        </w:rPr>
        <w:t xml:space="preserve">За 2020 година са получени за изпълнение </w:t>
      </w:r>
      <w:r w:rsidRPr="0023213C">
        <w:rPr>
          <w:rFonts w:ascii="Times New Roman" w:eastAsia="Times New Roman" w:hAnsi="Times New Roman" w:cs="Times New Roman"/>
          <w:b/>
          <w:color w:val="000000"/>
          <w:sz w:val="28"/>
          <w:szCs w:val="28"/>
          <w:lang w:eastAsia="bg-BG"/>
        </w:rPr>
        <w:t>3 броя</w:t>
      </w:r>
      <w:r w:rsidRPr="0023213C">
        <w:rPr>
          <w:rFonts w:ascii="Times New Roman" w:eastAsia="Times New Roman" w:hAnsi="Times New Roman" w:cs="Times New Roman"/>
          <w:color w:val="000000"/>
          <w:sz w:val="28"/>
          <w:szCs w:val="28"/>
          <w:lang w:eastAsia="bg-BG"/>
        </w:rPr>
        <w:t xml:space="preserve"> Европейски заповеди за арест. Няма получавани молби за екстрадиция.</w:t>
      </w:r>
    </w:p>
    <w:p w14:paraId="00E4280A" w14:textId="250AB058" w:rsidR="0023213C" w:rsidRPr="0023213C" w:rsidRDefault="0023213C" w:rsidP="00972837">
      <w:pPr>
        <w:tabs>
          <w:tab w:val="left" w:pos="709"/>
        </w:tabs>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color w:val="000000"/>
          <w:sz w:val="28"/>
          <w:szCs w:val="28"/>
          <w:lang w:eastAsia="bg-BG"/>
        </w:rPr>
        <w:t xml:space="preserve">За  2019 година  </w:t>
      </w:r>
      <w:r w:rsidRPr="0023213C">
        <w:rPr>
          <w:rFonts w:ascii="Times New Roman" w:eastAsia="Times New Roman" w:hAnsi="Times New Roman" w:cs="Times New Roman"/>
          <w:b/>
          <w:color w:val="000000"/>
          <w:sz w:val="28"/>
          <w:szCs w:val="28"/>
          <w:lang w:eastAsia="bg-BG"/>
        </w:rPr>
        <w:t>са получени</w:t>
      </w:r>
      <w:r w:rsidRPr="0023213C">
        <w:rPr>
          <w:rFonts w:ascii="Times New Roman" w:eastAsia="Times New Roman" w:hAnsi="Times New Roman" w:cs="Times New Roman"/>
          <w:color w:val="000000"/>
          <w:sz w:val="28"/>
          <w:szCs w:val="28"/>
          <w:lang w:eastAsia="bg-BG"/>
        </w:rPr>
        <w:t xml:space="preserve">  за изпълнение </w:t>
      </w:r>
      <w:r w:rsidRPr="0023213C">
        <w:rPr>
          <w:rFonts w:ascii="Times New Roman" w:eastAsia="Times New Roman" w:hAnsi="Times New Roman" w:cs="Times New Roman"/>
          <w:b/>
          <w:color w:val="000000"/>
          <w:sz w:val="28"/>
          <w:szCs w:val="28"/>
          <w:lang w:eastAsia="bg-BG"/>
        </w:rPr>
        <w:t xml:space="preserve">2 броя Европейски заповеди  за арест и  1 брой молба </w:t>
      </w:r>
      <w:r w:rsidRPr="0023213C">
        <w:rPr>
          <w:rFonts w:ascii="Times New Roman" w:eastAsia="Times New Roman" w:hAnsi="Times New Roman" w:cs="Times New Roman"/>
          <w:color w:val="000000"/>
          <w:sz w:val="28"/>
          <w:szCs w:val="28"/>
          <w:lang w:eastAsia="bg-BG"/>
        </w:rPr>
        <w:t xml:space="preserve">за екстрадиция .  </w:t>
      </w:r>
      <w:r w:rsidRPr="0023213C">
        <w:rPr>
          <w:rFonts w:ascii="Times New Roman" w:eastAsia="Times New Roman" w:hAnsi="Times New Roman" w:cs="Times New Roman"/>
          <w:b/>
          <w:color w:val="000000"/>
          <w:sz w:val="28"/>
          <w:szCs w:val="28"/>
          <w:lang w:eastAsia="bg-BG"/>
        </w:rPr>
        <w:t>Няма трансфери</w:t>
      </w:r>
      <w:r w:rsidRPr="0023213C">
        <w:rPr>
          <w:rFonts w:ascii="Times New Roman" w:eastAsia="Times New Roman" w:hAnsi="Times New Roman" w:cs="Times New Roman"/>
          <w:color w:val="000000"/>
          <w:sz w:val="28"/>
          <w:szCs w:val="28"/>
          <w:lang w:eastAsia="bg-BG"/>
        </w:rPr>
        <w:t xml:space="preserve"> на наказателни производства. </w:t>
      </w:r>
    </w:p>
    <w:p w14:paraId="4BE0B63D"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p>
    <w:p w14:paraId="06BC1B41" w14:textId="77777777" w:rsidR="0023213C" w:rsidRPr="0023213C" w:rsidRDefault="0023213C" w:rsidP="0023213C">
      <w:pPr>
        <w:numPr>
          <w:ilvl w:val="0"/>
          <w:numId w:val="15"/>
        </w:numPr>
        <w:spacing w:after="0" w:line="240" w:lineRule="auto"/>
        <w:jc w:val="both"/>
        <w:rPr>
          <w:rFonts w:ascii="Times New Roman" w:eastAsia="Times New Roman" w:hAnsi="Times New Roman" w:cs="Times New Roman"/>
          <w:b/>
          <w:i/>
          <w:sz w:val="28"/>
          <w:szCs w:val="28"/>
          <w:u w:val="single"/>
        </w:rPr>
      </w:pPr>
      <w:r w:rsidRPr="0023213C">
        <w:rPr>
          <w:rFonts w:ascii="Times New Roman" w:eastAsia="Times New Roman" w:hAnsi="Times New Roman" w:cs="Times New Roman"/>
          <w:b/>
          <w:i/>
          <w:sz w:val="28"/>
          <w:szCs w:val="28"/>
        </w:rPr>
        <w:t xml:space="preserve">  </w:t>
      </w:r>
      <w:r w:rsidRPr="0023213C">
        <w:rPr>
          <w:rFonts w:ascii="Times New Roman" w:eastAsia="Times New Roman" w:hAnsi="Times New Roman" w:cs="Times New Roman"/>
          <w:b/>
          <w:i/>
          <w:sz w:val="28"/>
          <w:szCs w:val="28"/>
          <w:u w:val="single"/>
        </w:rPr>
        <w:t>Издадени ЕЗА:</w:t>
      </w:r>
    </w:p>
    <w:p w14:paraId="796E4A6D" w14:textId="77777777" w:rsidR="0023213C" w:rsidRPr="0023213C" w:rsidRDefault="0023213C" w:rsidP="0023213C">
      <w:pPr>
        <w:spacing w:after="0" w:line="240" w:lineRule="auto"/>
        <w:ind w:left="1069"/>
        <w:jc w:val="both"/>
        <w:rPr>
          <w:rFonts w:ascii="Times New Roman" w:eastAsia="Times New Roman" w:hAnsi="Times New Roman" w:cs="Times New Roman"/>
          <w:sz w:val="28"/>
          <w:szCs w:val="28"/>
        </w:rPr>
      </w:pPr>
    </w:p>
    <w:p w14:paraId="172A322F" w14:textId="77777777" w:rsidR="0023213C" w:rsidRPr="0023213C" w:rsidRDefault="0023213C" w:rsidP="00972837">
      <w:pPr>
        <w:spacing w:after="0" w:line="240" w:lineRule="auto"/>
        <w:ind w:firstLine="708"/>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През 2022 година от прокурорите са издадени </w:t>
      </w:r>
      <w:r w:rsidRPr="0023213C">
        <w:rPr>
          <w:rFonts w:ascii="Times New Roman" w:eastAsia="Times New Roman" w:hAnsi="Times New Roman" w:cs="Times New Roman"/>
          <w:b/>
          <w:sz w:val="28"/>
          <w:szCs w:val="28"/>
        </w:rPr>
        <w:t>5 броя</w:t>
      </w:r>
      <w:r w:rsidRPr="0023213C">
        <w:rPr>
          <w:rFonts w:ascii="Times New Roman" w:eastAsia="Times New Roman" w:hAnsi="Times New Roman" w:cs="Times New Roman"/>
          <w:sz w:val="28"/>
          <w:szCs w:val="28"/>
        </w:rPr>
        <w:t xml:space="preserve"> ЕЗА.</w:t>
      </w:r>
    </w:p>
    <w:p w14:paraId="48D3EED8" w14:textId="77777777" w:rsidR="0023213C" w:rsidRPr="0023213C" w:rsidRDefault="0023213C" w:rsidP="00972837">
      <w:pPr>
        <w:spacing w:after="0" w:line="240" w:lineRule="auto"/>
        <w:ind w:firstLine="708"/>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През 2021 година от прокурорите са  били</w:t>
      </w:r>
      <w:r w:rsidRPr="0023213C">
        <w:rPr>
          <w:rFonts w:ascii="Times New Roman" w:eastAsia="Times New Roman" w:hAnsi="Times New Roman" w:cs="Times New Roman"/>
          <w:b/>
          <w:sz w:val="28"/>
          <w:szCs w:val="28"/>
        </w:rPr>
        <w:t xml:space="preserve"> издадени 2 броя</w:t>
      </w:r>
      <w:r w:rsidRPr="0023213C">
        <w:rPr>
          <w:rFonts w:ascii="Times New Roman" w:eastAsia="Times New Roman" w:hAnsi="Times New Roman" w:cs="Times New Roman"/>
          <w:sz w:val="28"/>
          <w:szCs w:val="28"/>
        </w:rPr>
        <w:t xml:space="preserve"> ЕЗА. </w:t>
      </w:r>
    </w:p>
    <w:p w14:paraId="057EB009" w14:textId="77777777" w:rsidR="0023213C" w:rsidRPr="0023213C" w:rsidRDefault="0023213C" w:rsidP="00972837">
      <w:pPr>
        <w:spacing w:after="0" w:line="240" w:lineRule="auto"/>
        <w:ind w:firstLine="708"/>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През 2020 година  от прокурорите в региона е издадена </w:t>
      </w:r>
      <w:r w:rsidRPr="0023213C">
        <w:rPr>
          <w:rFonts w:ascii="Times New Roman" w:eastAsia="Times New Roman" w:hAnsi="Times New Roman" w:cs="Times New Roman"/>
          <w:b/>
          <w:sz w:val="28"/>
          <w:szCs w:val="28"/>
        </w:rPr>
        <w:t>1 броя</w:t>
      </w:r>
      <w:r w:rsidRPr="0023213C">
        <w:rPr>
          <w:rFonts w:ascii="Times New Roman" w:eastAsia="Times New Roman" w:hAnsi="Times New Roman" w:cs="Times New Roman"/>
          <w:sz w:val="28"/>
          <w:szCs w:val="28"/>
        </w:rPr>
        <w:t xml:space="preserve"> ЕЗА. </w:t>
      </w:r>
    </w:p>
    <w:p w14:paraId="6833FB65" w14:textId="1C2E4640" w:rsidR="0023213C" w:rsidRPr="0023213C" w:rsidRDefault="0023213C" w:rsidP="00972837">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Забелязва се тустойчива тенденция на неголям, макар за отчетния период по-голям брой ЕЗА за региона. </w:t>
      </w:r>
    </w:p>
    <w:p w14:paraId="36484BD2" w14:textId="77777777" w:rsidR="00972837" w:rsidRDefault="0023213C" w:rsidP="00972837">
      <w:pPr>
        <w:spacing w:after="0" w:line="240" w:lineRule="auto"/>
        <w:ind w:firstLine="708"/>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Без съмнение е,  че се налага  позитивна тенденция в прилагането на този институт за българското наказателно право и утвърждаването на трайни тенденции в ефективното му прилагане. Полезно и резултатно е това прилагане, когато лица, които са осъдени с влязла в сила присъда , са се установили извън пределите на РБ. Издадените  ЕЗА способстват за </w:t>
      </w:r>
      <w:r w:rsidRPr="0023213C">
        <w:rPr>
          <w:rFonts w:ascii="Times New Roman" w:eastAsia="Times New Roman" w:hAnsi="Times New Roman" w:cs="Times New Roman"/>
          <w:sz w:val="28"/>
          <w:szCs w:val="28"/>
        </w:rPr>
        <w:lastRenderedPageBreak/>
        <w:t xml:space="preserve">локализирането на лицата, връщането им в страната, с оглед изпълнение на </w:t>
      </w:r>
      <w:r w:rsidR="00972837">
        <w:rPr>
          <w:rFonts w:ascii="Times New Roman" w:eastAsia="Times New Roman" w:hAnsi="Times New Roman" w:cs="Times New Roman"/>
          <w:sz w:val="28"/>
          <w:szCs w:val="28"/>
        </w:rPr>
        <w:t>наложеното им от съда наказание.</w:t>
      </w:r>
    </w:p>
    <w:p w14:paraId="06B5BFAF" w14:textId="4944D5AF" w:rsidR="0023213C" w:rsidRPr="0023213C" w:rsidRDefault="0023213C" w:rsidP="00972837">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За отчетния период  прокурорите са работили общо по </w:t>
      </w:r>
      <w:r w:rsidRPr="0023213C">
        <w:rPr>
          <w:rFonts w:ascii="Times New Roman" w:eastAsia="Times New Roman" w:hAnsi="Times New Roman" w:cs="Times New Roman"/>
          <w:b/>
          <w:sz w:val="28"/>
          <w:szCs w:val="28"/>
        </w:rPr>
        <w:t>113 броя преписки</w:t>
      </w:r>
      <w:r w:rsidRPr="0023213C">
        <w:rPr>
          <w:rFonts w:ascii="Times New Roman" w:eastAsia="Times New Roman" w:hAnsi="Times New Roman" w:cs="Times New Roman"/>
          <w:sz w:val="28"/>
          <w:szCs w:val="28"/>
        </w:rPr>
        <w:t xml:space="preserve"> с международен елемент и са участвали в </w:t>
      </w:r>
      <w:r w:rsidRPr="0023213C">
        <w:rPr>
          <w:rFonts w:ascii="Times New Roman" w:eastAsia="Times New Roman" w:hAnsi="Times New Roman" w:cs="Times New Roman"/>
          <w:b/>
          <w:sz w:val="28"/>
          <w:szCs w:val="28"/>
        </w:rPr>
        <w:t>81 броя съдебни заседания</w:t>
      </w:r>
      <w:r w:rsidRPr="0023213C">
        <w:rPr>
          <w:rFonts w:ascii="Times New Roman" w:eastAsia="Times New Roman" w:hAnsi="Times New Roman" w:cs="Times New Roman"/>
          <w:sz w:val="28"/>
          <w:szCs w:val="28"/>
        </w:rPr>
        <w:t xml:space="preserve"> по международно правно </w:t>
      </w:r>
      <w:r w:rsidR="00972837">
        <w:rPr>
          <w:rFonts w:ascii="Times New Roman" w:eastAsia="Times New Roman" w:hAnsi="Times New Roman" w:cs="Times New Roman"/>
          <w:sz w:val="28"/>
          <w:szCs w:val="28"/>
        </w:rPr>
        <w:t>сътрудничество.</w:t>
      </w:r>
    </w:p>
    <w:p w14:paraId="05875AFE" w14:textId="77777777" w:rsidR="0023213C" w:rsidRPr="0023213C" w:rsidRDefault="0023213C" w:rsidP="0023213C">
      <w:pPr>
        <w:spacing w:after="0" w:line="240" w:lineRule="auto"/>
        <w:ind w:firstLine="709"/>
        <w:jc w:val="both"/>
        <w:rPr>
          <w:rFonts w:ascii="Times New Roman" w:eastAsia="Times New Roman" w:hAnsi="Times New Roman" w:cs="Times New Roman"/>
          <w:sz w:val="28"/>
          <w:szCs w:val="28"/>
        </w:rPr>
      </w:pPr>
      <w:r w:rsidRPr="0023213C">
        <w:rPr>
          <w:rFonts w:ascii="Times New Roman" w:eastAsia="Times New Roman" w:hAnsi="Times New Roman" w:cs="Times New Roman"/>
          <w:sz w:val="28"/>
          <w:szCs w:val="28"/>
        </w:rPr>
        <w:t xml:space="preserve">Прокурорите са участвали и в </w:t>
      </w:r>
      <w:r w:rsidRPr="0023213C">
        <w:rPr>
          <w:rFonts w:ascii="Times New Roman" w:eastAsia="Times New Roman" w:hAnsi="Times New Roman" w:cs="Times New Roman"/>
          <w:b/>
          <w:sz w:val="28"/>
          <w:szCs w:val="28"/>
        </w:rPr>
        <w:t>3 броя съдебни производства</w:t>
      </w:r>
      <w:r w:rsidRPr="0023213C">
        <w:rPr>
          <w:rFonts w:ascii="Times New Roman" w:eastAsia="Times New Roman" w:hAnsi="Times New Roman" w:cs="Times New Roman"/>
          <w:sz w:val="28"/>
          <w:szCs w:val="28"/>
        </w:rPr>
        <w:t xml:space="preserve"> по признаване и изпълнение на присъда на чужд съд.</w:t>
      </w:r>
    </w:p>
    <w:p w14:paraId="5F209B3E" w14:textId="77777777" w:rsidR="00F0746D" w:rsidRPr="00F0746D" w:rsidRDefault="00F0746D" w:rsidP="00F0746D">
      <w:pPr>
        <w:rPr>
          <w:rFonts w:ascii="Calibri" w:eastAsia="Calibri" w:hAnsi="Calibri" w:cs="Times New Roman"/>
        </w:rPr>
      </w:pPr>
    </w:p>
    <w:p w14:paraId="3892E9C3" w14:textId="6C50AF90" w:rsidR="00744A1A" w:rsidRPr="00424DD0" w:rsidRDefault="00744A1A" w:rsidP="00424DD0">
      <w:pPr>
        <w:keepNext/>
        <w:tabs>
          <w:tab w:val="left" w:pos="763"/>
        </w:tabs>
        <w:autoSpaceDE w:val="0"/>
        <w:autoSpaceDN w:val="0"/>
        <w:adjustRightInd w:val="0"/>
        <w:spacing w:after="0" w:line="240" w:lineRule="auto"/>
        <w:ind w:firstLine="720"/>
        <w:jc w:val="both"/>
        <w:outlineLvl w:val="1"/>
        <w:rPr>
          <w:rFonts w:ascii="Times New Roman" w:hAnsi="Times New Roman" w:cs="Arial"/>
          <w:b/>
          <w:iCs/>
          <w:sz w:val="28"/>
          <w:lang w:eastAsia="bg-BG"/>
        </w:rPr>
      </w:pPr>
      <w:bookmarkStart w:id="114" w:name="_Toc127370308"/>
      <w:r w:rsidRPr="00424DD0">
        <w:rPr>
          <w:rFonts w:ascii="Times New Roman" w:hAnsi="Times New Roman" w:cs="Arial"/>
          <w:b/>
          <w:iCs/>
          <w:sz w:val="28"/>
          <w:lang w:eastAsia="bg-BG"/>
        </w:rPr>
        <w:t>V. АДМИНИСТРАТИВНА И КОНТРОЛНО-РЕВИЗИОННА ДЕЙНОСТ:</w:t>
      </w:r>
      <w:bookmarkEnd w:id="114"/>
    </w:p>
    <w:p w14:paraId="771EA971" w14:textId="77777777" w:rsidR="00744A1A" w:rsidRPr="00424DD0" w:rsidRDefault="00744A1A" w:rsidP="00424DD0">
      <w:pPr>
        <w:keepNext/>
        <w:tabs>
          <w:tab w:val="left" w:pos="763"/>
        </w:tabs>
        <w:autoSpaceDE w:val="0"/>
        <w:autoSpaceDN w:val="0"/>
        <w:adjustRightInd w:val="0"/>
        <w:spacing w:after="0" w:line="240" w:lineRule="auto"/>
        <w:ind w:firstLine="720"/>
        <w:jc w:val="both"/>
        <w:outlineLvl w:val="1"/>
        <w:rPr>
          <w:rFonts w:ascii="Times New Roman" w:hAnsi="Times New Roman" w:cs="Arial"/>
          <w:b/>
          <w:iCs/>
          <w:sz w:val="28"/>
          <w:lang w:eastAsia="bg-BG"/>
        </w:rPr>
      </w:pPr>
      <w:bookmarkStart w:id="115" w:name="_Toc127370309"/>
      <w:r w:rsidRPr="00424DD0">
        <w:rPr>
          <w:rFonts w:ascii="Times New Roman" w:hAnsi="Times New Roman" w:cs="Arial"/>
          <w:b/>
          <w:iCs/>
          <w:sz w:val="28"/>
          <w:u w:val="single"/>
          <w:lang w:eastAsia="bg-BG"/>
        </w:rPr>
        <w:t>1. Кадрово обезпечаване на прокурорите, следователите и служителите</w:t>
      </w:r>
      <w:r w:rsidRPr="00424DD0">
        <w:rPr>
          <w:rFonts w:ascii="Times New Roman" w:hAnsi="Times New Roman" w:cs="Arial"/>
          <w:b/>
          <w:iCs/>
          <w:sz w:val="28"/>
          <w:lang w:eastAsia="bg-BG"/>
        </w:rPr>
        <w:t>.</w:t>
      </w:r>
      <w:bookmarkEnd w:id="115"/>
    </w:p>
    <w:p w14:paraId="65107F21" w14:textId="77777777" w:rsidR="00972837" w:rsidRPr="00972837" w:rsidRDefault="00972837" w:rsidP="00972837">
      <w:pPr>
        <w:tabs>
          <w:tab w:val="left" w:pos="826"/>
        </w:tabs>
        <w:autoSpaceDE w:val="0"/>
        <w:autoSpaceDN w:val="0"/>
        <w:adjustRightInd w:val="0"/>
        <w:spacing w:after="0" w:line="240" w:lineRule="auto"/>
        <w:ind w:firstLine="709"/>
        <w:jc w:val="both"/>
        <w:rPr>
          <w:rFonts w:ascii="Times New Roman" w:hAnsi="Times New Roman" w:cs="Times New Roman"/>
          <w:sz w:val="28"/>
          <w:lang w:eastAsia="bg-BG"/>
        </w:rPr>
      </w:pPr>
      <w:r w:rsidRPr="00972837">
        <w:rPr>
          <w:rFonts w:ascii="Times New Roman" w:hAnsi="Times New Roman"/>
          <w:sz w:val="28"/>
          <w:lang w:eastAsia="bg-BG"/>
        </w:rPr>
        <w:t xml:space="preserve">През 2022 г. в ОП - Монтана и РП - Монтана са работили реално </w:t>
      </w:r>
      <w:r w:rsidRPr="00972837">
        <w:rPr>
          <w:rFonts w:ascii="Times New Roman" w:hAnsi="Times New Roman"/>
          <w:sz w:val="28"/>
          <w:lang w:val="en-US" w:eastAsia="bg-BG"/>
        </w:rPr>
        <w:t>23.79</w:t>
      </w:r>
      <w:r w:rsidRPr="00972837">
        <w:rPr>
          <w:rFonts w:ascii="Times New Roman" w:hAnsi="Times New Roman"/>
          <w:sz w:val="28"/>
          <w:lang w:eastAsia="bg-BG"/>
        </w:rPr>
        <w:t xml:space="preserve"> прокурори при 3</w:t>
      </w:r>
      <w:r w:rsidRPr="00972837">
        <w:rPr>
          <w:rFonts w:ascii="Times New Roman" w:hAnsi="Times New Roman"/>
          <w:sz w:val="28"/>
          <w:lang w:val="en-US" w:eastAsia="bg-BG"/>
        </w:rPr>
        <w:t>3</w:t>
      </w:r>
      <w:r w:rsidRPr="00972837">
        <w:rPr>
          <w:rFonts w:ascii="Times New Roman" w:hAnsi="Times New Roman"/>
          <w:sz w:val="28"/>
          <w:lang w:eastAsia="bg-BG"/>
        </w:rPr>
        <w:t xml:space="preserve"> щатни длъжности, както и </w:t>
      </w:r>
      <w:r w:rsidRPr="00972837">
        <w:rPr>
          <w:rFonts w:ascii="Times New Roman" w:hAnsi="Times New Roman"/>
          <w:sz w:val="28"/>
          <w:lang w:val="en-US" w:eastAsia="bg-BG"/>
        </w:rPr>
        <w:t>7.95</w:t>
      </w:r>
      <w:r w:rsidRPr="00972837">
        <w:rPr>
          <w:rFonts w:ascii="Times New Roman" w:hAnsi="Times New Roman"/>
          <w:sz w:val="28"/>
          <w:lang w:eastAsia="bg-BG"/>
        </w:rPr>
        <w:t xml:space="preserve"> реално работили следователи при 8 щатни длъжности в края на отчетния период (общо </w:t>
      </w:r>
      <w:r w:rsidRPr="00972837">
        <w:rPr>
          <w:rFonts w:ascii="Times New Roman" w:hAnsi="Times New Roman"/>
          <w:sz w:val="28"/>
          <w:lang w:val="en-US" w:eastAsia="bg-BG"/>
        </w:rPr>
        <w:t>42</w:t>
      </w:r>
      <w:r w:rsidRPr="00972837">
        <w:rPr>
          <w:rFonts w:ascii="Times New Roman" w:hAnsi="Times New Roman"/>
          <w:sz w:val="28"/>
          <w:lang w:eastAsia="bg-BG"/>
        </w:rPr>
        <w:t xml:space="preserve"> щатни бройки за магистрати). Незаети в края на периода са 6 длъжности за магистрати, от които  1 бр. младши следовател в ОСлО-ОП Монтана, като за бройката, определена за мл. следовател, има спечелил конкурс, който се обучава в НИП, както и 5 бр. прокурор в Районна прокуратура - Монтана. Разпределението по прокуратури е следното:</w:t>
      </w:r>
    </w:p>
    <w:p w14:paraId="44E9FB1E" w14:textId="77777777" w:rsidR="00972837" w:rsidRPr="00972837" w:rsidRDefault="00972837" w:rsidP="00972837">
      <w:pPr>
        <w:tabs>
          <w:tab w:val="left" w:pos="826"/>
        </w:tabs>
        <w:autoSpaceDE w:val="0"/>
        <w:autoSpaceDN w:val="0"/>
        <w:adjustRightInd w:val="0"/>
        <w:spacing w:after="0" w:line="240" w:lineRule="auto"/>
        <w:ind w:firstLine="709"/>
        <w:jc w:val="both"/>
        <w:rPr>
          <w:rFonts w:ascii="Times New Roman" w:hAnsi="Times New Roman"/>
          <w:sz w:val="28"/>
          <w:lang w:eastAsia="bg-BG"/>
        </w:rPr>
      </w:pPr>
    </w:p>
    <w:p w14:paraId="5F53777A" w14:textId="77777777" w:rsidR="00972837" w:rsidRPr="00972837" w:rsidRDefault="00972837" w:rsidP="00972837">
      <w:pPr>
        <w:ind w:firstLine="708"/>
        <w:jc w:val="both"/>
        <w:rPr>
          <w:rFonts w:ascii="Times New Roman" w:hAnsi="Times New Roman" w:cs="Times New Roman"/>
          <w:sz w:val="28"/>
          <w:szCs w:val="28"/>
        </w:rPr>
      </w:pPr>
      <w:r w:rsidRPr="00972837">
        <w:rPr>
          <w:rFonts w:ascii="Times New Roman" w:hAnsi="Times New Roman" w:cs="Times New Roman"/>
          <w:sz w:val="28"/>
          <w:szCs w:val="28"/>
          <w:u w:val="single"/>
        </w:rPr>
        <w:t>1.1. ОП гр. Монтана</w:t>
      </w:r>
      <w:r w:rsidRPr="00972837">
        <w:rPr>
          <w:rFonts w:ascii="Times New Roman" w:hAnsi="Times New Roman" w:cs="Times New Roman"/>
          <w:sz w:val="28"/>
          <w:szCs w:val="28"/>
        </w:rPr>
        <w:t xml:space="preserve"> – В Окръжна прокуратура гр.Монтана общата щатна численост на прокурорите е 8 броя към  31.12.2022 година, като са заети 8 щатни бройки.</w:t>
      </w:r>
    </w:p>
    <w:p w14:paraId="201B6B66" w14:textId="77777777" w:rsidR="00972837" w:rsidRPr="00972837" w:rsidRDefault="00972837" w:rsidP="00972837">
      <w:pPr>
        <w:spacing w:after="0" w:line="240" w:lineRule="auto"/>
        <w:ind w:firstLine="709"/>
        <w:jc w:val="both"/>
        <w:rPr>
          <w:rFonts w:ascii="Times New Roman" w:eastAsia="Times New Roman" w:hAnsi="Times New Roman" w:cs="Times New Roman"/>
          <w:sz w:val="28"/>
          <w:szCs w:val="28"/>
          <w:lang w:eastAsia="bg-BG"/>
        </w:rPr>
      </w:pPr>
      <w:r w:rsidRPr="00972837">
        <w:rPr>
          <w:rFonts w:ascii="Times New Roman" w:eastAsia="Times New Roman" w:hAnsi="Times New Roman"/>
          <w:sz w:val="28"/>
          <w:szCs w:val="28"/>
          <w:lang w:eastAsia="bg-BG"/>
        </w:rPr>
        <w:t>Реално работили са 6,29</w:t>
      </w:r>
      <w:r w:rsidRPr="00972837">
        <w:rPr>
          <w:rFonts w:ascii="Times New Roman" w:eastAsia="Times New Roman" w:hAnsi="Times New Roman"/>
          <w:b/>
          <w:sz w:val="28"/>
          <w:szCs w:val="28"/>
          <w:lang w:eastAsia="bg-BG"/>
        </w:rPr>
        <w:t xml:space="preserve"> </w:t>
      </w:r>
      <w:r w:rsidRPr="00972837">
        <w:rPr>
          <w:rFonts w:ascii="Times New Roman" w:eastAsia="Times New Roman" w:hAnsi="Times New Roman"/>
          <w:sz w:val="28"/>
          <w:szCs w:val="28"/>
          <w:lang w:eastAsia="bg-BG"/>
        </w:rPr>
        <w:t>прокурори</w:t>
      </w:r>
      <w:r w:rsidRPr="00972837">
        <w:rPr>
          <w:rFonts w:ascii="Times New Roman" w:eastAsia="Times New Roman" w:hAnsi="Times New Roman"/>
          <w:b/>
          <w:sz w:val="28"/>
          <w:szCs w:val="28"/>
          <w:lang w:eastAsia="bg-BG"/>
        </w:rPr>
        <w:t xml:space="preserve"> </w:t>
      </w:r>
      <w:r w:rsidRPr="00972837">
        <w:rPr>
          <w:rFonts w:ascii="Times New Roman" w:eastAsia="Times New Roman" w:hAnsi="Times New Roman"/>
          <w:sz w:val="28"/>
          <w:szCs w:val="28"/>
          <w:lang w:eastAsia="bg-BG"/>
        </w:rPr>
        <w:t>към края на 2022 г., от които административен ръководител - окръжен прокурор, двама заместници на административния ръководител и шестима</w:t>
      </w:r>
      <w:r w:rsidRPr="00972837">
        <w:rPr>
          <w:rFonts w:ascii="Times New Roman" w:eastAsia="Times New Roman" w:hAnsi="Times New Roman"/>
          <w:b/>
          <w:sz w:val="28"/>
          <w:szCs w:val="28"/>
          <w:lang w:eastAsia="bg-BG"/>
        </w:rPr>
        <w:t xml:space="preserve"> </w:t>
      </w:r>
      <w:r w:rsidRPr="00972837">
        <w:rPr>
          <w:rFonts w:ascii="Times New Roman" w:eastAsia="Times New Roman" w:hAnsi="Times New Roman"/>
          <w:sz w:val="28"/>
          <w:szCs w:val="28"/>
          <w:lang w:eastAsia="bg-BG"/>
        </w:rPr>
        <w:t>прокурори.</w:t>
      </w:r>
    </w:p>
    <w:p w14:paraId="56F3E6FE" w14:textId="77777777" w:rsidR="00972837" w:rsidRPr="00972837" w:rsidRDefault="00972837" w:rsidP="00972837">
      <w:pPr>
        <w:spacing w:after="0" w:line="240" w:lineRule="auto"/>
        <w:ind w:firstLine="709"/>
        <w:jc w:val="both"/>
        <w:rPr>
          <w:rFonts w:ascii="Times New Roman" w:eastAsia="Times New Roman" w:hAnsi="Times New Roman"/>
          <w:sz w:val="28"/>
          <w:szCs w:val="28"/>
          <w:lang w:eastAsia="bg-BG"/>
        </w:rPr>
      </w:pPr>
      <w:r w:rsidRPr="00972837">
        <w:rPr>
          <w:rFonts w:ascii="Times New Roman" w:eastAsia="Times New Roman" w:hAnsi="Times New Roman"/>
          <w:sz w:val="28"/>
          <w:szCs w:val="28"/>
          <w:lang w:eastAsia="bg-BG"/>
        </w:rPr>
        <w:t>Двама от прокурорите са били командировани в Апелативна прокуратура – София и Окръжна прокуратура – София през годината.</w:t>
      </w:r>
    </w:p>
    <w:p w14:paraId="65F18E4A" w14:textId="77777777" w:rsidR="00972837" w:rsidRPr="00972837" w:rsidRDefault="00972837" w:rsidP="00972837">
      <w:pPr>
        <w:tabs>
          <w:tab w:val="left" w:pos="826"/>
        </w:tabs>
        <w:autoSpaceDE w:val="0"/>
        <w:autoSpaceDN w:val="0"/>
        <w:adjustRightInd w:val="0"/>
        <w:spacing w:after="0" w:line="240" w:lineRule="auto"/>
        <w:ind w:firstLine="709"/>
        <w:contextualSpacing/>
        <w:jc w:val="both"/>
        <w:rPr>
          <w:rFonts w:ascii="Times New Roman" w:eastAsia="Calibri" w:hAnsi="Times New Roman"/>
          <w:sz w:val="28"/>
          <w:lang w:eastAsia="bg-BG"/>
        </w:rPr>
      </w:pPr>
      <w:r w:rsidRPr="00972837">
        <w:rPr>
          <w:rFonts w:ascii="Times New Roman" w:hAnsi="Times New Roman"/>
          <w:sz w:val="28"/>
          <w:lang w:eastAsia="bg-BG"/>
        </w:rPr>
        <w:tab/>
        <w:t xml:space="preserve">Следователските щатове в ОСлО-ОП Монтана към края на 2022 г. са 9, включително завеждащ следствен отдел, от които </w:t>
      </w:r>
      <w:r w:rsidRPr="00972837">
        <w:rPr>
          <w:rFonts w:ascii="Times New Roman" w:hAnsi="Times New Roman"/>
          <w:sz w:val="28"/>
          <w:u w:val="single"/>
          <w:lang w:eastAsia="bg-BG"/>
        </w:rPr>
        <w:t>заетите са 8, от които два броя младши следовател. Свободна е 1 щатна бройка, тъй като към момента един брой младши следовател не е встъпил в длъжност, като е на обучение в НИП</w:t>
      </w:r>
      <w:r w:rsidRPr="00972837">
        <w:rPr>
          <w:rFonts w:ascii="Times New Roman" w:hAnsi="Times New Roman"/>
          <w:sz w:val="28"/>
          <w:lang w:eastAsia="bg-BG"/>
        </w:rPr>
        <w:t xml:space="preserve">. </w:t>
      </w:r>
    </w:p>
    <w:p w14:paraId="7EEC9BEC" w14:textId="77777777" w:rsidR="00972837" w:rsidRPr="00972837" w:rsidRDefault="00972837" w:rsidP="00972837">
      <w:pPr>
        <w:tabs>
          <w:tab w:val="left" w:pos="826"/>
        </w:tabs>
        <w:autoSpaceDE w:val="0"/>
        <w:autoSpaceDN w:val="0"/>
        <w:adjustRightInd w:val="0"/>
        <w:spacing w:after="0" w:line="240" w:lineRule="auto"/>
        <w:ind w:firstLine="709"/>
        <w:jc w:val="both"/>
        <w:rPr>
          <w:rFonts w:ascii="Times New Roman" w:hAnsi="Times New Roman"/>
          <w:sz w:val="28"/>
          <w:lang w:eastAsia="bg-BG"/>
        </w:rPr>
      </w:pPr>
      <w:r w:rsidRPr="00972837">
        <w:rPr>
          <w:rFonts w:ascii="Times New Roman" w:hAnsi="Times New Roman"/>
          <w:sz w:val="28"/>
          <w:lang w:eastAsia="bg-BG"/>
        </w:rPr>
        <w:t>Реално работилите следователи през 202</w:t>
      </w:r>
      <w:r w:rsidRPr="00972837">
        <w:rPr>
          <w:rFonts w:ascii="Times New Roman" w:hAnsi="Times New Roman"/>
          <w:sz w:val="28"/>
          <w:lang w:val="en-US" w:eastAsia="bg-BG"/>
        </w:rPr>
        <w:t>2</w:t>
      </w:r>
      <w:r w:rsidRPr="00972837">
        <w:rPr>
          <w:rFonts w:ascii="Times New Roman" w:hAnsi="Times New Roman"/>
          <w:sz w:val="28"/>
          <w:lang w:eastAsia="bg-BG"/>
        </w:rPr>
        <w:t xml:space="preserve"> г. са </w:t>
      </w:r>
      <w:r w:rsidRPr="00972837">
        <w:rPr>
          <w:rFonts w:ascii="Times New Roman" w:hAnsi="Times New Roman"/>
          <w:sz w:val="28"/>
          <w:lang w:val="en-US" w:eastAsia="bg-BG"/>
        </w:rPr>
        <w:t>7</w:t>
      </w:r>
      <w:r w:rsidRPr="00972837">
        <w:rPr>
          <w:rFonts w:ascii="Times New Roman" w:hAnsi="Times New Roman"/>
          <w:sz w:val="28"/>
          <w:lang w:eastAsia="bg-BG"/>
        </w:rPr>
        <w:t>,</w:t>
      </w:r>
      <w:r w:rsidRPr="00972837">
        <w:rPr>
          <w:rFonts w:ascii="Times New Roman" w:hAnsi="Times New Roman"/>
          <w:sz w:val="28"/>
          <w:lang w:val="en-US" w:eastAsia="bg-BG"/>
        </w:rPr>
        <w:t>95.</w:t>
      </w:r>
    </w:p>
    <w:p w14:paraId="5626B447" w14:textId="77777777" w:rsidR="00972837" w:rsidRPr="00972837" w:rsidRDefault="00972837" w:rsidP="00972837">
      <w:pPr>
        <w:tabs>
          <w:tab w:val="left" w:pos="826"/>
        </w:tabs>
        <w:autoSpaceDE w:val="0"/>
        <w:autoSpaceDN w:val="0"/>
        <w:adjustRightInd w:val="0"/>
        <w:spacing w:after="0" w:line="240" w:lineRule="auto"/>
        <w:ind w:firstLine="709"/>
        <w:jc w:val="both"/>
        <w:rPr>
          <w:rFonts w:ascii="Times New Roman" w:hAnsi="Times New Roman"/>
          <w:sz w:val="28"/>
          <w:lang w:eastAsia="bg-BG"/>
        </w:rPr>
      </w:pPr>
      <w:r w:rsidRPr="00972837">
        <w:rPr>
          <w:rFonts w:ascii="Times New Roman" w:hAnsi="Times New Roman"/>
          <w:sz w:val="28"/>
          <w:lang w:eastAsia="bg-BG"/>
        </w:rPr>
        <w:t>Общият брой на прокурорите и следователите в ОП гр. Монтана по щатно разписание е 17.</w:t>
      </w:r>
    </w:p>
    <w:p w14:paraId="25DEF843" w14:textId="77777777" w:rsidR="00972837" w:rsidRPr="00972837" w:rsidRDefault="00972837" w:rsidP="00972837">
      <w:pPr>
        <w:tabs>
          <w:tab w:val="left" w:pos="826"/>
        </w:tabs>
        <w:autoSpaceDE w:val="0"/>
        <w:autoSpaceDN w:val="0"/>
        <w:adjustRightInd w:val="0"/>
        <w:spacing w:after="0" w:line="240" w:lineRule="auto"/>
        <w:ind w:firstLine="709"/>
        <w:jc w:val="both"/>
        <w:rPr>
          <w:rFonts w:ascii="Times New Roman" w:hAnsi="Times New Roman"/>
          <w:sz w:val="28"/>
          <w:szCs w:val="28"/>
        </w:rPr>
      </w:pPr>
      <w:r w:rsidRPr="00972837">
        <w:rPr>
          <w:rFonts w:ascii="Times New Roman" w:hAnsi="Times New Roman"/>
          <w:sz w:val="28"/>
          <w:szCs w:val="28"/>
          <w:lang w:eastAsia="bg-BG"/>
        </w:rPr>
        <w:t>Служителите в ОП Монтана и следствения отдел са 20</w:t>
      </w:r>
      <w:r w:rsidRPr="00972837">
        <w:rPr>
          <w:rFonts w:ascii="Times New Roman" w:hAnsi="Times New Roman"/>
          <w:sz w:val="28"/>
          <w:szCs w:val="28"/>
        </w:rPr>
        <w:t xml:space="preserve"> броя по щат, между които и 1 прокурорски помощник. Към 31.12.2022 г. няма незаета щатна бройка за съдебен служител.</w:t>
      </w:r>
    </w:p>
    <w:p w14:paraId="75E6EE77" w14:textId="77777777" w:rsidR="00972837" w:rsidRPr="00972837" w:rsidRDefault="00972837" w:rsidP="00972837">
      <w:pPr>
        <w:tabs>
          <w:tab w:val="left" w:pos="826"/>
        </w:tabs>
        <w:autoSpaceDE w:val="0"/>
        <w:autoSpaceDN w:val="0"/>
        <w:adjustRightInd w:val="0"/>
        <w:spacing w:after="0" w:line="240" w:lineRule="auto"/>
        <w:ind w:firstLine="709"/>
        <w:jc w:val="both"/>
        <w:rPr>
          <w:rFonts w:ascii="Times New Roman" w:hAnsi="Times New Roman"/>
          <w:sz w:val="28"/>
          <w:lang w:eastAsia="bg-BG"/>
        </w:rPr>
      </w:pPr>
      <w:r w:rsidRPr="00972837">
        <w:rPr>
          <w:rFonts w:ascii="Times New Roman" w:hAnsi="Times New Roman"/>
          <w:sz w:val="28"/>
          <w:lang w:eastAsia="bg-BG"/>
        </w:rPr>
        <w:t>Реално работилите служители в ОП Монтана и ОСлО са 18,75.</w:t>
      </w:r>
    </w:p>
    <w:p w14:paraId="3353B2F4" w14:textId="77777777" w:rsidR="00972837" w:rsidRDefault="00972837" w:rsidP="00972837">
      <w:pPr>
        <w:tabs>
          <w:tab w:val="left" w:pos="826"/>
        </w:tabs>
        <w:autoSpaceDE w:val="0"/>
        <w:autoSpaceDN w:val="0"/>
        <w:adjustRightInd w:val="0"/>
        <w:spacing w:after="0" w:line="240" w:lineRule="auto"/>
        <w:ind w:firstLine="709"/>
        <w:jc w:val="both"/>
        <w:rPr>
          <w:rFonts w:ascii="Times New Roman" w:hAnsi="Times New Roman"/>
          <w:sz w:val="28"/>
          <w:lang w:eastAsia="bg-BG"/>
        </w:rPr>
      </w:pPr>
      <w:r w:rsidRPr="00972837">
        <w:rPr>
          <w:rFonts w:ascii="Times New Roman" w:hAnsi="Times New Roman"/>
          <w:sz w:val="28"/>
          <w:lang w:eastAsia="bg-BG"/>
        </w:rPr>
        <w:t>Една от деловодителките при ОП Монтана е била през годината в дълъг отпуск поради болест, същата и към момента е в продължителен болничен отпуск.</w:t>
      </w:r>
    </w:p>
    <w:p w14:paraId="285AD114" w14:textId="2D04F995" w:rsidR="00972837" w:rsidRPr="00972837" w:rsidRDefault="00972837" w:rsidP="00972837">
      <w:pPr>
        <w:tabs>
          <w:tab w:val="left" w:pos="826"/>
        </w:tabs>
        <w:autoSpaceDE w:val="0"/>
        <w:autoSpaceDN w:val="0"/>
        <w:adjustRightInd w:val="0"/>
        <w:spacing w:after="0" w:line="240" w:lineRule="auto"/>
        <w:ind w:firstLine="709"/>
        <w:jc w:val="both"/>
        <w:rPr>
          <w:rFonts w:ascii="Times New Roman" w:hAnsi="Times New Roman"/>
          <w:sz w:val="28"/>
          <w:szCs w:val="28"/>
          <w:lang w:eastAsia="bg-BG"/>
        </w:rPr>
      </w:pPr>
      <w:r w:rsidRPr="00972837">
        <w:rPr>
          <w:rFonts w:ascii="Times New Roman" w:hAnsi="Times New Roman"/>
          <w:sz w:val="28"/>
          <w:szCs w:val="28"/>
          <w:lang w:eastAsia="bg-BG"/>
        </w:rPr>
        <w:lastRenderedPageBreak/>
        <w:t>През 2022 год. в  ОП-Монтана е командирован един прокурор от РП – Монтана, считано от 10.02.2022 год.</w:t>
      </w:r>
    </w:p>
    <w:p w14:paraId="3F13A343" w14:textId="77777777" w:rsidR="00972837" w:rsidRPr="00972837" w:rsidRDefault="00972837" w:rsidP="00972837">
      <w:pPr>
        <w:tabs>
          <w:tab w:val="left" w:pos="826"/>
        </w:tabs>
        <w:autoSpaceDE w:val="0"/>
        <w:autoSpaceDN w:val="0"/>
        <w:adjustRightInd w:val="0"/>
        <w:spacing w:after="0" w:line="240" w:lineRule="auto"/>
        <w:ind w:firstLine="709"/>
        <w:jc w:val="both"/>
        <w:rPr>
          <w:rFonts w:ascii="Times New Roman" w:hAnsi="Times New Roman"/>
          <w:sz w:val="28"/>
          <w:szCs w:val="28"/>
          <w:lang w:eastAsia="bg-BG"/>
        </w:rPr>
      </w:pPr>
    </w:p>
    <w:p w14:paraId="6F6B279D" w14:textId="77777777" w:rsidR="00972837" w:rsidRPr="00972837" w:rsidRDefault="00972837" w:rsidP="00972837">
      <w:pPr>
        <w:spacing w:line="240" w:lineRule="auto"/>
        <w:ind w:firstLine="708"/>
        <w:jc w:val="both"/>
        <w:rPr>
          <w:rFonts w:ascii="Times New Roman" w:hAnsi="Times New Roman" w:cs="Times New Roman"/>
          <w:sz w:val="28"/>
          <w:szCs w:val="28"/>
        </w:rPr>
      </w:pPr>
      <w:r w:rsidRPr="00972837">
        <w:rPr>
          <w:rFonts w:ascii="Times New Roman" w:hAnsi="Times New Roman" w:cs="Times New Roman"/>
          <w:i/>
          <w:sz w:val="28"/>
          <w:szCs w:val="28"/>
          <w:u w:val="single"/>
        </w:rPr>
        <w:t>1.2. РП гр. Монтана –</w:t>
      </w:r>
      <w:r w:rsidRPr="00972837">
        <w:rPr>
          <w:rFonts w:ascii="Times New Roman" w:hAnsi="Times New Roman" w:cs="Times New Roman"/>
          <w:sz w:val="28"/>
          <w:szCs w:val="28"/>
          <w:u w:val="single"/>
        </w:rPr>
        <w:t xml:space="preserve"> </w:t>
      </w:r>
      <w:r w:rsidRPr="00972837">
        <w:rPr>
          <w:rFonts w:ascii="Times New Roman" w:hAnsi="Times New Roman" w:cs="Times New Roman"/>
          <w:sz w:val="28"/>
          <w:szCs w:val="28"/>
        </w:rPr>
        <w:t xml:space="preserve">реално работили през годината са 17,5 прокурори при обща щатна численост на  прокурорите от Районна прокуратура гр. Монтана 25, включващи административен ръководител, трима заместник административни ръководители, 19 прокурори и двама младши прокурори. </w:t>
      </w:r>
    </w:p>
    <w:p w14:paraId="7CDBAFE9" w14:textId="77777777" w:rsidR="00972837" w:rsidRPr="00972837" w:rsidRDefault="00972837" w:rsidP="00972837">
      <w:pPr>
        <w:spacing w:line="240" w:lineRule="auto"/>
        <w:ind w:firstLine="708"/>
        <w:jc w:val="both"/>
        <w:rPr>
          <w:rFonts w:ascii="Times New Roman" w:hAnsi="Times New Roman" w:cs="Times New Roman"/>
          <w:sz w:val="28"/>
          <w:szCs w:val="28"/>
        </w:rPr>
      </w:pPr>
      <w:r w:rsidRPr="00972837">
        <w:rPr>
          <w:rFonts w:ascii="Times New Roman" w:hAnsi="Times New Roman" w:cs="Times New Roman"/>
          <w:sz w:val="28"/>
          <w:szCs w:val="28"/>
        </w:rPr>
        <w:t xml:space="preserve">Общата щатна численост на служителите от РП Монтана е 28 служители. Няма незаети длъжности. </w:t>
      </w:r>
    </w:p>
    <w:p w14:paraId="12F883D8" w14:textId="77777777" w:rsidR="00972837" w:rsidRPr="00972837" w:rsidRDefault="00972837" w:rsidP="00972837">
      <w:pPr>
        <w:spacing w:after="0" w:line="240" w:lineRule="auto"/>
        <w:ind w:firstLine="709"/>
        <w:jc w:val="both"/>
        <w:rPr>
          <w:rFonts w:ascii="Times New Roman" w:eastAsia="Times New Roman" w:hAnsi="Times New Roman"/>
          <w:sz w:val="28"/>
          <w:szCs w:val="28"/>
          <w:lang w:eastAsia="bg-BG"/>
        </w:rPr>
      </w:pPr>
    </w:p>
    <w:p w14:paraId="62E6B53B" w14:textId="77777777" w:rsidR="00972837" w:rsidRPr="00972837" w:rsidRDefault="00972837" w:rsidP="00972837">
      <w:pPr>
        <w:spacing w:after="0" w:line="240" w:lineRule="auto"/>
        <w:ind w:firstLine="709"/>
        <w:jc w:val="both"/>
        <w:rPr>
          <w:rFonts w:ascii="Times New Roman" w:hAnsi="Times New Roman"/>
          <w:sz w:val="28"/>
          <w:szCs w:val="28"/>
          <w:lang w:eastAsia="bg-BG"/>
        </w:rPr>
      </w:pPr>
      <w:bookmarkStart w:id="116" w:name="_Toc411255936"/>
      <w:r w:rsidRPr="00972837">
        <w:rPr>
          <w:rFonts w:ascii="Times New Roman" w:hAnsi="Times New Roman"/>
          <w:sz w:val="28"/>
          <w:szCs w:val="28"/>
          <w:lang w:eastAsia="bg-BG"/>
        </w:rPr>
        <w:t xml:space="preserve">Въпреки незапълнените щатни длъжности при магистратите, се наблюдава нормален ход на дейността им и тази на служителите в региона на ОП Монтана. </w:t>
      </w:r>
      <w:bookmarkEnd w:id="116"/>
    </w:p>
    <w:p w14:paraId="10471510" w14:textId="77777777" w:rsidR="00744A1A" w:rsidRPr="006407AC" w:rsidRDefault="00744A1A" w:rsidP="00AA2557">
      <w:pPr>
        <w:spacing w:after="0" w:line="240" w:lineRule="auto"/>
        <w:ind w:firstLine="709"/>
        <w:jc w:val="both"/>
        <w:rPr>
          <w:rFonts w:ascii="Times New Roman" w:hAnsi="Times New Roman"/>
          <w:color w:val="17365D" w:themeColor="text2" w:themeShade="BF"/>
          <w:sz w:val="28"/>
          <w:szCs w:val="28"/>
          <w:highlight w:val="green"/>
          <w:lang w:eastAsia="bg-BG"/>
        </w:rPr>
      </w:pPr>
    </w:p>
    <w:p w14:paraId="72541F5F" w14:textId="77777777" w:rsidR="00972837" w:rsidRPr="00A15D2F" w:rsidRDefault="00972837" w:rsidP="00972837">
      <w:pPr>
        <w:keepNext/>
        <w:shd w:val="clear" w:color="auto" w:fill="FFFFFF"/>
        <w:tabs>
          <w:tab w:val="left" w:pos="763"/>
        </w:tabs>
        <w:autoSpaceDE w:val="0"/>
        <w:autoSpaceDN w:val="0"/>
        <w:adjustRightInd w:val="0"/>
        <w:spacing w:after="0" w:line="240" w:lineRule="auto"/>
        <w:ind w:firstLine="720"/>
        <w:jc w:val="both"/>
        <w:outlineLvl w:val="1"/>
        <w:rPr>
          <w:rFonts w:ascii="Times New Roman" w:hAnsi="Times New Roman" w:cs="Arial"/>
          <w:b/>
          <w:iCs/>
          <w:sz w:val="28"/>
          <w:u w:val="single"/>
          <w:lang w:eastAsia="bg-BG"/>
        </w:rPr>
      </w:pPr>
      <w:bookmarkStart w:id="117" w:name="_Toc127262966"/>
      <w:bookmarkStart w:id="118" w:name="_Toc127370310"/>
      <w:r w:rsidRPr="00A15D2F">
        <w:rPr>
          <w:rFonts w:ascii="Times New Roman" w:hAnsi="Times New Roman" w:cs="Arial"/>
          <w:b/>
          <w:iCs/>
          <w:sz w:val="28"/>
          <w:u w:val="single"/>
          <w:lang w:eastAsia="bg-BG"/>
        </w:rPr>
        <w:t>2. Професионална квалификация на магистратите и служителите.</w:t>
      </w:r>
      <w:bookmarkEnd w:id="117"/>
      <w:bookmarkEnd w:id="118"/>
    </w:p>
    <w:p w14:paraId="20446D22" w14:textId="77777777" w:rsidR="00972837" w:rsidRPr="00A15D2F" w:rsidRDefault="00972837" w:rsidP="00972837">
      <w:pPr>
        <w:spacing w:after="0" w:line="240" w:lineRule="auto"/>
        <w:ind w:firstLine="709"/>
        <w:jc w:val="both"/>
        <w:rPr>
          <w:rFonts w:ascii="Times New Roman" w:eastAsia="Times New Roman" w:hAnsi="Times New Roman" w:cs="Times New Roman"/>
          <w:sz w:val="28"/>
          <w:szCs w:val="28"/>
          <w:lang w:eastAsia="bg-BG"/>
        </w:rPr>
      </w:pPr>
      <w:r w:rsidRPr="00A15D2F">
        <w:rPr>
          <w:rFonts w:ascii="Times New Roman" w:eastAsia="Times New Roman" w:hAnsi="Times New Roman"/>
          <w:sz w:val="28"/>
          <w:szCs w:val="28"/>
          <w:lang w:eastAsia="bg-BG"/>
        </w:rPr>
        <w:t>Поради непрекъснато променящата се нормативна база, увеличаващото се разнообразие в престъпността, високите очаквания на обществото за реални резултати от дейността на прокуратурата, е необходимо постоянно обучение с цел повишаване на професионалната квалификация на магистратите и съдебните служители.</w:t>
      </w:r>
    </w:p>
    <w:p w14:paraId="7C1B814C" w14:textId="77777777" w:rsidR="00972837" w:rsidRPr="00A15D2F" w:rsidRDefault="00972837" w:rsidP="00972837">
      <w:pPr>
        <w:spacing w:after="0" w:line="240" w:lineRule="auto"/>
        <w:ind w:firstLine="709"/>
        <w:jc w:val="both"/>
        <w:rPr>
          <w:rFonts w:ascii="Times New Roman" w:eastAsia="Times New Roman" w:hAnsi="Times New Roman"/>
          <w:sz w:val="28"/>
          <w:szCs w:val="28"/>
          <w:lang w:eastAsia="bg-BG"/>
        </w:rPr>
      </w:pPr>
    </w:p>
    <w:p w14:paraId="463C398B" w14:textId="77777777" w:rsidR="00972837" w:rsidRPr="00A15D2F" w:rsidRDefault="00972837" w:rsidP="00972837">
      <w:pPr>
        <w:spacing w:after="0" w:line="240" w:lineRule="auto"/>
        <w:ind w:firstLine="709"/>
        <w:jc w:val="both"/>
        <w:rPr>
          <w:rFonts w:ascii="Times New Roman" w:hAnsi="Times New Roman" w:cs="Times New Roman"/>
          <w:i/>
          <w:sz w:val="28"/>
          <w:szCs w:val="28"/>
          <w:u w:val="single"/>
        </w:rPr>
      </w:pPr>
      <w:r w:rsidRPr="00A15D2F">
        <w:rPr>
          <w:rFonts w:ascii="Times New Roman" w:hAnsi="Times New Roman" w:cs="Times New Roman"/>
          <w:i/>
          <w:sz w:val="28"/>
          <w:szCs w:val="28"/>
          <w:u w:val="single"/>
        </w:rPr>
        <w:t>В Окръжна прокуратура – Монтана:</w:t>
      </w:r>
    </w:p>
    <w:p w14:paraId="0F7869EF" w14:textId="77777777" w:rsidR="00972837" w:rsidRPr="00A15D2F" w:rsidRDefault="00972837" w:rsidP="00972837">
      <w:pPr>
        <w:tabs>
          <w:tab w:val="left" w:pos="826"/>
        </w:tabs>
        <w:autoSpaceDE w:val="0"/>
        <w:autoSpaceDN w:val="0"/>
        <w:adjustRightInd w:val="0"/>
        <w:spacing w:after="0" w:line="240" w:lineRule="auto"/>
        <w:ind w:firstLine="709"/>
        <w:jc w:val="both"/>
        <w:rPr>
          <w:rFonts w:ascii="Times New Roman" w:hAnsi="Times New Roman"/>
          <w:sz w:val="28"/>
        </w:rPr>
      </w:pPr>
      <w:r w:rsidRPr="00A15D2F">
        <w:rPr>
          <w:rFonts w:ascii="Times New Roman" w:hAnsi="Times New Roman"/>
          <w:sz w:val="28"/>
          <w:lang w:eastAsia="bg-BG"/>
        </w:rPr>
        <w:t xml:space="preserve">През отчетния период прокурори и съдебни служители са участвали в общо </w:t>
      </w:r>
      <w:r w:rsidRPr="00A15D2F">
        <w:rPr>
          <w:rFonts w:ascii="Times New Roman" w:hAnsi="Times New Roman"/>
          <w:sz w:val="28"/>
          <w:lang w:val="en-US" w:eastAsia="bg-BG"/>
        </w:rPr>
        <w:t>27</w:t>
      </w:r>
      <w:r w:rsidRPr="00A15D2F">
        <w:rPr>
          <w:rFonts w:ascii="Times New Roman" w:hAnsi="Times New Roman"/>
          <w:sz w:val="28"/>
          <w:lang w:eastAsia="bg-BG"/>
        </w:rPr>
        <w:t xml:space="preserve"> обучения, а</w:t>
      </w:r>
      <w:r w:rsidRPr="00A15D2F">
        <w:rPr>
          <w:rFonts w:ascii="Times New Roman" w:hAnsi="Times New Roman"/>
          <w:sz w:val="28"/>
        </w:rPr>
        <w:t xml:space="preserve"> един прокурор е бил лектор пред ученици от 11-ти склас на тема „Структура и функции на съдебната власт. ВСС. Престъпления и наказателна отговорност на малолетни и непълнолетни лица по ЗБППМН“.</w:t>
      </w:r>
    </w:p>
    <w:p w14:paraId="1984A089" w14:textId="77777777" w:rsidR="00972837" w:rsidRPr="00A15D2F" w:rsidRDefault="00972837" w:rsidP="00972837">
      <w:pPr>
        <w:tabs>
          <w:tab w:val="left" w:pos="826"/>
        </w:tabs>
        <w:autoSpaceDE w:val="0"/>
        <w:autoSpaceDN w:val="0"/>
        <w:adjustRightInd w:val="0"/>
        <w:spacing w:after="0" w:line="240" w:lineRule="auto"/>
        <w:ind w:firstLine="709"/>
        <w:jc w:val="both"/>
        <w:rPr>
          <w:rFonts w:ascii="Times New Roman" w:hAnsi="Times New Roman"/>
          <w:sz w:val="28"/>
        </w:rPr>
      </w:pPr>
    </w:p>
    <w:p w14:paraId="100F6FC7" w14:textId="77777777" w:rsidR="00972837" w:rsidRPr="00A15D2F" w:rsidRDefault="00972837" w:rsidP="00972837">
      <w:pPr>
        <w:spacing w:after="0" w:line="240" w:lineRule="auto"/>
        <w:ind w:firstLine="709"/>
        <w:jc w:val="both"/>
        <w:rPr>
          <w:rFonts w:ascii="Times New Roman" w:hAnsi="Times New Roman" w:cs="Times New Roman"/>
          <w:i/>
          <w:sz w:val="28"/>
          <w:szCs w:val="28"/>
          <w:u w:val="single"/>
        </w:rPr>
      </w:pPr>
      <w:r w:rsidRPr="00A15D2F">
        <w:rPr>
          <w:rFonts w:ascii="Times New Roman" w:hAnsi="Times New Roman" w:cs="Times New Roman"/>
          <w:i/>
          <w:sz w:val="28"/>
          <w:szCs w:val="28"/>
          <w:u w:val="single"/>
        </w:rPr>
        <w:t>В Районна прокуратура – Монтана:</w:t>
      </w:r>
    </w:p>
    <w:p w14:paraId="3B3FEE20" w14:textId="77777777" w:rsidR="00972837" w:rsidRPr="00A15D2F" w:rsidRDefault="00972837" w:rsidP="00972837">
      <w:pPr>
        <w:spacing w:after="0" w:line="240" w:lineRule="auto"/>
        <w:ind w:firstLine="567"/>
        <w:jc w:val="both"/>
        <w:rPr>
          <w:rFonts w:ascii="Times New Roman" w:eastAsia="Arial Unicode MS" w:hAnsi="Times New Roman"/>
          <w:sz w:val="28"/>
          <w:szCs w:val="28"/>
          <w:lang w:val="en-US" w:eastAsia="bg-BG"/>
        </w:rPr>
      </w:pPr>
      <w:r w:rsidRPr="00A15D2F">
        <w:rPr>
          <w:rFonts w:ascii="Times New Roman" w:eastAsia="Arial Unicode MS" w:hAnsi="Times New Roman"/>
          <w:sz w:val="28"/>
          <w:szCs w:val="28"/>
          <w:lang w:eastAsia="bg-BG"/>
        </w:rPr>
        <w:t xml:space="preserve">През отчетния период прокурори и съдебни служители от РП-Монтана са участвали в 22 семинари, конференции и обучения, вкл. и като лектори. </w:t>
      </w:r>
    </w:p>
    <w:p w14:paraId="1C69126A" w14:textId="77777777" w:rsidR="00744A1A" w:rsidRPr="006407AC" w:rsidRDefault="00744A1A" w:rsidP="00AA2557">
      <w:pPr>
        <w:tabs>
          <w:tab w:val="left" w:pos="826"/>
        </w:tabs>
        <w:autoSpaceDE w:val="0"/>
        <w:autoSpaceDN w:val="0"/>
        <w:adjustRightInd w:val="0"/>
        <w:spacing w:after="0" w:line="240" w:lineRule="auto"/>
        <w:ind w:firstLine="709"/>
        <w:jc w:val="both"/>
        <w:rPr>
          <w:rFonts w:ascii="Times New Roman" w:eastAsia="Times New Roman" w:hAnsi="Times New Roman"/>
          <w:i/>
          <w:sz w:val="28"/>
          <w:szCs w:val="28"/>
          <w:highlight w:val="green"/>
          <w:u w:val="single"/>
        </w:rPr>
      </w:pPr>
    </w:p>
    <w:p w14:paraId="69D85701" w14:textId="77777777" w:rsidR="00972837" w:rsidRPr="00972837" w:rsidRDefault="00972837" w:rsidP="00972837">
      <w:pPr>
        <w:keepNext/>
        <w:shd w:val="clear" w:color="auto" w:fill="FFFFFF"/>
        <w:tabs>
          <w:tab w:val="left" w:pos="763"/>
        </w:tabs>
        <w:autoSpaceDE w:val="0"/>
        <w:autoSpaceDN w:val="0"/>
        <w:adjustRightInd w:val="0"/>
        <w:spacing w:after="0" w:line="240" w:lineRule="auto"/>
        <w:ind w:firstLine="720"/>
        <w:jc w:val="both"/>
        <w:outlineLvl w:val="1"/>
        <w:rPr>
          <w:rFonts w:ascii="Times New Roman" w:eastAsia="Calibri" w:hAnsi="Times New Roman" w:cs="Arial"/>
          <w:b/>
          <w:iCs/>
          <w:sz w:val="28"/>
          <w:u w:val="single"/>
          <w:lang w:eastAsia="bg-BG"/>
        </w:rPr>
      </w:pPr>
      <w:bookmarkStart w:id="119" w:name="_Toc63940910"/>
      <w:bookmarkStart w:id="120" w:name="_Toc127370311"/>
      <w:r w:rsidRPr="00972837">
        <w:rPr>
          <w:rFonts w:ascii="Times New Roman" w:eastAsia="Calibri" w:hAnsi="Times New Roman" w:cs="Arial"/>
          <w:b/>
          <w:iCs/>
          <w:sz w:val="28"/>
          <w:u w:val="single"/>
          <w:lang w:eastAsia="bg-BG"/>
        </w:rPr>
        <w:t>3. Кадрово обезпечаване на разследващите органи.</w:t>
      </w:r>
      <w:bookmarkEnd w:id="119"/>
      <w:bookmarkEnd w:id="120"/>
    </w:p>
    <w:p w14:paraId="2B8EA851" w14:textId="77777777" w:rsidR="00972837" w:rsidRPr="00972837" w:rsidRDefault="00972837" w:rsidP="00972837">
      <w:pPr>
        <w:tabs>
          <w:tab w:val="left" w:pos="826"/>
        </w:tabs>
        <w:autoSpaceDE w:val="0"/>
        <w:autoSpaceDN w:val="0"/>
        <w:adjustRightInd w:val="0"/>
        <w:spacing w:after="0" w:line="240" w:lineRule="auto"/>
        <w:ind w:firstLine="709"/>
        <w:jc w:val="both"/>
        <w:rPr>
          <w:rFonts w:ascii="Calibri" w:eastAsia="Calibri" w:hAnsi="Calibri" w:cs="Times New Roman"/>
          <w:color w:val="000000"/>
          <w:sz w:val="28"/>
          <w:lang w:eastAsia="bg-BG"/>
        </w:rPr>
      </w:pPr>
    </w:p>
    <w:p w14:paraId="1ADBF4EF" w14:textId="77777777" w:rsidR="00972837" w:rsidRPr="00972837" w:rsidRDefault="00972837" w:rsidP="00972837">
      <w:pPr>
        <w:ind w:firstLine="708"/>
        <w:rPr>
          <w:rFonts w:ascii="Times New Roman" w:eastAsia="Calibri" w:hAnsi="Times New Roman" w:cs="Times New Roman"/>
          <w:b/>
          <w:i/>
          <w:sz w:val="28"/>
          <w:szCs w:val="28"/>
        </w:rPr>
      </w:pPr>
      <w:r w:rsidRPr="00972837">
        <w:rPr>
          <w:rFonts w:ascii="Times New Roman" w:eastAsia="Calibri" w:hAnsi="Times New Roman" w:cs="Times New Roman"/>
          <w:b/>
          <w:i/>
          <w:sz w:val="28"/>
          <w:szCs w:val="28"/>
        </w:rPr>
        <w:t>3.1. Окръжен следствен отдел при ОП,  гр. Монтана</w:t>
      </w:r>
    </w:p>
    <w:p w14:paraId="03502F92" w14:textId="77777777" w:rsidR="00972837" w:rsidRPr="00972837" w:rsidRDefault="00972837" w:rsidP="00972837">
      <w:pPr>
        <w:spacing w:after="0" w:line="240" w:lineRule="auto"/>
        <w:ind w:firstLine="709"/>
        <w:jc w:val="both"/>
        <w:rPr>
          <w:rFonts w:ascii="Times New Roman" w:eastAsia="Times New Roman" w:hAnsi="Times New Roman" w:cs="Times New Roman"/>
          <w:color w:val="000000"/>
          <w:sz w:val="28"/>
          <w:szCs w:val="24"/>
          <w:lang w:eastAsia="bg-BG"/>
        </w:rPr>
      </w:pPr>
      <w:r w:rsidRPr="00972837">
        <w:rPr>
          <w:rFonts w:ascii="Times New Roman" w:eastAsia="Times New Roman" w:hAnsi="Times New Roman" w:cs="Times New Roman"/>
          <w:sz w:val="28"/>
          <w:szCs w:val="28"/>
          <w:lang w:eastAsia="bg-BG"/>
        </w:rPr>
        <w:t>Кадровото обезпечаване на ОСлО при ОП Монтана е дадено по-горе в т. 1.1</w:t>
      </w:r>
      <w:r w:rsidRPr="00972837">
        <w:rPr>
          <w:rFonts w:ascii="Times New Roman" w:eastAsia="Times New Roman" w:hAnsi="Times New Roman" w:cs="Times New Roman"/>
          <w:color w:val="000000"/>
          <w:sz w:val="28"/>
          <w:szCs w:val="24"/>
          <w:lang w:eastAsia="bg-BG"/>
        </w:rPr>
        <w:t>. Работещите към момента следователи са натоварени допълнително с оглед получените дела след закриването на Специализираната прокуратура. Налице е увеличение, както на досъдебните производства, така и на следствените поръчки, вкл. международните поръчки. Незначително намалялата през отчетната година средна натовареност на един следовател се дължи на увеличения щат на следователите от окръжния следствен отдел.</w:t>
      </w:r>
    </w:p>
    <w:p w14:paraId="363DB71A" w14:textId="77777777" w:rsidR="00972837" w:rsidRPr="00972837" w:rsidRDefault="00972837" w:rsidP="00972837">
      <w:pPr>
        <w:spacing w:after="0" w:line="240" w:lineRule="auto"/>
        <w:ind w:firstLine="709"/>
        <w:jc w:val="both"/>
        <w:rPr>
          <w:rFonts w:ascii="Times New Roman" w:eastAsia="Times New Roman" w:hAnsi="Times New Roman" w:cs="Times New Roman"/>
          <w:color w:val="000000"/>
          <w:sz w:val="28"/>
          <w:szCs w:val="24"/>
          <w:lang w:eastAsia="bg-BG"/>
        </w:rPr>
      </w:pPr>
    </w:p>
    <w:p w14:paraId="78A629B9" w14:textId="77777777" w:rsidR="00972837" w:rsidRPr="00972837" w:rsidRDefault="00972837" w:rsidP="00972837">
      <w:pPr>
        <w:ind w:firstLine="708"/>
        <w:rPr>
          <w:rFonts w:ascii="Times New Roman" w:eastAsia="Calibri" w:hAnsi="Times New Roman" w:cs="Times New Roman"/>
          <w:b/>
          <w:i/>
          <w:sz w:val="28"/>
          <w:szCs w:val="28"/>
        </w:rPr>
      </w:pPr>
      <w:r w:rsidRPr="00972837">
        <w:rPr>
          <w:rFonts w:ascii="Times New Roman" w:eastAsia="Calibri" w:hAnsi="Times New Roman" w:cs="Times New Roman"/>
          <w:b/>
          <w:i/>
          <w:sz w:val="28"/>
          <w:szCs w:val="28"/>
        </w:rPr>
        <w:t>3.2. Кадрово обезпечаване на разследващите органи в Областна дирекция на МВР, гр. Монтана и ТМУ, гр. Лом.</w:t>
      </w:r>
    </w:p>
    <w:p w14:paraId="199BA7C7" w14:textId="77777777" w:rsidR="00972837" w:rsidRPr="00972837" w:rsidRDefault="00972837" w:rsidP="00972837">
      <w:pPr>
        <w:spacing w:after="0" w:line="20" w:lineRule="atLeast"/>
        <w:ind w:firstLine="708"/>
        <w:rPr>
          <w:rFonts w:ascii="Times New Roman" w:eastAsia="Calibri" w:hAnsi="Times New Roman" w:cs="Times New Roman"/>
          <w:b/>
          <w:sz w:val="28"/>
          <w:szCs w:val="28"/>
        </w:rPr>
      </w:pPr>
      <w:r w:rsidRPr="00972837">
        <w:rPr>
          <w:rFonts w:ascii="Times New Roman" w:eastAsia="Calibri" w:hAnsi="Times New Roman" w:cs="Times New Roman"/>
          <w:b/>
          <w:sz w:val="28"/>
          <w:szCs w:val="28"/>
        </w:rPr>
        <w:lastRenderedPageBreak/>
        <w:t>- ОД на МВР Монтана:</w:t>
      </w:r>
    </w:p>
    <w:p w14:paraId="038043A8" w14:textId="77777777" w:rsidR="00972837" w:rsidRPr="00972837" w:rsidRDefault="00972837" w:rsidP="00972837">
      <w:pPr>
        <w:spacing w:after="0" w:line="20" w:lineRule="atLeast"/>
        <w:ind w:firstLine="709"/>
        <w:jc w:val="both"/>
        <w:rPr>
          <w:rFonts w:ascii="Times New Roman" w:eastAsia="Calibri" w:hAnsi="Times New Roman" w:cs="Times New Roman"/>
          <w:sz w:val="28"/>
          <w:szCs w:val="28"/>
          <w:lang w:eastAsia="ar-SA"/>
        </w:rPr>
      </w:pPr>
      <w:r w:rsidRPr="00972837">
        <w:rPr>
          <w:rFonts w:ascii="Times New Roman" w:eastAsia="Calibri" w:hAnsi="Times New Roman" w:cs="Times New Roman"/>
          <w:sz w:val="28"/>
          <w:szCs w:val="28"/>
          <w:lang w:eastAsia="ar-SA"/>
        </w:rPr>
        <w:t xml:space="preserve">Служители, назначени на длъжности „главен” и “младши-старши разследващ полицай”, които към момента работят в отдел „Разследване” – ОДМВР-Монтана – 39 бр., при утвърден щат от 42 бр., като с оглед продължителни отсъствия по болест и др. реално са работили 35 разследващи полицай. </w:t>
      </w:r>
    </w:p>
    <w:p w14:paraId="6AB026A5" w14:textId="77777777" w:rsidR="00972837" w:rsidRPr="00972837" w:rsidRDefault="00972837" w:rsidP="00972837">
      <w:pPr>
        <w:spacing w:after="0" w:line="20" w:lineRule="atLeast"/>
        <w:ind w:firstLine="709"/>
        <w:jc w:val="both"/>
        <w:rPr>
          <w:rFonts w:ascii="Times New Roman" w:eastAsia="Calibri" w:hAnsi="Times New Roman" w:cs="Times New Roman"/>
          <w:sz w:val="28"/>
          <w:szCs w:val="28"/>
          <w:lang w:eastAsia="ar-SA"/>
        </w:rPr>
      </w:pPr>
      <w:r w:rsidRPr="00972837">
        <w:rPr>
          <w:rFonts w:ascii="Times New Roman" w:eastAsia="Calibri" w:hAnsi="Times New Roman" w:cs="Times New Roman"/>
          <w:sz w:val="28"/>
          <w:szCs w:val="28"/>
          <w:lang w:eastAsia="ar-SA"/>
        </w:rPr>
        <w:t xml:space="preserve">Общ брой разследващи полицаи, работили през отчетния период на 2022 г. в отдела през различни периоди – 39 служители, като реално работили средно 35. Към 31.12.2021 г. на работа в отдела са били 41 бр. разследващи полицаи, докато към 31.12.2020 г. на работа в отдела са били 41 бр. разследващи полицаи. </w:t>
      </w:r>
    </w:p>
    <w:p w14:paraId="02C78500" w14:textId="77777777" w:rsidR="00972837" w:rsidRPr="00972837" w:rsidRDefault="00972837" w:rsidP="00972837">
      <w:pPr>
        <w:spacing w:after="0" w:line="240" w:lineRule="auto"/>
        <w:ind w:firstLine="709"/>
        <w:jc w:val="both"/>
        <w:rPr>
          <w:rFonts w:ascii="Times New Roman" w:eastAsia="Calibri" w:hAnsi="Times New Roman" w:cs="Times New Roman"/>
          <w:sz w:val="28"/>
          <w:szCs w:val="28"/>
          <w:lang w:eastAsia="ar-SA"/>
        </w:rPr>
      </w:pPr>
      <w:r w:rsidRPr="00972837">
        <w:rPr>
          <w:rFonts w:ascii="Times New Roman" w:eastAsia="Calibri" w:hAnsi="Times New Roman" w:cs="Times New Roman"/>
          <w:b/>
          <w:sz w:val="28"/>
          <w:szCs w:val="28"/>
          <w:lang w:eastAsia="ar-SA"/>
        </w:rPr>
        <w:t xml:space="preserve">Средна натовареност на един разследващ полицай: 110 бр. </w:t>
      </w:r>
      <w:r w:rsidRPr="00972837">
        <w:rPr>
          <w:rFonts w:ascii="Times New Roman" w:eastAsia="Calibri" w:hAnsi="Times New Roman" w:cs="Times New Roman"/>
          <w:sz w:val="28"/>
          <w:szCs w:val="28"/>
          <w:lang w:eastAsia="ar-SA"/>
        </w:rPr>
        <w:t>през отчетния период срещу 110 ДП за 2020 г. и 97</w:t>
      </w:r>
      <w:r w:rsidRPr="00972837">
        <w:rPr>
          <w:rFonts w:ascii="Times New Roman" w:eastAsia="Calibri" w:hAnsi="Times New Roman" w:cs="Times New Roman"/>
          <w:b/>
          <w:sz w:val="28"/>
          <w:szCs w:val="28"/>
          <w:lang w:eastAsia="ar-SA"/>
        </w:rPr>
        <w:t xml:space="preserve"> </w:t>
      </w:r>
      <w:r w:rsidRPr="00972837">
        <w:rPr>
          <w:rFonts w:ascii="Times New Roman" w:eastAsia="Calibri" w:hAnsi="Times New Roman" w:cs="Times New Roman"/>
          <w:sz w:val="28"/>
          <w:szCs w:val="28"/>
          <w:lang w:eastAsia="ar-SA"/>
        </w:rPr>
        <w:t>за 2020 г. Това е броят досъдебни производства, по които е работил 1 разследващ полицай за периода. Средната натовареност е изчислена на база на реално работили 35 служители.</w:t>
      </w:r>
    </w:p>
    <w:p w14:paraId="3B460A8C" w14:textId="77777777" w:rsidR="00972837" w:rsidRPr="00972837" w:rsidRDefault="00972837" w:rsidP="00972837">
      <w:pPr>
        <w:spacing w:after="0" w:line="240" w:lineRule="auto"/>
        <w:ind w:firstLine="709"/>
        <w:jc w:val="both"/>
        <w:rPr>
          <w:rFonts w:ascii="Times New Roman" w:eastAsia="Calibri" w:hAnsi="Times New Roman" w:cs="Times New Roman"/>
          <w:b/>
          <w:sz w:val="28"/>
          <w:szCs w:val="28"/>
          <w:lang w:eastAsia="ar-SA"/>
        </w:rPr>
      </w:pPr>
      <w:r w:rsidRPr="00972837">
        <w:rPr>
          <w:rFonts w:ascii="Times New Roman" w:eastAsia="Calibri" w:hAnsi="Times New Roman" w:cs="Times New Roman"/>
          <w:b/>
          <w:sz w:val="28"/>
          <w:szCs w:val="28"/>
          <w:lang w:eastAsia="ar-SA"/>
        </w:rPr>
        <w:t>Средният брой на приключените ДП е 77,7 за 1 разследващ полицай при  72,4 приключени ДП за 2021 г. и 61,2 бр. за 2020 г.</w:t>
      </w:r>
    </w:p>
    <w:p w14:paraId="090F6386" w14:textId="77777777" w:rsidR="00972837" w:rsidRPr="00972837" w:rsidRDefault="00972837" w:rsidP="00972837">
      <w:pPr>
        <w:spacing w:after="0" w:line="240" w:lineRule="auto"/>
        <w:ind w:firstLine="709"/>
        <w:jc w:val="both"/>
        <w:rPr>
          <w:rFonts w:ascii="Times New Roman" w:eastAsia="Calibri" w:hAnsi="Times New Roman" w:cs="Times New Roman"/>
          <w:b/>
          <w:sz w:val="28"/>
          <w:szCs w:val="28"/>
          <w:lang w:eastAsia="ar-SA"/>
        </w:rPr>
      </w:pPr>
    </w:p>
    <w:p w14:paraId="2E69BAD0" w14:textId="77777777" w:rsidR="00972837" w:rsidRPr="00972837" w:rsidRDefault="00972837" w:rsidP="00972837">
      <w:pPr>
        <w:numPr>
          <w:ilvl w:val="0"/>
          <w:numId w:val="46"/>
        </w:numPr>
        <w:spacing w:after="0" w:line="240" w:lineRule="auto"/>
        <w:ind w:left="0" w:firstLine="709"/>
        <w:rPr>
          <w:rFonts w:ascii="Times New Roman" w:eastAsia="Times New Roman" w:hAnsi="Times New Roman" w:cs="Times New Roman"/>
          <w:b/>
          <w:sz w:val="28"/>
          <w:szCs w:val="28"/>
          <w:lang w:eastAsia="ar-SA"/>
        </w:rPr>
      </w:pPr>
      <w:r w:rsidRPr="00972837">
        <w:rPr>
          <w:rFonts w:ascii="Times New Roman" w:eastAsia="Times New Roman" w:hAnsi="Times New Roman" w:cs="Times New Roman"/>
          <w:b/>
          <w:sz w:val="28"/>
          <w:szCs w:val="28"/>
          <w:lang w:eastAsia="ar-SA"/>
        </w:rPr>
        <w:t>Разследващи митнически инспектори:</w:t>
      </w:r>
    </w:p>
    <w:p w14:paraId="29307AB5" w14:textId="77777777" w:rsidR="00972837" w:rsidRPr="00972837" w:rsidRDefault="00972837" w:rsidP="00972837">
      <w:pPr>
        <w:spacing w:after="0" w:line="240" w:lineRule="auto"/>
        <w:ind w:firstLine="709"/>
        <w:jc w:val="both"/>
        <w:rPr>
          <w:rFonts w:ascii="Times New Roman" w:eastAsia="Times New Roman" w:hAnsi="Times New Roman" w:cs="Times New Roman"/>
          <w:sz w:val="28"/>
          <w:szCs w:val="28"/>
          <w:lang w:eastAsia="bg-BG"/>
        </w:rPr>
      </w:pPr>
      <w:r w:rsidRPr="00972837">
        <w:rPr>
          <w:rFonts w:ascii="Times New Roman" w:eastAsia="Times New Roman" w:hAnsi="Times New Roman" w:cs="Times New Roman"/>
          <w:sz w:val="28"/>
          <w:szCs w:val="28"/>
          <w:lang w:eastAsia="ar-SA"/>
        </w:rPr>
        <w:t>К</w:t>
      </w:r>
      <w:r w:rsidRPr="00972837">
        <w:rPr>
          <w:rFonts w:ascii="Times New Roman" w:eastAsia="Times New Roman" w:hAnsi="Times New Roman" w:cs="Times New Roman"/>
          <w:sz w:val="28"/>
          <w:szCs w:val="28"/>
          <w:lang w:eastAsia="bg-BG"/>
        </w:rPr>
        <w:t>омпетентността на разследване на митническите инспектори в Териториална дирекция „Дунавска“ при ГУ „Митници“ - район Лом обхваща областите Монтана, Видин и Враца. За тази територия определеното щатно разписание в ТМУ Лом е четирима разследващи  митнически инспектори, като един разследващ митнически инспектор с месторабота гр. Видин, един с месторабота в гр. Лом и двама с месторабота гр. Враца.</w:t>
      </w:r>
    </w:p>
    <w:p w14:paraId="43E02D9F" w14:textId="77777777" w:rsidR="00972837" w:rsidRPr="00972837" w:rsidRDefault="00972837" w:rsidP="00972837">
      <w:pPr>
        <w:spacing w:after="0" w:line="240" w:lineRule="auto"/>
        <w:ind w:firstLine="709"/>
        <w:jc w:val="both"/>
        <w:rPr>
          <w:rFonts w:ascii="Times New Roman" w:eastAsia="Times New Roman" w:hAnsi="Times New Roman" w:cs="Times New Roman"/>
          <w:sz w:val="28"/>
          <w:szCs w:val="28"/>
          <w:lang w:eastAsia="bg-BG"/>
        </w:rPr>
      </w:pPr>
      <w:r w:rsidRPr="00972837">
        <w:rPr>
          <w:rFonts w:ascii="Times New Roman" w:eastAsia="Times New Roman" w:hAnsi="Times New Roman" w:cs="Times New Roman"/>
          <w:sz w:val="28"/>
          <w:szCs w:val="28"/>
          <w:lang w:eastAsia="bg-BG"/>
        </w:rPr>
        <w:t>За отчетния период 2021 г. в Митница Лом е наблюдавано 1 бр. ДП от компетентност на прокуратури на територията на ОП Монтана – в РП Монтана. През 2022 г. от прокурорите в региона не са наблюдавани ДП, разследвани от разследващ митнически инспектор, докато през предходната 2021 г. е наблюдавано 1 бр. ДП, разследвано от разследващ митнически инспектор, а през 2020 г. е наблюдавано 1 бр. досъдебно производство.</w:t>
      </w:r>
    </w:p>
    <w:p w14:paraId="0A430BA0" w14:textId="77777777" w:rsidR="00972837" w:rsidRPr="00972837" w:rsidRDefault="00972837" w:rsidP="00972837">
      <w:pPr>
        <w:spacing w:after="0" w:line="240" w:lineRule="auto"/>
        <w:ind w:firstLine="709"/>
        <w:jc w:val="both"/>
        <w:rPr>
          <w:rFonts w:ascii="Times New Roman" w:eastAsia="Times New Roman" w:hAnsi="Times New Roman" w:cs="Times New Roman"/>
          <w:sz w:val="28"/>
          <w:szCs w:val="28"/>
          <w:lang w:eastAsia="ar-SA"/>
        </w:rPr>
      </w:pPr>
      <w:r w:rsidRPr="00972837">
        <w:rPr>
          <w:rFonts w:ascii="Times New Roman" w:eastAsia="Times New Roman" w:hAnsi="Times New Roman" w:cs="Times New Roman"/>
          <w:sz w:val="28"/>
          <w:szCs w:val="28"/>
          <w:lang w:eastAsia="ar-SA"/>
        </w:rPr>
        <w:t>През предходните години при съвместната дейност с разследващите органи са срещани обичайните трудности, свързани със забавяне на разследването /почти винаги предизвикано от обективни пречки по делата/. По принцип комуникацията между прокурорите и разследващите органи се определя като добра.</w:t>
      </w:r>
    </w:p>
    <w:p w14:paraId="4921AAF4" w14:textId="77777777" w:rsidR="00972837" w:rsidRPr="00972837" w:rsidRDefault="00972837" w:rsidP="00972837">
      <w:pPr>
        <w:numPr>
          <w:ilvl w:val="0"/>
          <w:numId w:val="46"/>
        </w:numPr>
        <w:autoSpaceDE w:val="0"/>
        <w:autoSpaceDN w:val="0"/>
        <w:adjustRightInd w:val="0"/>
        <w:spacing w:after="0" w:line="240" w:lineRule="auto"/>
        <w:ind w:left="0" w:firstLine="709"/>
        <w:jc w:val="both"/>
        <w:rPr>
          <w:rFonts w:ascii="Times New Roman" w:eastAsia="Calibri" w:hAnsi="Times New Roman" w:cs="Times New Roman"/>
          <w:b/>
          <w:sz w:val="28"/>
          <w:szCs w:val="28"/>
          <w:lang w:eastAsia="bg-BG"/>
        </w:rPr>
      </w:pPr>
      <w:r w:rsidRPr="00972837">
        <w:rPr>
          <w:rFonts w:ascii="Times New Roman" w:eastAsia="Calibri" w:hAnsi="Times New Roman" w:cs="Times New Roman"/>
          <w:b/>
          <w:sz w:val="28"/>
          <w:szCs w:val="28"/>
          <w:lang w:eastAsia="bg-BG"/>
        </w:rPr>
        <w:t>Разследващи полицаи при ГПУ Видин и ГПУ Брегово към РД „Гранична полиция“ Русе:</w:t>
      </w:r>
    </w:p>
    <w:p w14:paraId="2BA82477" w14:textId="13D5143C" w:rsidR="00972837" w:rsidRPr="00972837" w:rsidRDefault="00972837" w:rsidP="00972837">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bg-BG"/>
        </w:rPr>
      </w:pPr>
      <w:r w:rsidRPr="00972837">
        <w:rPr>
          <w:rFonts w:ascii="Times New Roman" w:eastAsia="Calibri" w:hAnsi="Times New Roman" w:cs="Times New Roman"/>
          <w:sz w:val="28"/>
          <w:szCs w:val="28"/>
          <w:lang w:eastAsia="bg-BG"/>
        </w:rPr>
        <w:t>Компетентността им обхваща посочените по-горе три области, но местонахождението им е на територията на ОП Видин. През 202</w:t>
      </w:r>
      <w:r w:rsidR="0038706F">
        <w:rPr>
          <w:rFonts w:ascii="Times New Roman" w:eastAsia="Calibri" w:hAnsi="Times New Roman" w:cs="Times New Roman"/>
          <w:sz w:val="28"/>
          <w:szCs w:val="28"/>
          <w:lang w:eastAsia="bg-BG"/>
        </w:rPr>
        <w:t>2</w:t>
      </w:r>
      <w:r w:rsidRPr="00972837">
        <w:rPr>
          <w:rFonts w:ascii="Times New Roman" w:eastAsia="Calibri" w:hAnsi="Times New Roman" w:cs="Times New Roman"/>
          <w:sz w:val="28"/>
          <w:szCs w:val="28"/>
          <w:lang w:eastAsia="bg-BG"/>
        </w:rPr>
        <w:t xml:space="preserve"> г. </w:t>
      </w:r>
      <w:r w:rsidRPr="00972837">
        <w:rPr>
          <w:rFonts w:ascii="Times New Roman" w:eastAsia="Times New Roman" w:hAnsi="Times New Roman" w:cs="Times New Roman"/>
          <w:sz w:val="28"/>
          <w:szCs w:val="28"/>
          <w:lang w:eastAsia="bg-BG"/>
        </w:rPr>
        <w:t>от компетентност на прокуратури на територията на ОП Монтана – в РП Монтана</w:t>
      </w:r>
      <w:r w:rsidRPr="00972837">
        <w:rPr>
          <w:rFonts w:ascii="Times New Roman" w:eastAsia="Calibri" w:hAnsi="Times New Roman" w:cs="Times New Roman"/>
          <w:sz w:val="28"/>
          <w:szCs w:val="28"/>
          <w:lang w:eastAsia="bg-BG"/>
        </w:rPr>
        <w:t xml:space="preserve"> са наблюдавани 5 бр. ДП, разследвани от разследващи полицаи при ГПУ – Видин. За сравнение през 2021 г. са наблюдавани 2 бр. ДП, а през 2020 г. е наблюдавано 1 бр. ДП.  В ГПУ Видин по щат са  3-ма разследващи полицаи (2-ма за западната граница и 1 за северната), през 2021 г. са работили 2-ма разследващи полицаи, като едната щатна бройка е незаета.</w:t>
      </w:r>
    </w:p>
    <w:p w14:paraId="79184B05" w14:textId="77777777" w:rsidR="00A36148" w:rsidRPr="003402DC" w:rsidRDefault="00A36148" w:rsidP="00886D1C">
      <w:pPr>
        <w:tabs>
          <w:tab w:val="left" w:pos="-142"/>
        </w:tabs>
        <w:autoSpaceDE w:val="0"/>
        <w:autoSpaceDN w:val="0"/>
        <w:adjustRightInd w:val="0"/>
        <w:spacing w:after="0" w:line="240" w:lineRule="auto"/>
        <w:ind w:firstLine="709"/>
        <w:jc w:val="both"/>
        <w:rPr>
          <w:rFonts w:ascii="Times New Roman" w:hAnsi="Times New Roman"/>
          <w:sz w:val="28"/>
          <w:szCs w:val="28"/>
          <w:lang w:eastAsia="bg-BG"/>
        </w:rPr>
      </w:pPr>
    </w:p>
    <w:p w14:paraId="585781F5" w14:textId="77777777" w:rsidR="00972837" w:rsidRPr="00A42673" w:rsidRDefault="00972837" w:rsidP="00972837">
      <w:pPr>
        <w:keepNext/>
        <w:shd w:val="clear" w:color="auto" w:fill="FFFFFF"/>
        <w:tabs>
          <w:tab w:val="left" w:pos="763"/>
        </w:tabs>
        <w:autoSpaceDE w:val="0"/>
        <w:autoSpaceDN w:val="0"/>
        <w:adjustRightInd w:val="0"/>
        <w:spacing w:after="0" w:line="240" w:lineRule="auto"/>
        <w:ind w:firstLine="720"/>
        <w:jc w:val="both"/>
        <w:outlineLvl w:val="1"/>
        <w:rPr>
          <w:rFonts w:ascii="Times New Roman" w:eastAsia="Calibri" w:hAnsi="Times New Roman" w:cs="Arial"/>
          <w:b/>
          <w:iCs/>
          <w:sz w:val="28"/>
          <w:u w:val="single"/>
          <w:lang w:eastAsia="bg-BG"/>
        </w:rPr>
      </w:pPr>
      <w:bookmarkStart w:id="121" w:name="_Toc63940911"/>
      <w:bookmarkStart w:id="122" w:name="_Toc127370312"/>
      <w:r w:rsidRPr="00A42673">
        <w:rPr>
          <w:rFonts w:ascii="Times New Roman" w:eastAsia="Calibri" w:hAnsi="Times New Roman" w:cs="Arial"/>
          <w:b/>
          <w:iCs/>
          <w:sz w:val="28"/>
          <w:u w:val="single"/>
          <w:lang w:eastAsia="bg-BG"/>
        </w:rPr>
        <w:t>4. Контролно-ревизионна дейност.</w:t>
      </w:r>
      <w:bookmarkEnd w:id="121"/>
      <w:bookmarkEnd w:id="122"/>
    </w:p>
    <w:p w14:paraId="302174D0" w14:textId="77777777" w:rsidR="00972837" w:rsidRPr="00A42673" w:rsidRDefault="00972837" w:rsidP="00972837">
      <w:pPr>
        <w:ind w:firstLine="708"/>
        <w:rPr>
          <w:rFonts w:ascii="Times New Roman" w:eastAsia="Calibri" w:hAnsi="Times New Roman" w:cs="Times New Roman"/>
          <w:b/>
          <w:i/>
          <w:sz w:val="28"/>
          <w:szCs w:val="28"/>
        </w:rPr>
      </w:pPr>
    </w:p>
    <w:p w14:paraId="0E8B1D1E" w14:textId="77777777" w:rsidR="00972837" w:rsidRPr="00A42673" w:rsidRDefault="00972837" w:rsidP="00972837">
      <w:pPr>
        <w:ind w:firstLine="708"/>
        <w:rPr>
          <w:rFonts w:ascii="Times New Roman" w:eastAsia="Calibri" w:hAnsi="Times New Roman" w:cs="Times New Roman"/>
          <w:b/>
          <w:i/>
          <w:sz w:val="28"/>
          <w:szCs w:val="28"/>
        </w:rPr>
      </w:pPr>
      <w:r w:rsidRPr="00A42673">
        <w:rPr>
          <w:rFonts w:ascii="Times New Roman" w:eastAsia="Calibri" w:hAnsi="Times New Roman" w:cs="Times New Roman"/>
          <w:b/>
          <w:i/>
          <w:sz w:val="28"/>
          <w:szCs w:val="28"/>
        </w:rPr>
        <w:t>4.1. Проверки и ревизии от ОП Монтана:</w:t>
      </w:r>
    </w:p>
    <w:p w14:paraId="09E8BB4E" w14:textId="77777777" w:rsidR="00972837" w:rsidRPr="00A42673" w:rsidRDefault="00972837" w:rsidP="00972837">
      <w:pPr>
        <w:spacing w:after="0" w:line="240" w:lineRule="auto"/>
        <w:ind w:firstLine="708"/>
        <w:jc w:val="both"/>
        <w:rPr>
          <w:rFonts w:ascii="Times New Roman" w:eastAsia="Times New Roman" w:hAnsi="Times New Roman" w:cs="Times New Roman"/>
          <w:sz w:val="28"/>
          <w:szCs w:val="28"/>
        </w:rPr>
      </w:pPr>
      <w:r w:rsidRPr="00A42673">
        <w:rPr>
          <w:rFonts w:ascii="Times New Roman" w:eastAsia="Times New Roman" w:hAnsi="Times New Roman" w:cs="Times New Roman"/>
          <w:sz w:val="28"/>
          <w:szCs w:val="28"/>
        </w:rPr>
        <w:t>4.1.</w:t>
      </w:r>
      <w:r w:rsidRPr="00A42673">
        <w:rPr>
          <w:rFonts w:ascii="Times New Roman" w:eastAsia="Times New Roman" w:hAnsi="Times New Roman" w:cs="Times New Roman"/>
          <w:sz w:val="28"/>
          <w:szCs w:val="28"/>
          <w:lang w:val="en-US"/>
        </w:rPr>
        <w:t>1</w:t>
      </w:r>
      <w:r w:rsidRPr="00A42673">
        <w:rPr>
          <w:rFonts w:ascii="Times New Roman" w:eastAsia="Times New Roman" w:hAnsi="Times New Roman" w:cs="Times New Roman"/>
          <w:sz w:val="28"/>
          <w:szCs w:val="28"/>
        </w:rPr>
        <w:t>. По административна преписка № 272/2018 г. по описа на ОП Монтана: е извършена тематична проверки на дейността на ОП Монтана и РП Монтана по спрените досъдебни производства, възложени със заповед № РД-04-95/15.07.2022 г.</w:t>
      </w:r>
    </w:p>
    <w:p w14:paraId="406643AD" w14:textId="77777777" w:rsidR="00972837" w:rsidRPr="00A42673" w:rsidRDefault="00972837" w:rsidP="00972837">
      <w:pPr>
        <w:spacing w:after="0" w:line="240" w:lineRule="auto"/>
        <w:ind w:firstLine="708"/>
        <w:jc w:val="both"/>
        <w:rPr>
          <w:rFonts w:ascii="Times New Roman" w:eastAsia="Times New Roman" w:hAnsi="Times New Roman" w:cs="Times New Roman"/>
          <w:sz w:val="28"/>
          <w:szCs w:val="28"/>
        </w:rPr>
      </w:pPr>
    </w:p>
    <w:p w14:paraId="2E3F215C" w14:textId="77777777" w:rsidR="00972837" w:rsidRPr="00A42673" w:rsidRDefault="00972837" w:rsidP="00972837">
      <w:pPr>
        <w:spacing w:after="0" w:line="240" w:lineRule="auto"/>
        <w:ind w:firstLine="708"/>
        <w:jc w:val="both"/>
        <w:rPr>
          <w:rFonts w:ascii="Times New Roman" w:eastAsia="Times New Roman" w:hAnsi="Times New Roman" w:cs="Times New Roman"/>
          <w:sz w:val="28"/>
          <w:szCs w:val="28"/>
        </w:rPr>
      </w:pPr>
      <w:r w:rsidRPr="00A42673">
        <w:rPr>
          <w:rFonts w:ascii="Times New Roman" w:eastAsia="Times New Roman" w:hAnsi="Times New Roman" w:cs="Times New Roman"/>
          <w:sz w:val="28"/>
          <w:szCs w:val="28"/>
        </w:rPr>
        <w:t>4.1.</w:t>
      </w:r>
      <w:r w:rsidRPr="00A42673">
        <w:rPr>
          <w:rFonts w:ascii="Times New Roman" w:eastAsia="Times New Roman" w:hAnsi="Times New Roman" w:cs="Times New Roman"/>
          <w:sz w:val="28"/>
          <w:szCs w:val="28"/>
          <w:lang w:val="en-US"/>
        </w:rPr>
        <w:t>2</w:t>
      </w:r>
      <w:r w:rsidRPr="00A42673">
        <w:rPr>
          <w:rFonts w:ascii="Times New Roman" w:eastAsia="Times New Roman" w:hAnsi="Times New Roman" w:cs="Times New Roman"/>
          <w:sz w:val="28"/>
          <w:szCs w:val="28"/>
        </w:rPr>
        <w:t xml:space="preserve">. По административна преписка № 80/20117 г. по описа на ОП Монтана: </w:t>
      </w:r>
    </w:p>
    <w:p w14:paraId="46EF9446" w14:textId="77777777" w:rsidR="00972837" w:rsidRPr="00A42673" w:rsidRDefault="00972837" w:rsidP="00972837">
      <w:pPr>
        <w:spacing w:after="0" w:line="240" w:lineRule="auto"/>
        <w:ind w:firstLine="708"/>
        <w:jc w:val="both"/>
        <w:rPr>
          <w:rFonts w:ascii="Times New Roman" w:eastAsia="Times New Roman" w:hAnsi="Times New Roman" w:cs="Times New Roman"/>
          <w:sz w:val="28"/>
          <w:szCs w:val="28"/>
        </w:rPr>
      </w:pPr>
      <w:r w:rsidRPr="00A42673">
        <w:rPr>
          <w:rFonts w:ascii="Times New Roman" w:eastAsia="Times New Roman" w:hAnsi="Times New Roman" w:cs="Times New Roman"/>
          <w:sz w:val="28"/>
          <w:szCs w:val="28"/>
        </w:rPr>
        <w:t xml:space="preserve">- извършена </w:t>
      </w:r>
      <w:r w:rsidRPr="00A42673">
        <w:rPr>
          <w:rFonts w:ascii="Times New Roman" w:eastAsia="Calibri" w:hAnsi="Times New Roman" w:cs="Times New Roman"/>
          <w:sz w:val="28"/>
          <w:szCs w:val="28"/>
        </w:rPr>
        <w:t>проверка на дейността през второто шестмесечие на 2021 г. на Районна прокуратура – Монтана и съответните териториални отделения / ТО - Лом и ТО - Берковица/ в изпълнение V.1. от Заповед № РД-04-475  от 09.12.2020  г. на Главния прокурор на Република България</w:t>
      </w:r>
      <w:r w:rsidRPr="00A42673">
        <w:rPr>
          <w:rFonts w:ascii="Times New Roman" w:eastAsia="Times New Roman" w:hAnsi="Times New Roman" w:cs="Times New Roman"/>
          <w:sz w:val="28"/>
          <w:szCs w:val="28"/>
        </w:rPr>
        <w:t>, възложена със заповед на адм. ръководител на ОП – Монтана № РД-04-8/10.01.2022г.</w:t>
      </w:r>
    </w:p>
    <w:p w14:paraId="701810B4" w14:textId="77777777" w:rsidR="00972837" w:rsidRPr="00A42673" w:rsidRDefault="00972837" w:rsidP="00972837">
      <w:pPr>
        <w:spacing w:after="0" w:line="240" w:lineRule="auto"/>
        <w:ind w:firstLine="708"/>
        <w:jc w:val="both"/>
        <w:rPr>
          <w:rFonts w:ascii="Times New Roman" w:eastAsia="Times New Roman" w:hAnsi="Times New Roman" w:cs="Times New Roman"/>
          <w:sz w:val="28"/>
          <w:szCs w:val="28"/>
        </w:rPr>
      </w:pPr>
      <w:r w:rsidRPr="00A42673">
        <w:rPr>
          <w:rFonts w:ascii="Times New Roman" w:eastAsia="Times New Roman" w:hAnsi="Times New Roman" w:cs="Times New Roman"/>
          <w:sz w:val="28"/>
          <w:szCs w:val="28"/>
        </w:rPr>
        <w:t xml:space="preserve">- извършена </w:t>
      </w:r>
      <w:r w:rsidRPr="00A42673">
        <w:rPr>
          <w:rFonts w:ascii="Times New Roman" w:eastAsia="Calibri" w:hAnsi="Times New Roman" w:cs="Times New Roman"/>
          <w:sz w:val="28"/>
          <w:szCs w:val="28"/>
        </w:rPr>
        <w:t>проверка на дейността през първото шестмесечие на 2022 г. на Районна прокуратура – Монтана и съответните териториални отделения / ТО - Лом и ТО - Берковица/ в изпълнение V.1. от Заповед № РД-04-475  от 09.12.2020  г. на Главния прокурор на Република България</w:t>
      </w:r>
      <w:r w:rsidRPr="00A42673">
        <w:rPr>
          <w:rFonts w:ascii="Times New Roman" w:eastAsia="Times New Roman" w:hAnsi="Times New Roman" w:cs="Times New Roman"/>
          <w:sz w:val="28"/>
          <w:szCs w:val="28"/>
        </w:rPr>
        <w:t>, възложена със заповед на адм. ръководител на ОП – Монтана № РД-04-93/07.07.2022 г.</w:t>
      </w:r>
    </w:p>
    <w:p w14:paraId="6645A9F9" w14:textId="77777777" w:rsidR="00972837" w:rsidRPr="00A42673" w:rsidRDefault="00972837" w:rsidP="00972837">
      <w:pPr>
        <w:spacing w:after="0" w:line="240" w:lineRule="auto"/>
        <w:ind w:firstLine="708"/>
        <w:jc w:val="both"/>
        <w:rPr>
          <w:rFonts w:ascii="Times New Roman" w:eastAsia="Times New Roman" w:hAnsi="Times New Roman" w:cs="Times New Roman"/>
          <w:sz w:val="28"/>
          <w:szCs w:val="28"/>
        </w:rPr>
      </w:pPr>
    </w:p>
    <w:p w14:paraId="1996948B" w14:textId="77777777" w:rsidR="00972837" w:rsidRPr="00A42673" w:rsidRDefault="00972837" w:rsidP="00972837">
      <w:pPr>
        <w:spacing w:after="0" w:line="240" w:lineRule="auto"/>
        <w:ind w:firstLine="708"/>
        <w:jc w:val="both"/>
        <w:rPr>
          <w:rFonts w:ascii="Times New Roman" w:eastAsia="Times New Roman" w:hAnsi="Times New Roman" w:cs="Times New Roman"/>
          <w:sz w:val="28"/>
          <w:szCs w:val="28"/>
        </w:rPr>
      </w:pPr>
    </w:p>
    <w:p w14:paraId="40CD5F3B" w14:textId="77777777" w:rsidR="00972837" w:rsidRPr="00A42673" w:rsidRDefault="00972837" w:rsidP="00972837">
      <w:pPr>
        <w:spacing w:after="0" w:line="240" w:lineRule="auto"/>
        <w:ind w:firstLine="708"/>
        <w:jc w:val="both"/>
        <w:rPr>
          <w:rFonts w:ascii="Times New Roman" w:eastAsia="Times New Roman" w:hAnsi="Times New Roman" w:cs="Times New Roman"/>
          <w:sz w:val="28"/>
          <w:szCs w:val="28"/>
        </w:rPr>
      </w:pPr>
    </w:p>
    <w:p w14:paraId="21CB1FE5" w14:textId="77777777" w:rsidR="00972837" w:rsidRPr="00A42673" w:rsidRDefault="00972837" w:rsidP="00972837">
      <w:pPr>
        <w:spacing w:after="0" w:line="240" w:lineRule="auto"/>
        <w:ind w:firstLine="708"/>
        <w:jc w:val="both"/>
        <w:rPr>
          <w:rFonts w:ascii="Times New Roman" w:eastAsia="Times New Roman" w:hAnsi="Times New Roman" w:cs="Times New Roman"/>
          <w:sz w:val="28"/>
          <w:szCs w:val="28"/>
        </w:rPr>
      </w:pPr>
      <w:r w:rsidRPr="00A42673">
        <w:rPr>
          <w:rFonts w:ascii="Times New Roman" w:eastAsia="Times New Roman" w:hAnsi="Times New Roman" w:cs="Times New Roman"/>
          <w:sz w:val="28"/>
          <w:szCs w:val="28"/>
        </w:rPr>
        <w:t>4.1.</w:t>
      </w:r>
      <w:r w:rsidRPr="00A42673">
        <w:rPr>
          <w:rFonts w:ascii="Times New Roman" w:eastAsia="Times New Roman" w:hAnsi="Times New Roman" w:cs="Times New Roman"/>
          <w:sz w:val="28"/>
          <w:szCs w:val="28"/>
          <w:lang w:val="en-US"/>
        </w:rPr>
        <w:t>3</w:t>
      </w:r>
      <w:r w:rsidRPr="00A42673">
        <w:rPr>
          <w:rFonts w:ascii="Times New Roman" w:eastAsia="Times New Roman" w:hAnsi="Times New Roman" w:cs="Times New Roman"/>
          <w:sz w:val="28"/>
          <w:szCs w:val="28"/>
        </w:rPr>
        <w:t xml:space="preserve">. По административна преписка № 55/2022 г. по описа на ОП Монтана: </w:t>
      </w:r>
    </w:p>
    <w:p w14:paraId="08935648" w14:textId="77777777" w:rsidR="00972837" w:rsidRPr="00A42673" w:rsidRDefault="00972837" w:rsidP="00972837">
      <w:pPr>
        <w:spacing w:after="0" w:line="240" w:lineRule="auto"/>
        <w:ind w:firstLine="708"/>
        <w:jc w:val="both"/>
        <w:rPr>
          <w:rFonts w:ascii="Times New Roman" w:eastAsia="Times New Roman" w:hAnsi="Times New Roman" w:cs="Times New Roman"/>
          <w:sz w:val="28"/>
          <w:szCs w:val="28"/>
        </w:rPr>
      </w:pPr>
      <w:r w:rsidRPr="00A42673">
        <w:rPr>
          <w:rFonts w:ascii="Times New Roman" w:eastAsia="Times New Roman" w:hAnsi="Times New Roman" w:cs="Times New Roman"/>
          <w:sz w:val="28"/>
          <w:szCs w:val="28"/>
        </w:rPr>
        <w:t>- извършени са две периодични проверки на дейността на РП Монтана по преписки, решени извън срока по чл. 145, ал. 2, пр. 2 от ЗСВ.</w:t>
      </w:r>
    </w:p>
    <w:p w14:paraId="1761C394" w14:textId="77777777" w:rsidR="00972837" w:rsidRPr="00A42673" w:rsidRDefault="00972837" w:rsidP="00972837">
      <w:pPr>
        <w:spacing w:after="0" w:line="240" w:lineRule="auto"/>
        <w:ind w:firstLine="708"/>
        <w:jc w:val="both"/>
        <w:rPr>
          <w:rFonts w:ascii="Times New Roman" w:eastAsia="Calibri" w:hAnsi="Times New Roman" w:cs="Times New Roman"/>
          <w:sz w:val="28"/>
          <w:szCs w:val="28"/>
        </w:rPr>
      </w:pPr>
      <w:r w:rsidRPr="00A42673">
        <w:rPr>
          <w:rFonts w:ascii="Times New Roman" w:eastAsia="Times New Roman" w:hAnsi="Times New Roman" w:cs="Times New Roman"/>
          <w:sz w:val="28"/>
          <w:szCs w:val="28"/>
        </w:rPr>
        <w:t>- извършена</w:t>
      </w:r>
      <w:r w:rsidRPr="00A42673">
        <w:rPr>
          <w:rFonts w:ascii="Times New Roman" w:eastAsia="Calibri" w:hAnsi="Times New Roman" w:cs="Times New Roman"/>
          <w:sz w:val="28"/>
          <w:szCs w:val="28"/>
        </w:rPr>
        <w:t xml:space="preserve"> е проверка и анализ на дейността на </w:t>
      </w:r>
      <w:r w:rsidRPr="00A42673">
        <w:rPr>
          <w:rFonts w:ascii="Times New Roman" w:eastAsia="Times New Roman" w:hAnsi="Times New Roman" w:cs="Times New Roman"/>
          <w:sz w:val="28"/>
          <w:szCs w:val="28"/>
        </w:rPr>
        <w:t xml:space="preserve">РП Монтана </w:t>
      </w:r>
      <w:r w:rsidRPr="00A42673">
        <w:rPr>
          <w:rFonts w:ascii="Times New Roman" w:eastAsia="Calibri" w:hAnsi="Times New Roman" w:cs="Times New Roman"/>
          <w:sz w:val="28"/>
          <w:szCs w:val="28"/>
        </w:rPr>
        <w:t>и ОП Монтана и Окръжна прокуратура гр.Монтана във връзка с вземане на мярка за неотклонение „задържане под стража“ и други мерки на процесуална принуда.</w:t>
      </w:r>
    </w:p>
    <w:p w14:paraId="1C98B9D1" w14:textId="77777777" w:rsidR="00972837" w:rsidRPr="00A42673" w:rsidRDefault="00972837" w:rsidP="00972837">
      <w:pPr>
        <w:spacing w:after="0" w:line="240" w:lineRule="auto"/>
        <w:ind w:firstLine="708"/>
        <w:jc w:val="both"/>
        <w:rPr>
          <w:rFonts w:ascii="Times New Roman" w:eastAsia="Calibri" w:hAnsi="Times New Roman" w:cs="Times New Roman"/>
          <w:sz w:val="28"/>
          <w:szCs w:val="28"/>
        </w:rPr>
      </w:pPr>
      <w:r w:rsidRPr="00A42673">
        <w:rPr>
          <w:rFonts w:ascii="Times New Roman" w:eastAsia="Times New Roman" w:hAnsi="Times New Roman" w:cs="Times New Roman"/>
          <w:sz w:val="28"/>
          <w:szCs w:val="28"/>
        </w:rPr>
        <w:t>- извършени</w:t>
      </w:r>
      <w:r w:rsidRPr="00A42673">
        <w:rPr>
          <w:rFonts w:ascii="Times New Roman" w:eastAsia="Calibri" w:hAnsi="Times New Roman" w:cs="Times New Roman"/>
          <w:sz w:val="28"/>
          <w:szCs w:val="28"/>
        </w:rPr>
        <w:t xml:space="preserve"> са две проверки и анализи на дейността на </w:t>
      </w:r>
      <w:r w:rsidRPr="00A42673">
        <w:rPr>
          <w:rFonts w:ascii="Times New Roman" w:eastAsia="Times New Roman" w:hAnsi="Times New Roman" w:cs="Times New Roman"/>
          <w:sz w:val="28"/>
          <w:szCs w:val="28"/>
        </w:rPr>
        <w:t xml:space="preserve">РП Монтана </w:t>
      </w:r>
      <w:r w:rsidRPr="00A42673">
        <w:rPr>
          <w:rFonts w:ascii="Times New Roman" w:eastAsia="Calibri" w:hAnsi="Times New Roman" w:cs="Times New Roman"/>
          <w:sz w:val="28"/>
          <w:szCs w:val="28"/>
        </w:rPr>
        <w:t>и ОП Монтана на делата с обвиняеми лица, по отношение на които могат да се приложат разпоредбите на Глава 26 от НПК.</w:t>
      </w:r>
    </w:p>
    <w:p w14:paraId="2A1D517B" w14:textId="77777777" w:rsidR="00972837" w:rsidRPr="00A42673" w:rsidRDefault="00972837" w:rsidP="00972837">
      <w:pPr>
        <w:spacing w:after="0" w:line="240" w:lineRule="auto"/>
        <w:ind w:firstLine="708"/>
        <w:jc w:val="both"/>
        <w:rPr>
          <w:rFonts w:ascii="Times New Roman" w:eastAsia="Times New Roman" w:hAnsi="Times New Roman" w:cs="Times New Roman"/>
          <w:sz w:val="28"/>
          <w:szCs w:val="28"/>
        </w:rPr>
      </w:pPr>
      <w:r w:rsidRPr="00A42673">
        <w:rPr>
          <w:rFonts w:ascii="Times New Roman" w:eastAsia="Times New Roman" w:hAnsi="Times New Roman" w:cs="Times New Roman"/>
          <w:sz w:val="28"/>
          <w:szCs w:val="28"/>
        </w:rPr>
        <w:t>- извършени са две проверка на РП Монтана, по неприключените и наблюдаваните досъдебни производства, както и на спрените ДП, водени срещу известен извършител, които са образувани преди 01.01.2018 г.</w:t>
      </w:r>
    </w:p>
    <w:p w14:paraId="41CBAB42" w14:textId="77777777" w:rsidR="00972837" w:rsidRPr="00A42673" w:rsidRDefault="00972837" w:rsidP="00972837">
      <w:pPr>
        <w:spacing w:after="0" w:line="240" w:lineRule="auto"/>
        <w:ind w:firstLine="708"/>
        <w:jc w:val="both"/>
        <w:rPr>
          <w:rFonts w:ascii="Times New Roman" w:eastAsia="Calibri" w:hAnsi="Times New Roman" w:cs="Times New Roman"/>
          <w:sz w:val="28"/>
          <w:szCs w:val="28"/>
        </w:rPr>
      </w:pPr>
      <w:r w:rsidRPr="00A42673">
        <w:rPr>
          <w:rFonts w:ascii="Times New Roman" w:eastAsia="Calibri" w:hAnsi="Times New Roman" w:cs="Times New Roman"/>
          <w:sz w:val="28"/>
          <w:szCs w:val="28"/>
        </w:rPr>
        <w:t>- извършена е проверка на преписки и досъдебни производства, наблюдавани в РП Монтана през 2021г. с обединяване по реда на чл. 217 от НПК.</w:t>
      </w:r>
    </w:p>
    <w:p w14:paraId="3D75D912" w14:textId="77777777" w:rsidR="00972837" w:rsidRPr="00A42673" w:rsidRDefault="00972837" w:rsidP="00972837">
      <w:pPr>
        <w:spacing w:after="0" w:line="240" w:lineRule="auto"/>
        <w:ind w:firstLine="708"/>
        <w:jc w:val="both"/>
        <w:rPr>
          <w:rFonts w:ascii="Times New Roman" w:eastAsia="Calibri" w:hAnsi="Times New Roman" w:cs="Times New Roman"/>
          <w:sz w:val="28"/>
          <w:szCs w:val="28"/>
        </w:rPr>
      </w:pPr>
      <w:r w:rsidRPr="00A42673">
        <w:rPr>
          <w:rFonts w:ascii="Times New Roman" w:eastAsia="Times New Roman" w:hAnsi="Times New Roman" w:cs="Times New Roman"/>
          <w:sz w:val="28"/>
          <w:szCs w:val="28"/>
        </w:rPr>
        <w:t>- извършена</w:t>
      </w:r>
      <w:r w:rsidRPr="00A42673">
        <w:rPr>
          <w:rFonts w:ascii="Times New Roman" w:eastAsia="Calibri" w:hAnsi="Times New Roman" w:cs="Times New Roman"/>
          <w:sz w:val="28"/>
          <w:szCs w:val="28"/>
        </w:rPr>
        <w:t xml:space="preserve"> е проверка и анализ на дейността на </w:t>
      </w:r>
      <w:r w:rsidRPr="00A42673">
        <w:rPr>
          <w:rFonts w:ascii="Times New Roman" w:eastAsia="Times New Roman" w:hAnsi="Times New Roman" w:cs="Times New Roman"/>
          <w:sz w:val="28"/>
          <w:szCs w:val="28"/>
        </w:rPr>
        <w:t xml:space="preserve">РП Монтана </w:t>
      </w:r>
      <w:r w:rsidRPr="00A42673">
        <w:rPr>
          <w:rFonts w:ascii="Times New Roman" w:eastAsia="Calibri" w:hAnsi="Times New Roman" w:cs="Times New Roman"/>
          <w:sz w:val="28"/>
          <w:szCs w:val="28"/>
        </w:rPr>
        <w:t>по контрола върху наложените мерки за процесуална принуда по досъдебни производства, наблюдавани от районната прокуратура – произнасяния на прокурорите на основание чл. 63, ал. 5, чл. 63, ал. 6 вр ал. 3, чл. 69, ал. 5, пр. 1 и чл. 234, ал. 8 НПК.</w:t>
      </w:r>
    </w:p>
    <w:p w14:paraId="6D155610" w14:textId="77777777" w:rsidR="00972837" w:rsidRPr="00A42673" w:rsidRDefault="00972837" w:rsidP="00972837">
      <w:pPr>
        <w:spacing w:after="0" w:line="240" w:lineRule="auto"/>
        <w:ind w:firstLine="708"/>
        <w:jc w:val="both"/>
        <w:rPr>
          <w:rFonts w:ascii="Times New Roman" w:eastAsia="Times New Roman" w:hAnsi="Times New Roman" w:cs="Times New Roman"/>
          <w:sz w:val="28"/>
          <w:szCs w:val="28"/>
        </w:rPr>
      </w:pPr>
      <w:r w:rsidRPr="00A42673">
        <w:rPr>
          <w:rFonts w:ascii="Times New Roman" w:eastAsia="Times New Roman" w:hAnsi="Times New Roman" w:cs="Times New Roman"/>
          <w:sz w:val="28"/>
          <w:szCs w:val="28"/>
        </w:rPr>
        <w:lastRenderedPageBreak/>
        <w:t>- извършена</w:t>
      </w:r>
      <w:r w:rsidRPr="00A42673">
        <w:rPr>
          <w:rFonts w:ascii="Times New Roman" w:eastAsia="Calibri" w:hAnsi="Times New Roman" w:cs="Times New Roman"/>
          <w:sz w:val="28"/>
          <w:szCs w:val="28"/>
        </w:rPr>
        <w:t xml:space="preserve"> е проверка и анализ на дейността на </w:t>
      </w:r>
      <w:r w:rsidRPr="00A42673">
        <w:rPr>
          <w:rFonts w:ascii="Times New Roman" w:eastAsia="Times New Roman" w:hAnsi="Times New Roman" w:cs="Times New Roman"/>
          <w:sz w:val="28"/>
          <w:szCs w:val="28"/>
        </w:rPr>
        <w:t xml:space="preserve">РП Монтана </w:t>
      </w:r>
      <w:r w:rsidRPr="00A42673">
        <w:rPr>
          <w:rFonts w:ascii="Times New Roman" w:eastAsia="Calibri" w:hAnsi="Times New Roman" w:cs="Times New Roman"/>
          <w:sz w:val="28"/>
          <w:szCs w:val="28"/>
        </w:rPr>
        <w:t>по преписки, свързани с домашно насилие, закана за убийство и нарушена заповед за защита съгласно Указания, утв. със Заповед на главния прокурор № РД-02-09/30.04.2018 г.</w:t>
      </w:r>
    </w:p>
    <w:p w14:paraId="66938B70" w14:textId="77777777" w:rsidR="00972837" w:rsidRPr="00A42673" w:rsidRDefault="00972837" w:rsidP="00972837">
      <w:pPr>
        <w:spacing w:after="0" w:line="240" w:lineRule="auto"/>
        <w:ind w:firstLine="708"/>
        <w:jc w:val="both"/>
        <w:rPr>
          <w:rFonts w:ascii="Times New Roman" w:eastAsia="Calibri" w:hAnsi="Times New Roman" w:cs="Times New Roman"/>
          <w:sz w:val="28"/>
          <w:szCs w:val="28"/>
        </w:rPr>
      </w:pPr>
      <w:r w:rsidRPr="00A42673">
        <w:rPr>
          <w:rFonts w:ascii="Times New Roman" w:eastAsia="Times New Roman" w:hAnsi="Times New Roman" w:cs="Times New Roman"/>
          <w:sz w:val="28"/>
          <w:szCs w:val="28"/>
        </w:rPr>
        <w:t>- извършена</w:t>
      </w:r>
      <w:r w:rsidRPr="00A42673">
        <w:rPr>
          <w:rFonts w:ascii="Times New Roman" w:eastAsia="Calibri" w:hAnsi="Times New Roman" w:cs="Times New Roman"/>
          <w:sz w:val="28"/>
          <w:szCs w:val="28"/>
        </w:rPr>
        <w:t xml:space="preserve"> е проверка и анализ на дейността на </w:t>
      </w:r>
      <w:r w:rsidRPr="00A42673">
        <w:rPr>
          <w:rFonts w:ascii="Times New Roman" w:eastAsia="Times New Roman" w:hAnsi="Times New Roman" w:cs="Times New Roman"/>
          <w:sz w:val="28"/>
          <w:szCs w:val="28"/>
        </w:rPr>
        <w:t>ОП Монтана и РП Монтана</w:t>
      </w:r>
      <w:r w:rsidRPr="00A42673">
        <w:rPr>
          <w:rFonts w:ascii="Times New Roman" w:eastAsia="Calibri" w:hAnsi="Times New Roman" w:cs="Times New Roman"/>
          <w:sz w:val="28"/>
          <w:szCs w:val="28"/>
        </w:rPr>
        <w:t xml:space="preserve"> по Закона за отнемане в полза на държавата на незаконно придобито имущество.</w:t>
      </w:r>
    </w:p>
    <w:p w14:paraId="4559299E" w14:textId="77777777" w:rsidR="00972837" w:rsidRPr="00A42673" w:rsidRDefault="00972837" w:rsidP="00972837">
      <w:pPr>
        <w:spacing w:after="0" w:line="240" w:lineRule="auto"/>
        <w:ind w:firstLine="708"/>
        <w:jc w:val="both"/>
        <w:rPr>
          <w:rFonts w:ascii="Times New Roman" w:eastAsia="Calibri" w:hAnsi="Times New Roman" w:cs="Times New Roman"/>
          <w:sz w:val="28"/>
          <w:szCs w:val="28"/>
        </w:rPr>
      </w:pPr>
      <w:r w:rsidRPr="00A42673">
        <w:rPr>
          <w:rFonts w:ascii="Times New Roman" w:eastAsia="Calibri" w:hAnsi="Times New Roman" w:cs="Times New Roman"/>
          <w:sz w:val="28"/>
          <w:szCs w:val="28"/>
        </w:rPr>
        <w:t>- анализ на предявените искове от прокурори по  СК, ГПК, ТЗ и други видове искове</w:t>
      </w:r>
    </w:p>
    <w:p w14:paraId="089E7BC0" w14:textId="77777777" w:rsidR="00972837" w:rsidRPr="00A42673" w:rsidRDefault="00972837" w:rsidP="00972837">
      <w:pPr>
        <w:spacing w:after="0" w:line="240" w:lineRule="auto"/>
        <w:ind w:firstLine="708"/>
        <w:jc w:val="both"/>
        <w:rPr>
          <w:rFonts w:ascii="Times New Roman" w:eastAsia="Calibri" w:hAnsi="Times New Roman" w:cs="Times New Roman"/>
          <w:sz w:val="28"/>
          <w:szCs w:val="28"/>
        </w:rPr>
      </w:pPr>
      <w:r w:rsidRPr="00A42673">
        <w:rPr>
          <w:rFonts w:ascii="Times New Roman" w:eastAsia="Calibri" w:hAnsi="Times New Roman" w:cs="Times New Roman"/>
          <w:sz w:val="28"/>
          <w:szCs w:val="28"/>
        </w:rPr>
        <w:t>-проверка и анализ на участието на прокурорите в граждански дела</w:t>
      </w:r>
    </w:p>
    <w:p w14:paraId="42FE3710" w14:textId="77777777" w:rsidR="00972837" w:rsidRPr="00A42673" w:rsidRDefault="00972837" w:rsidP="00972837">
      <w:pPr>
        <w:spacing w:after="0" w:line="240" w:lineRule="auto"/>
        <w:ind w:firstLine="708"/>
        <w:jc w:val="both"/>
        <w:rPr>
          <w:rFonts w:ascii="Times New Roman" w:eastAsia="Calibri" w:hAnsi="Times New Roman" w:cs="Times New Roman"/>
          <w:sz w:val="28"/>
          <w:szCs w:val="28"/>
        </w:rPr>
      </w:pPr>
      <w:r w:rsidRPr="00A42673">
        <w:rPr>
          <w:rFonts w:ascii="Times New Roman" w:eastAsia="Calibri" w:hAnsi="Times New Roman" w:cs="Times New Roman"/>
          <w:sz w:val="28"/>
          <w:szCs w:val="28"/>
        </w:rPr>
        <w:t>-проверка и анализ на участието на прокурори по въззивни граждански дела</w:t>
      </w:r>
    </w:p>
    <w:p w14:paraId="2D933123" w14:textId="77777777" w:rsidR="00972837" w:rsidRPr="00A42673" w:rsidRDefault="00972837" w:rsidP="00972837">
      <w:pPr>
        <w:spacing w:after="0" w:line="240" w:lineRule="auto"/>
        <w:ind w:firstLine="708"/>
        <w:jc w:val="both"/>
        <w:rPr>
          <w:rFonts w:ascii="Times New Roman" w:eastAsia="Calibri" w:hAnsi="Times New Roman" w:cs="Times New Roman"/>
          <w:sz w:val="28"/>
          <w:szCs w:val="28"/>
        </w:rPr>
      </w:pPr>
      <w:r w:rsidRPr="00A42673">
        <w:rPr>
          <w:rFonts w:ascii="Times New Roman" w:eastAsia="Calibri" w:hAnsi="Times New Roman" w:cs="Times New Roman"/>
          <w:sz w:val="28"/>
          <w:szCs w:val="28"/>
        </w:rPr>
        <w:t>- извършени са две проверка и анализ на дейността на прокурорите по изпълнение на наказанията и други принудителни мерки</w:t>
      </w:r>
    </w:p>
    <w:p w14:paraId="02D0DAC5" w14:textId="77777777" w:rsidR="00972837" w:rsidRPr="00A42673" w:rsidRDefault="00972837" w:rsidP="00972837">
      <w:pPr>
        <w:spacing w:after="0" w:line="240" w:lineRule="auto"/>
        <w:ind w:firstLine="708"/>
        <w:jc w:val="both"/>
        <w:rPr>
          <w:rFonts w:ascii="Times New Roman" w:eastAsia="Calibri" w:hAnsi="Times New Roman" w:cs="Times New Roman"/>
          <w:sz w:val="28"/>
          <w:szCs w:val="28"/>
        </w:rPr>
      </w:pPr>
      <w:r w:rsidRPr="00A42673">
        <w:rPr>
          <w:rFonts w:ascii="Times New Roman" w:eastAsia="Calibri" w:hAnsi="Times New Roman" w:cs="Times New Roman"/>
          <w:sz w:val="28"/>
          <w:szCs w:val="28"/>
        </w:rPr>
        <w:t>- извършени са две проверки в РП Монтана на прокурорската дейност по привеждане в изпълнение на влезлите в сила присъди</w:t>
      </w:r>
    </w:p>
    <w:p w14:paraId="21655CE2" w14:textId="77777777" w:rsidR="00972837" w:rsidRPr="00A42673" w:rsidRDefault="00972837" w:rsidP="00972837">
      <w:pPr>
        <w:spacing w:after="0" w:line="240" w:lineRule="auto"/>
        <w:ind w:firstLine="708"/>
        <w:jc w:val="both"/>
        <w:rPr>
          <w:rFonts w:ascii="Times New Roman" w:eastAsia="Calibri" w:hAnsi="Times New Roman" w:cs="Times New Roman"/>
          <w:sz w:val="28"/>
          <w:szCs w:val="28"/>
        </w:rPr>
      </w:pPr>
      <w:r w:rsidRPr="00A42673">
        <w:rPr>
          <w:rFonts w:ascii="Times New Roman" w:eastAsia="Calibri" w:hAnsi="Times New Roman" w:cs="Times New Roman"/>
          <w:sz w:val="28"/>
          <w:szCs w:val="28"/>
        </w:rPr>
        <w:t xml:space="preserve">- извършени са две тематични проверки в РП Монтана на случаите през 2021г. със задържани осъдени лица над срока на наложеното наказание лишаване от свобода </w:t>
      </w:r>
    </w:p>
    <w:p w14:paraId="48A90F1D" w14:textId="77777777" w:rsidR="00972837" w:rsidRPr="00A42673" w:rsidRDefault="00972837" w:rsidP="00972837">
      <w:pPr>
        <w:spacing w:after="0" w:line="240" w:lineRule="auto"/>
        <w:ind w:firstLine="708"/>
        <w:jc w:val="both"/>
        <w:rPr>
          <w:rFonts w:ascii="Times New Roman" w:eastAsia="Calibri" w:hAnsi="Times New Roman" w:cs="Times New Roman"/>
          <w:sz w:val="28"/>
          <w:szCs w:val="28"/>
        </w:rPr>
      </w:pPr>
      <w:r w:rsidRPr="00A42673">
        <w:rPr>
          <w:rFonts w:ascii="Times New Roman" w:eastAsia="Calibri" w:hAnsi="Times New Roman" w:cs="Times New Roman"/>
          <w:sz w:val="28"/>
          <w:szCs w:val="28"/>
        </w:rPr>
        <w:t>- извършени са две проверки за законосъобразността на прокурорските произнасяния в районната прокуратура за 2021г. по чл. 415 и чл. 417 от НПК.</w:t>
      </w:r>
    </w:p>
    <w:p w14:paraId="18B5A12E" w14:textId="77777777" w:rsidR="00972837" w:rsidRPr="00A42673" w:rsidRDefault="00972837" w:rsidP="00972837">
      <w:pPr>
        <w:spacing w:after="0" w:line="240" w:lineRule="auto"/>
        <w:ind w:firstLine="708"/>
        <w:jc w:val="both"/>
        <w:rPr>
          <w:rFonts w:ascii="Times New Roman" w:eastAsia="Calibri" w:hAnsi="Times New Roman" w:cs="Times New Roman"/>
          <w:sz w:val="28"/>
          <w:szCs w:val="28"/>
        </w:rPr>
      </w:pPr>
      <w:r w:rsidRPr="00A42673">
        <w:rPr>
          <w:rFonts w:ascii="Times New Roman" w:eastAsia="Calibri" w:hAnsi="Times New Roman" w:cs="Times New Roman"/>
          <w:sz w:val="28"/>
          <w:szCs w:val="28"/>
        </w:rPr>
        <w:t xml:space="preserve">- извършена е цялостна ревизия на дейността на районна прокуратура Монтана за 2021г. </w:t>
      </w:r>
    </w:p>
    <w:p w14:paraId="0AF52CCB" w14:textId="77777777" w:rsidR="00972837" w:rsidRPr="00A42673" w:rsidRDefault="00972837" w:rsidP="00972837">
      <w:pPr>
        <w:spacing w:after="0" w:line="240" w:lineRule="auto"/>
        <w:ind w:firstLine="708"/>
        <w:jc w:val="both"/>
        <w:rPr>
          <w:rFonts w:ascii="Times New Roman" w:eastAsia="Calibri" w:hAnsi="Times New Roman" w:cs="Times New Roman"/>
          <w:sz w:val="28"/>
          <w:szCs w:val="28"/>
        </w:rPr>
      </w:pPr>
      <w:r w:rsidRPr="00A42673">
        <w:rPr>
          <w:rFonts w:ascii="Times New Roman" w:eastAsia="Times New Roman" w:hAnsi="Times New Roman" w:cs="Times New Roman"/>
          <w:sz w:val="28"/>
          <w:szCs w:val="28"/>
        </w:rPr>
        <w:t>- извършене са две</w:t>
      </w:r>
      <w:r w:rsidRPr="00A42673">
        <w:rPr>
          <w:rFonts w:ascii="Times New Roman" w:eastAsia="Calibri" w:hAnsi="Times New Roman" w:cs="Times New Roman"/>
          <w:sz w:val="28"/>
          <w:szCs w:val="28"/>
        </w:rPr>
        <w:t xml:space="preserve"> проверки относно осъщетвяването мониторинг върху дейността на РП Монтана с ТО във връзка със създадената организация на работа в обединената прокуратура.</w:t>
      </w:r>
    </w:p>
    <w:p w14:paraId="7AC41B5E" w14:textId="77777777" w:rsidR="00972837" w:rsidRPr="00A42673" w:rsidRDefault="00972837" w:rsidP="00972837">
      <w:pPr>
        <w:spacing w:after="0" w:line="240" w:lineRule="auto"/>
        <w:ind w:firstLine="708"/>
        <w:jc w:val="both"/>
        <w:rPr>
          <w:rFonts w:ascii="Times New Roman" w:eastAsia="Times New Roman" w:hAnsi="Times New Roman" w:cs="Times New Roman"/>
          <w:sz w:val="28"/>
          <w:szCs w:val="28"/>
          <w:lang w:val="en-US"/>
        </w:rPr>
      </w:pPr>
      <w:r w:rsidRPr="00A42673">
        <w:rPr>
          <w:rFonts w:ascii="Times New Roman" w:eastAsia="Times New Roman" w:hAnsi="Times New Roman" w:cs="Times New Roman"/>
          <w:sz w:val="28"/>
          <w:szCs w:val="28"/>
        </w:rPr>
        <w:t>- извършени са две проверки за спазване на принципа за лучайно разпределение на делата и преписките в Модула за случайно разпрделение в УИС- 2 за второто шестмесечие на 2020г. и първо шестмесечие на 2021г.</w:t>
      </w:r>
    </w:p>
    <w:p w14:paraId="741EEC45" w14:textId="77777777" w:rsidR="0028082A" w:rsidRPr="0028082A" w:rsidRDefault="0028082A" w:rsidP="00AC0995">
      <w:pPr>
        <w:spacing w:after="0" w:line="240" w:lineRule="auto"/>
        <w:ind w:firstLine="851"/>
        <w:jc w:val="both"/>
        <w:rPr>
          <w:rFonts w:ascii="Times New Roman" w:hAnsi="Times New Roman"/>
          <w:sz w:val="28"/>
          <w:szCs w:val="28"/>
          <w:lang w:val="en-US"/>
        </w:rPr>
      </w:pPr>
    </w:p>
    <w:p w14:paraId="772B27C9" w14:textId="77777777" w:rsidR="00972837" w:rsidRPr="00972837" w:rsidRDefault="00972837" w:rsidP="00972837">
      <w:pPr>
        <w:ind w:firstLine="708"/>
        <w:rPr>
          <w:rFonts w:ascii="Times New Roman" w:eastAsia="Calibri" w:hAnsi="Times New Roman" w:cs="Times New Roman"/>
          <w:b/>
          <w:i/>
          <w:sz w:val="28"/>
          <w:szCs w:val="28"/>
        </w:rPr>
      </w:pPr>
      <w:r w:rsidRPr="00972837">
        <w:rPr>
          <w:rFonts w:ascii="Times New Roman" w:eastAsia="Calibri" w:hAnsi="Times New Roman" w:cs="Times New Roman"/>
          <w:b/>
          <w:i/>
          <w:sz w:val="28"/>
          <w:szCs w:val="28"/>
        </w:rPr>
        <w:t>4.2. Инспекторски проверки на прокуратурите.</w:t>
      </w:r>
    </w:p>
    <w:p w14:paraId="4DA24D85" w14:textId="77777777" w:rsidR="00972837" w:rsidRPr="00972837" w:rsidRDefault="00972837" w:rsidP="00972837">
      <w:pPr>
        <w:spacing w:after="0" w:line="240" w:lineRule="auto"/>
        <w:ind w:firstLine="708"/>
        <w:jc w:val="both"/>
        <w:rPr>
          <w:rFonts w:ascii="Times New Roman" w:eastAsia="Times New Roman" w:hAnsi="Times New Roman" w:cs="Times New Roman"/>
          <w:sz w:val="28"/>
          <w:szCs w:val="28"/>
        </w:rPr>
      </w:pPr>
      <w:r w:rsidRPr="00972837">
        <w:rPr>
          <w:rFonts w:ascii="Times New Roman" w:eastAsia="Calibri" w:hAnsi="Times New Roman" w:cs="Times New Roman"/>
          <w:sz w:val="28"/>
          <w:szCs w:val="28"/>
        </w:rPr>
        <w:t>През 2022 г. в ОП – Монтана е извършена 1 бр. тематична ревизия на работата на административния ръководител на ОП Монтана от отдел 06 „Административен“ при ВКП на осн. чл. 138, ал. 1, т. 7 от ЗСВ и Заповед  № РД-04-333 от 18.10.2022 г. на главния прокурор на Република България.</w:t>
      </w:r>
      <w:r w:rsidRPr="00972837">
        <w:rPr>
          <w:rFonts w:ascii="Times New Roman" w:eastAsia="Times New Roman" w:hAnsi="Times New Roman" w:cs="Times New Roman"/>
          <w:sz w:val="28"/>
          <w:szCs w:val="28"/>
        </w:rPr>
        <w:t xml:space="preserve"> </w:t>
      </w:r>
    </w:p>
    <w:p w14:paraId="6684B8C3" w14:textId="77777777" w:rsidR="00972837" w:rsidRPr="00972837" w:rsidRDefault="00972837" w:rsidP="00972837">
      <w:pPr>
        <w:spacing w:after="0" w:line="240" w:lineRule="auto"/>
        <w:ind w:firstLine="708"/>
        <w:jc w:val="both"/>
        <w:rPr>
          <w:rFonts w:ascii="Times New Roman" w:eastAsia="Times New Roman" w:hAnsi="Times New Roman" w:cs="Times New Roman"/>
          <w:sz w:val="28"/>
          <w:szCs w:val="28"/>
        </w:rPr>
      </w:pPr>
      <w:r w:rsidRPr="00972837">
        <w:rPr>
          <w:rFonts w:ascii="Times New Roman" w:eastAsia="Times New Roman" w:hAnsi="Times New Roman" w:cs="Times New Roman"/>
          <w:sz w:val="28"/>
          <w:szCs w:val="28"/>
        </w:rPr>
        <w:t>В ОП – Монтана  не са извършвани проверки от отдел „Инспекторат“ при ВСС.</w:t>
      </w:r>
    </w:p>
    <w:p w14:paraId="0CB0FBB1" w14:textId="77777777" w:rsidR="00972837" w:rsidRPr="00972837" w:rsidRDefault="00972837" w:rsidP="00972837">
      <w:pPr>
        <w:spacing w:after="0" w:line="240" w:lineRule="auto"/>
        <w:ind w:firstLine="708"/>
        <w:jc w:val="both"/>
        <w:rPr>
          <w:rFonts w:ascii="Times New Roman" w:eastAsia="Times New Roman" w:hAnsi="Times New Roman" w:cs="Times New Roman"/>
          <w:sz w:val="28"/>
          <w:szCs w:val="28"/>
        </w:rPr>
      </w:pPr>
      <w:r w:rsidRPr="00972837">
        <w:rPr>
          <w:rFonts w:ascii="Times New Roman" w:eastAsia="Times New Roman" w:hAnsi="Times New Roman" w:cs="Times New Roman"/>
          <w:sz w:val="28"/>
          <w:szCs w:val="28"/>
        </w:rPr>
        <w:t xml:space="preserve">В РП – Монтана  не са извършвани проверки от Инспектората на ВСС и отдел </w:t>
      </w:r>
      <w:r w:rsidRPr="00972837">
        <w:rPr>
          <w:rFonts w:ascii="Times New Roman" w:eastAsia="Calibri" w:hAnsi="Times New Roman" w:cs="Times New Roman"/>
          <w:sz w:val="28"/>
          <w:szCs w:val="28"/>
        </w:rPr>
        <w:t>06 „Административен“ при ВКП</w:t>
      </w:r>
      <w:r w:rsidRPr="00972837">
        <w:rPr>
          <w:rFonts w:ascii="Times New Roman" w:eastAsia="Times New Roman" w:hAnsi="Times New Roman" w:cs="Times New Roman"/>
          <w:sz w:val="28"/>
          <w:szCs w:val="28"/>
        </w:rPr>
        <w:t>.</w:t>
      </w:r>
    </w:p>
    <w:p w14:paraId="7CB46986" w14:textId="77777777" w:rsidR="00972837" w:rsidRPr="00972837" w:rsidRDefault="00972837" w:rsidP="00972837">
      <w:pPr>
        <w:spacing w:after="0" w:line="240" w:lineRule="auto"/>
        <w:ind w:firstLine="708"/>
        <w:jc w:val="both"/>
        <w:rPr>
          <w:rFonts w:ascii="Times New Roman" w:eastAsia="Times New Roman" w:hAnsi="Times New Roman" w:cs="Times New Roman"/>
          <w:sz w:val="28"/>
          <w:szCs w:val="28"/>
        </w:rPr>
      </w:pPr>
      <w:r w:rsidRPr="00972837">
        <w:rPr>
          <w:rFonts w:ascii="Times New Roman" w:eastAsia="Times New Roman" w:hAnsi="Times New Roman" w:cs="Times New Roman"/>
          <w:sz w:val="28"/>
          <w:szCs w:val="28"/>
        </w:rPr>
        <w:t>Със заповед на административния ръководител на ОП Монтана са възложени проверки по 2 бр. преписки във връзка с подадени сигнали срещу двама прокурори от състава на РП – Монтана. В хода на двете проверки не са установени закононарушения и преписките са прекратени.</w:t>
      </w:r>
    </w:p>
    <w:p w14:paraId="245FC918" w14:textId="77777777" w:rsidR="00AC0995" w:rsidRDefault="00AC0995" w:rsidP="00ED19C5">
      <w:pPr>
        <w:spacing w:after="0" w:line="240" w:lineRule="auto"/>
        <w:ind w:firstLine="708"/>
        <w:jc w:val="both"/>
        <w:rPr>
          <w:rFonts w:ascii="Times New Roman" w:eastAsia="Times New Roman" w:hAnsi="Times New Roman"/>
          <w:sz w:val="28"/>
          <w:szCs w:val="28"/>
        </w:rPr>
      </w:pPr>
    </w:p>
    <w:p w14:paraId="7BCEA2AB" w14:textId="77777777" w:rsidR="00972837" w:rsidRPr="00A42673" w:rsidRDefault="00972837" w:rsidP="00972837">
      <w:pPr>
        <w:ind w:firstLine="708"/>
        <w:rPr>
          <w:rFonts w:ascii="Times New Roman" w:eastAsia="Calibri" w:hAnsi="Times New Roman" w:cs="Times New Roman"/>
          <w:b/>
          <w:i/>
          <w:sz w:val="28"/>
          <w:szCs w:val="28"/>
        </w:rPr>
      </w:pPr>
      <w:r w:rsidRPr="00A42673">
        <w:rPr>
          <w:rFonts w:ascii="Times New Roman" w:eastAsia="Calibri" w:hAnsi="Times New Roman" w:cs="Times New Roman"/>
          <w:b/>
          <w:i/>
          <w:sz w:val="28"/>
          <w:szCs w:val="28"/>
        </w:rPr>
        <w:t>4.3. Проверки и ревизии от горестоящи прокуратури:</w:t>
      </w:r>
    </w:p>
    <w:p w14:paraId="41438364" w14:textId="77777777" w:rsidR="00972837" w:rsidRPr="00A42673" w:rsidRDefault="00972837" w:rsidP="00972837">
      <w:pPr>
        <w:spacing w:after="0" w:line="240" w:lineRule="auto"/>
        <w:ind w:firstLine="709"/>
        <w:jc w:val="both"/>
        <w:rPr>
          <w:rFonts w:ascii="Times New Roman" w:eastAsia="Times New Roman" w:hAnsi="Times New Roman" w:cs="Times New Roman"/>
          <w:sz w:val="28"/>
          <w:szCs w:val="28"/>
          <w:u w:val="single"/>
          <w:lang w:eastAsia="bg-BG"/>
        </w:rPr>
      </w:pPr>
      <w:r w:rsidRPr="00A42673">
        <w:rPr>
          <w:rFonts w:ascii="Times New Roman" w:eastAsia="Times New Roman" w:hAnsi="Times New Roman" w:cs="Times New Roman"/>
          <w:sz w:val="28"/>
          <w:szCs w:val="28"/>
          <w:u w:val="single"/>
          <w:lang w:eastAsia="bg-BG"/>
        </w:rPr>
        <w:lastRenderedPageBreak/>
        <w:t>Проверки на ОП Монтана от Апелативна прокуратура София:</w:t>
      </w:r>
    </w:p>
    <w:p w14:paraId="5614642D" w14:textId="77777777" w:rsidR="00972837" w:rsidRPr="00A42673" w:rsidRDefault="00972837" w:rsidP="00972837">
      <w:pPr>
        <w:spacing w:after="0" w:line="240" w:lineRule="auto"/>
        <w:ind w:firstLine="708"/>
        <w:jc w:val="both"/>
        <w:rPr>
          <w:rFonts w:ascii="Times New Roman" w:eastAsia="Times New Roman" w:hAnsi="Times New Roman" w:cs="Times New Roman"/>
          <w:sz w:val="28"/>
          <w:szCs w:val="28"/>
        </w:rPr>
      </w:pPr>
    </w:p>
    <w:p w14:paraId="6C885D1B" w14:textId="77777777" w:rsidR="00972837" w:rsidRDefault="00972837" w:rsidP="00972837">
      <w:pPr>
        <w:keepNext/>
        <w:shd w:val="clear" w:color="auto" w:fill="FFFFFF"/>
        <w:tabs>
          <w:tab w:val="left" w:pos="763"/>
        </w:tabs>
        <w:autoSpaceDE w:val="0"/>
        <w:autoSpaceDN w:val="0"/>
        <w:adjustRightInd w:val="0"/>
        <w:spacing w:after="0" w:line="240" w:lineRule="auto"/>
        <w:ind w:firstLine="720"/>
        <w:jc w:val="both"/>
        <w:outlineLvl w:val="1"/>
        <w:rPr>
          <w:rFonts w:ascii="Times New Roman" w:hAnsi="Times New Roman" w:cs="Arial"/>
          <w:b/>
          <w:iCs/>
          <w:sz w:val="28"/>
          <w:u w:val="single"/>
          <w:lang w:eastAsia="bg-BG"/>
        </w:rPr>
      </w:pPr>
      <w:bookmarkStart w:id="123" w:name="_Toc127285432"/>
      <w:bookmarkStart w:id="124" w:name="_Toc127370313"/>
      <w:r w:rsidRPr="00A42673">
        <w:rPr>
          <w:rFonts w:ascii="Times New Roman" w:eastAsia="Times New Roman" w:hAnsi="Times New Roman" w:cs="Times New Roman"/>
          <w:sz w:val="28"/>
          <w:szCs w:val="28"/>
        </w:rPr>
        <w:t>През 2022 година е извършена периодична тематична проверка в изпълнение на указанието в т.2.2 от Заповед № РД-04-22/21.01.2020г. на главния прокурор на РБългария, изменена със Заповед № РД-04-70/16.03.2022г. на същия по изпълнение на Инструкцията за поддръжка и използване на електронния регистър на лица с неприключени наказателни производства от 2010г. на главния прокурор на РБългария и на Споразумение между ПРБ и МВР за взаимодействие при разследване на две и повече досъдебни производства срещу един и същ обвиняем. С доклада на АП София са запознати всички прокурори в ОП Монтана. Изпълнени са дадените препоръки, за което е уведомена ап София.</w:t>
      </w:r>
      <w:bookmarkEnd w:id="123"/>
      <w:bookmarkEnd w:id="124"/>
    </w:p>
    <w:p w14:paraId="3CBB3D1E" w14:textId="77777777" w:rsidR="00972837" w:rsidRDefault="00972837" w:rsidP="00972837">
      <w:pPr>
        <w:keepNext/>
        <w:shd w:val="clear" w:color="auto" w:fill="FFFFFF"/>
        <w:tabs>
          <w:tab w:val="left" w:pos="763"/>
        </w:tabs>
        <w:autoSpaceDE w:val="0"/>
        <w:autoSpaceDN w:val="0"/>
        <w:adjustRightInd w:val="0"/>
        <w:spacing w:after="0" w:line="240" w:lineRule="auto"/>
        <w:ind w:firstLine="720"/>
        <w:jc w:val="both"/>
        <w:outlineLvl w:val="1"/>
        <w:rPr>
          <w:rFonts w:ascii="Times New Roman" w:hAnsi="Times New Roman" w:cs="Arial"/>
          <w:b/>
          <w:iCs/>
          <w:sz w:val="28"/>
          <w:u w:val="single"/>
          <w:lang w:eastAsia="bg-BG"/>
        </w:rPr>
      </w:pPr>
    </w:p>
    <w:p w14:paraId="48495BE4" w14:textId="77777777" w:rsidR="00972837" w:rsidRPr="00972837" w:rsidRDefault="00972837" w:rsidP="00972837">
      <w:pPr>
        <w:keepNext/>
        <w:shd w:val="clear" w:color="auto" w:fill="FFFFFF"/>
        <w:tabs>
          <w:tab w:val="left" w:pos="763"/>
        </w:tabs>
        <w:autoSpaceDE w:val="0"/>
        <w:autoSpaceDN w:val="0"/>
        <w:adjustRightInd w:val="0"/>
        <w:spacing w:after="0" w:line="240" w:lineRule="auto"/>
        <w:ind w:firstLine="720"/>
        <w:jc w:val="both"/>
        <w:outlineLvl w:val="1"/>
        <w:rPr>
          <w:rFonts w:ascii="Times New Roman" w:eastAsia="Calibri" w:hAnsi="Times New Roman" w:cs="Arial"/>
          <w:b/>
          <w:iCs/>
          <w:sz w:val="28"/>
          <w:u w:val="single"/>
          <w:lang w:eastAsia="bg-BG"/>
        </w:rPr>
      </w:pPr>
      <w:bookmarkStart w:id="125" w:name="_Toc63940912"/>
      <w:bookmarkStart w:id="126" w:name="_Toc127370314"/>
      <w:r w:rsidRPr="00972837">
        <w:rPr>
          <w:rFonts w:ascii="Times New Roman" w:eastAsia="Calibri" w:hAnsi="Times New Roman" w:cs="Arial"/>
          <w:b/>
          <w:iCs/>
          <w:sz w:val="28"/>
          <w:u w:val="single"/>
          <w:lang w:eastAsia="bg-BG"/>
        </w:rPr>
        <w:t>5. Дисциплинарни наказания и поощрения на магистрати:</w:t>
      </w:r>
      <w:bookmarkEnd w:id="125"/>
      <w:bookmarkEnd w:id="126"/>
    </w:p>
    <w:p w14:paraId="41572294" w14:textId="77777777" w:rsidR="00972837" w:rsidRPr="00972837" w:rsidRDefault="00972837" w:rsidP="00972837">
      <w:pPr>
        <w:widowControl w:val="0"/>
        <w:tabs>
          <w:tab w:val="left" w:pos="826"/>
        </w:tabs>
        <w:autoSpaceDE w:val="0"/>
        <w:autoSpaceDN w:val="0"/>
        <w:adjustRightInd w:val="0"/>
        <w:spacing w:after="0" w:line="240" w:lineRule="auto"/>
        <w:ind w:firstLine="709"/>
        <w:jc w:val="both"/>
        <w:rPr>
          <w:rFonts w:ascii="Times New Roman" w:eastAsia="Calibri" w:hAnsi="Times New Roman" w:cs="Times New Roman"/>
          <w:color w:val="000000"/>
          <w:sz w:val="28"/>
          <w:lang w:eastAsia="bg-BG"/>
        </w:rPr>
      </w:pPr>
      <w:r w:rsidRPr="00972837">
        <w:rPr>
          <w:rFonts w:ascii="Times New Roman" w:eastAsia="Calibri" w:hAnsi="Times New Roman" w:cs="Times New Roman"/>
          <w:color w:val="000000"/>
          <w:sz w:val="28"/>
          <w:lang w:eastAsia="bg-BG"/>
        </w:rPr>
        <w:t xml:space="preserve">През отчетния период в ОП Монтана са образувани 3 бр. дисциплинарни производства – 1 бр. срещу магистрат от ОП Монтана и 2 бр. срещу магистрати от РП Монтана, по 1 бр. производство е обърнато внимание на магистрат по реда на чл. 237, ал. 1 от ЗСВ. В РП – Монтана са образувани общо 5 дисциплинарни проверки, по които е наложена наказание „забележка“ на един служител и е обърнато внимание на един магистрат по реда на чл. 237, ал. 1 от ЗСВ.  </w:t>
      </w:r>
    </w:p>
    <w:p w14:paraId="46D65F0F" w14:textId="77777777" w:rsidR="00972837" w:rsidRPr="00972837" w:rsidRDefault="00972837" w:rsidP="00972837">
      <w:pPr>
        <w:spacing w:after="0" w:line="240" w:lineRule="auto"/>
        <w:ind w:firstLine="567"/>
        <w:jc w:val="both"/>
        <w:rPr>
          <w:rFonts w:ascii="Times New Roman" w:eastAsia="Calibri" w:hAnsi="Times New Roman" w:cs="Times New Roman"/>
          <w:sz w:val="28"/>
          <w:szCs w:val="28"/>
        </w:rPr>
      </w:pPr>
      <w:r w:rsidRPr="00972837">
        <w:rPr>
          <w:rFonts w:ascii="Times New Roman" w:eastAsia="Arial Unicode MS" w:hAnsi="Times New Roman" w:cs="Times New Roman"/>
          <w:sz w:val="28"/>
          <w:szCs w:val="28"/>
        </w:rPr>
        <w:t>През предходната 2021 г.</w:t>
      </w:r>
      <w:r w:rsidRPr="00972837">
        <w:rPr>
          <w:rFonts w:ascii="Times New Roman" w:eastAsia="Calibri" w:hAnsi="Times New Roman" w:cs="Times New Roman"/>
          <w:sz w:val="28"/>
          <w:szCs w:val="28"/>
        </w:rPr>
        <w:t xml:space="preserve"> в ОП Монтана </w:t>
      </w:r>
      <w:r w:rsidRPr="00972837">
        <w:rPr>
          <w:rFonts w:ascii="Times New Roman" w:eastAsia="Calibri" w:hAnsi="Times New Roman" w:cs="Times New Roman"/>
          <w:color w:val="000000"/>
          <w:sz w:val="28"/>
          <w:lang w:eastAsia="bg-BG"/>
        </w:rPr>
        <w:t>не са образувани дисциплинарни производства срещу магистрати. В</w:t>
      </w:r>
      <w:r w:rsidRPr="00972837">
        <w:rPr>
          <w:rFonts w:ascii="Times New Roman" w:eastAsia="Calibri" w:hAnsi="Times New Roman" w:cs="Times New Roman"/>
          <w:sz w:val="28"/>
          <w:szCs w:val="28"/>
        </w:rPr>
        <w:t xml:space="preserve"> РП – Монтана през 2021 г. са образувани дисциплинарни производства спрямо един магистрат и са наложени две дисциплинарни наказания. </w:t>
      </w:r>
      <w:r w:rsidRPr="00972837">
        <w:rPr>
          <w:rFonts w:ascii="Times New Roman" w:eastAsia="Times New Roman" w:hAnsi="Times New Roman" w:cs="Times New Roman"/>
          <w:sz w:val="28"/>
          <w:szCs w:val="28"/>
        </w:rPr>
        <w:t xml:space="preserve">През 2020 г. не са налагани дисциплинарни наказания на служители от прокуратурите в региона. </w:t>
      </w:r>
    </w:p>
    <w:p w14:paraId="4FB38D8D" w14:textId="77777777" w:rsidR="00744A1A" w:rsidRPr="00A60677" w:rsidRDefault="00744A1A" w:rsidP="00744A1A">
      <w:pPr>
        <w:widowControl w:val="0"/>
        <w:shd w:val="clear" w:color="auto" w:fill="FFFFFF"/>
        <w:tabs>
          <w:tab w:val="left" w:pos="826"/>
        </w:tabs>
        <w:autoSpaceDE w:val="0"/>
        <w:autoSpaceDN w:val="0"/>
        <w:adjustRightInd w:val="0"/>
        <w:spacing w:after="0" w:line="240" w:lineRule="auto"/>
        <w:ind w:firstLine="709"/>
        <w:jc w:val="both"/>
        <w:rPr>
          <w:rFonts w:ascii="Times New Roman" w:eastAsia="Calibri" w:hAnsi="Times New Roman"/>
          <w:color w:val="000000"/>
          <w:sz w:val="28"/>
          <w:lang w:eastAsia="bg-BG"/>
        </w:rPr>
      </w:pPr>
    </w:p>
    <w:p w14:paraId="060CF975" w14:textId="77777777" w:rsidR="00F65234" w:rsidRPr="00F65234" w:rsidRDefault="00F65234" w:rsidP="00F65234">
      <w:pPr>
        <w:keepNext/>
        <w:shd w:val="clear" w:color="auto" w:fill="FFFFFF"/>
        <w:tabs>
          <w:tab w:val="left" w:pos="763"/>
        </w:tabs>
        <w:autoSpaceDE w:val="0"/>
        <w:autoSpaceDN w:val="0"/>
        <w:adjustRightInd w:val="0"/>
        <w:spacing w:after="0" w:line="240" w:lineRule="auto"/>
        <w:ind w:firstLine="720"/>
        <w:jc w:val="both"/>
        <w:outlineLvl w:val="1"/>
        <w:rPr>
          <w:rFonts w:ascii="Times New Roman" w:eastAsia="Calibri" w:hAnsi="Times New Roman" w:cs="Arial"/>
          <w:b/>
          <w:iCs/>
          <w:sz w:val="28"/>
          <w:u w:val="single"/>
          <w:lang w:eastAsia="bg-BG"/>
        </w:rPr>
      </w:pPr>
      <w:bookmarkStart w:id="127" w:name="_Toc127370315"/>
      <w:r w:rsidRPr="00F65234">
        <w:rPr>
          <w:rFonts w:ascii="Times New Roman" w:eastAsia="Calibri" w:hAnsi="Times New Roman" w:cs="Arial"/>
          <w:b/>
          <w:iCs/>
          <w:sz w:val="28"/>
          <w:u w:val="single"/>
          <w:lang w:eastAsia="bg-BG"/>
        </w:rPr>
        <w:t>6. Материално-техническо и информационно осигуряване на дейността на магистратите.</w:t>
      </w:r>
      <w:bookmarkEnd w:id="127"/>
    </w:p>
    <w:p w14:paraId="3ACABBB2"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Сградният фонд на прокуратурите от района на Окръжна прокуратура гр. Монтана е осигурен, като ОП Монтана и ТО- Лом към РП Монтана се помещават в Съдебните палати по местонахождение.</w:t>
      </w:r>
    </w:p>
    <w:p w14:paraId="0E8F6C5D"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 xml:space="preserve">Следователите в ОСлО на ОП – Монтана и Районна прокуратура гр. Монтана са настанени в сграда на РУ МВР - Монтана на 2-ри, 3-ти и 4-ти етаж в сградата. </w:t>
      </w:r>
    </w:p>
    <w:p w14:paraId="2F3CF750"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 xml:space="preserve">През 2020 </w:t>
      </w:r>
      <w:r w:rsidRPr="00F65234">
        <w:rPr>
          <w:rFonts w:ascii="Times New Roman" w:eastAsia="Times New Roman" w:hAnsi="Times New Roman" w:cs="Times New Roman"/>
          <w:sz w:val="28"/>
          <w:szCs w:val="28"/>
          <w:lang w:eastAsia="bg-BG"/>
        </w:rPr>
        <w:t>съгласно Решение № 574/14.08.2020 г. на Министерски съвет, с което поради отпаднала нужда правото на управлението върху 3- ти етаж в сградата, същия е предоставен за безвъзмездно управление на Висшия съдебен съвет, който съгласно решение по т. 37.2 от протокол № 25/27.08.2020 г. разпределя ползването и стопанисването на имота на Окръжна прокуратура гр. Монтана за нуждите на Районна прокуратура гр. Монтана</w:t>
      </w:r>
      <w:r w:rsidRPr="00F65234">
        <w:rPr>
          <w:rFonts w:ascii="Times New Roman" w:eastAsia="Calibri" w:hAnsi="Times New Roman" w:cs="Times New Roman"/>
          <w:sz w:val="28"/>
          <w:szCs w:val="28"/>
          <w:lang w:eastAsia="bg-BG"/>
        </w:rPr>
        <w:t xml:space="preserve">. </w:t>
      </w:r>
    </w:p>
    <w:p w14:paraId="50E8957F"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 xml:space="preserve">През месец октомври 2022 г. след проведена обществена поръчка, в резултат от която бе избран изпълнител стартираха строителни дейности по  извършване на  преустройството в помещенията </w:t>
      </w:r>
      <w:r w:rsidRPr="00F65234">
        <w:rPr>
          <w:rFonts w:ascii="Times New Roman" w:eastAsia="Times New Roman" w:hAnsi="Times New Roman" w:cs="Times New Roman"/>
          <w:sz w:val="28"/>
          <w:szCs w:val="28"/>
          <w:lang w:eastAsia="bg-BG"/>
        </w:rPr>
        <w:t>на 3-ти етаж в сградата</w:t>
      </w:r>
      <w:r w:rsidRPr="00F65234">
        <w:rPr>
          <w:rFonts w:ascii="Times New Roman" w:eastAsia="Calibri" w:hAnsi="Times New Roman" w:cs="Times New Roman"/>
          <w:sz w:val="28"/>
          <w:szCs w:val="28"/>
          <w:lang w:eastAsia="bg-BG"/>
        </w:rPr>
        <w:t xml:space="preserve"> на РУ МВР – Монтана от арестни помещения и обособяването на работни </w:t>
      </w:r>
      <w:r w:rsidRPr="00F65234">
        <w:rPr>
          <w:rFonts w:ascii="Times New Roman" w:eastAsia="Calibri" w:hAnsi="Times New Roman" w:cs="Times New Roman"/>
          <w:sz w:val="28"/>
          <w:szCs w:val="28"/>
          <w:lang w:eastAsia="bg-BG"/>
        </w:rPr>
        <w:lastRenderedPageBreak/>
        <w:t>помещения за нуждите на РП - Монтана, които ще приключат през месец 04.2023 г..</w:t>
      </w:r>
    </w:p>
    <w:p w14:paraId="05BC1663"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ТО-Берковица към РП Монтана е настанено в кабинети на част от етаж, предоставен от Областен управител на Област Монтана на Министерство на правосъдието, впоследствие на Висш съдебен съвет.</w:t>
      </w:r>
    </w:p>
    <w:p w14:paraId="1BB38100"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 xml:space="preserve">Материалната база на магистратите и съдебните служители в ОП – Монтана след предприетите ремонти през предходните години, както и извършеното подновяване на офис обзавеждането през 2018 г., 2019 г., 2021 г. и 2022 г. в кабинетите на Окръжна прокуратура и Районна прокуратура гр. Монтана, както и подмяната на осветителните тела с </w:t>
      </w:r>
      <w:r w:rsidRPr="00F65234">
        <w:rPr>
          <w:rFonts w:ascii="Times New Roman" w:eastAsia="Calibri" w:hAnsi="Times New Roman" w:cs="Times New Roman"/>
          <w:sz w:val="28"/>
          <w:szCs w:val="28"/>
          <w:lang w:val="en-US" w:eastAsia="bg-BG"/>
        </w:rPr>
        <w:t xml:space="preserve">LED </w:t>
      </w:r>
      <w:r w:rsidRPr="00F65234">
        <w:rPr>
          <w:rFonts w:ascii="Times New Roman" w:eastAsia="Calibri" w:hAnsi="Times New Roman" w:cs="Times New Roman"/>
          <w:sz w:val="28"/>
          <w:szCs w:val="28"/>
          <w:lang w:eastAsia="bg-BG"/>
        </w:rPr>
        <w:t xml:space="preserve">осветление през 2022 г.,  е обезпечило нормалното протичане на работния процес. </w:t>
      </w:r>
    </w:p>
    <w:p w14:paraId="506896D8"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Подменена е през 2020 г., 2021г. и 2022 г. остаряла климатична техника в сградите ползвани от Окръжна прокуратура гр. Монтана и Районна прокуратура гр. Монтана, заедно с териториалните отделения в гр. Монтана, гр. Лом и гр. Берковица. Подменените са монтирани в периода 2004 г. до 2008 година, като голяма част от тях започнаха да дават  дефекти, не се поддържат резервни части поради годината на производството им. Морално остарели са. Работят с фреон  R410 и R22, който от 2020 е забранен за използване и допълване съгласно Регламент ЕС № 517/2014 година.</w:t>
      </w:r>
    </w:p>
    <w:p w14:paraId="576FBF00"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 xml:space="preserve">Функционира единна телефонна мрежа за окръжна и районна прокуратура, обособена в IP телефонна централа. </w:t>
      </w:r>
    </w:p>
    <w:p w14:paraId="74FF375E"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Осигурена е свързаност с Окръжен и Районен съд – Монтана, както и с ОД на МВР гр. Монтана, осъществявана чрез интернет, което намалява и разходите за телефонните услуги.</w:t>
      </w:r>
    </w:p>
    <w:p w14:paraId="7DFBFF37"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Осигурена е необходимата площ за работните места на магистратите и съдебните служители.</w:t>
      </w:r>
    </w:p>
    <w:p w14:paraId="477ADABD"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Подменяно е при необходимост и след централизирана доставка оборудването с компютърна техника. Периферните устройства са подменяни периодично.</w:t>
      </w:r>
    </w:p>
    <w:p w14:paraId="4F2664F1"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 xml:space="preserve">Финансово - стопанската дейност на Окръжна прокуратура гр. Монтана е свързана непосредствено с бюджета на съдебната власт. Окръжна прокуратура - Монтана е третостепенен разпоредител с бюджетни кредити. В тази връзка съдебният администратор и главния счетоводител при Окръжна прокуратура - Монтана, под прякото ръководство на окръжния прокурор организират и отговарят на основата на нормативните актове за финансовата дейност  и подпомагат Окръжния прокурор при изпълнението на бюджета. </w:t>
      </w:r>
    </w:p>
    <w:p w14:paraId="0EFB5B0E"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Информацията от счетоводните документи за извършените бюджетни операции и тяхното отражение върху финансовото състояние на Прокуратурата се записва в счетоводни регистри под формата на двустранно счетоводно записване с компютърна обработка на информацията и формирането на постоянен информационен архив и в съответствие с утвърдената “Счетоводна политика на Прокуратура на Република България“ .</w:t>
      </w:r>
    </w:p>
    <w:p w14:paraId="5BE0D1F8"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С формата на счетоводство се осигурява аналитично и синтетично счетоводно отчитане отразено в счетоводни програми Бизнес процесор WEP “Конто 66“.</w:t>
      </w:r>
    </w:p>
    <w:p w14:paraId="5AE40589"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lastRenderedPageBreak/>
        <w:t xml:space="preserve">Основен източник на приходи за осъществяване на дейността на Окръжна прокуратура Монтана са вътрешните трансфери с второстепенния разпоредител с бюджетни кредити в системата на СЕБРА, а именно Прокуратура на РБ. </w:t>
      </w:r>
    </w:p>
    <w:p w14:paraId="78B54EEE"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През 2022 г. Окръжна прокуратура - Монтана е работила по утвърден и актуализиран  бюджет съобразен с ЕБК и в рамките на ЗДБ за 2022 г.</w:t>
      </w:r>
    </w:p>
    <w:p w14:paraId="5EA1EB75"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Утвърдените средства към 31.12.2022 г. са в размер на 2 937 331.00 лв.,  в т.ч. включващи и общо осигурителни вноски  в размер на 391 397.00  лв., които са за сметка на бюджета на съдебната власт и се изплащат централизирано.</w:t>
      </w:r>
    </w:p>
    <w:p w14:paraId="04D2D008"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През годината разходите са извършвани по необходимост и съобразно отпуснатия месечен лимит, като за целта са изготвяни и представяни месечни отчети в Дирекция “Бюджет и счетоводни дейности“ при Администрация на Главен прокурор.</w:t>
      </w:r>
    </w:p>
    <w:p w14:paraId="2683854B"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 xml:space="preserve">В Окръжна прокуратура редовно са изплащани възнагражденията на персонала, който информационен масив се обработва посредством софтуерен продукт “RZ Win и LS Win“.  </w:t>
      </w:r>
    </w:p>
    <w:p w14:paraId="1E9D658A"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В срок са представяни необходимите справки и отчети, като се спазват указанията получавани от Дирекция “Финансова дейност“.</w:t>
      </w:r>
    </w:p>
    <w:p w14:paraId="174D2A10"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Финансово – счетоводната дейност на Окръжна прокуратура гр. Монтана е организирана в съответствие с разпоредбите на Закона за държавния бюджет на РБ за 2022 г., Закона за счетоводството, Счетоводната политика на Прокуратура на РБ, Указания от МФ Дирекция “ Държавно съкровище ”, както и в съответствие с Решенията на ВСС.</w:t>
      </w:r>
    </w:p>
    <w:p w14:paraId="065373DE"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 xml:space="preserve">Спазва се разработена и утвърдена “Система за вътрешен финансов контрол“. </w:t>
      </w:r>
    </w:p>
    <w:p w14:paraId="4A90CD23"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Окръжна прокуратура гр. Монтана се обслужва от банка “ЮРОБАНК И ЕФ ДЖИ БЪЛГАРИЯ“ АД - клон Монтана и ТБ „ОББ“ АД, клон Монтана, като взаимоотношенията и съвместната работа са добри.</w:t>
      </w:r>
    </w:p>
    <w:p w14:paraId="301A881D"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Проблемите, свързани с финансово – материалното осигуряване на дейността, които стояха за решаване пред Окръжна прокуратура – Монтана за 2022 год., са решени. Към настоящия момент всички магистрати и съдебни служители, чиято дейност изисква това са осигурени с компютри и периферни устройства за печат, осигурена е защита на компютърните конфигурации посредством UPS устройства.</w:t>
      </w:r>
    </w:p>
    <w:p w14:paraId="04E4968F"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През отчетния период материално – техническото и информационно осигуряване на дейността на прокурорите е било на добро ниво, като всеки от магистратите е работел с персонален компютър и операционна система WINDOWS 10. Поддръжката на компютрите, с които са обезпечени прокуратурите в региона, се осъществява от един специалист – системен администратор от Окръжна прокуратура – Монтана и един системен администратор в Районна прокуратура - Монтана. Прокурорите в региона имат на разположение информационна система за норми, практики, процедури „АПИС”  във вътрешно ведомствената информационна страница на ПРБ.</w:t>
      </w:r>
    </w:p>
    <w:p w14:paraId="512A53C6" w14:textId="77777777" w:rsidR="00744A1A" w:rsidRPr="00B832D5" w:rsidRDefault="00744A1A" w:rsidP="005D49EB">
      <w:pPr>
        <w:spacing w:after="0" w:line="20" w:lineRule="atLeast"/>
      </w:pPr>
    </w:p>
    <w:p w14:paraId="5FDCA5CC" w14:textId="77777777" w:rsidR="00744A1A" w:rsidRPr="00B832D5" w:rsidRDefault="00744A1A" w:rsidP="009331A9">
      <w:pPr>
        <w:spacing w:after="0" w:line="20" w:lineRule="atLeast"/>
      </w:pPr>
    </w:p>
    <w:p w14:paraId="192A7F38" w14:textId="77777777" w:rsidR="00F65234" w:rsidRPr="00F65234" w:rsidRDefault="00F65234" w:rsidP="00F65234">
      <w:pPr>
        <w:keepNext/>
        <w:tabs>
          <w:tab w:val="left" w:pos="763"/>
        </w:tabs>
        <w:autoSpaceDE w:val="0"/>
        <w:autoSpaceDN w:val="0"/>
        <w:adjustRightInd w:val="0"/>
        <w:spacing w:after="0" w:line="20" w:lineRule="atLeast"/>
        <w:ind w:firstLine="720"/>
        <w:jc w:val="both"/>
        <w:outlineLvl w:val="1"/>
        <w:rPr>
          <w:rFonts w:ascii="Times New Roman" w:eastAsia="Calibri" w:hAnsi="Times New Roman" w:cs="Arial"/>
          <w:b/>
          <w:color w:val="000000"/>
          <w:sz w:val="28"/>
          <w:lang w:eastAsia="bg-BG"/>
        </w:rPr>
      </w:pPr>
      <w:bookmarkStart w:id="128" w:name="_Toc63940914"/>
      <w:bookmarkStart w:id="129" w:name="_Toc127370316"/>
      <w:r w:rsidRPr="00F65234">
        <w:rPr>
          <w:rFonts w:ascii="Times New Roman" w:eastAsia="Calibri" w:hAnsi="Times New Roman" w:cs="Arial"/>
          <w:b/>
          <w:color w:val="000000"/>
          <w:sz w:val="28"/>
          <w:lang w:eastAsia="bg-BG"/>
        </w:rPr>
        <w:lastRenderedPageBreak/>
        <w:t>VI. НАТОВАРЕНОСТ НА ПРОКУРОРСКИТЕ И НА СЛЕДСТВЕНИТЕ ОРГАНИ</w:t>
      </w:r>
      <w:bookmarkEnd w:id="128"/>
      <w:bookmarkEnd w:id="129"/>
    </w:p>
    <w:p w14:paraId="0E5F4DB4" w14:textId="77777777" w:rsidR="00F65234" w:rsidRPr="00F65234" w:rsidRDefault="00F65234" w:rsidP="00F65234">
      <w:pPr>
        <w:widowControl w:val="0"/>
        <w:tabs>
          <w:tab w:val="left" w:pos="826"/>
        </w:tabs>
        <w:autoSpaceDE w:val="0"/>
        <w:autoSpaceDN w:val="0"/>
        <w:adjustRightInd w:val="0"/>
        <w:spacing w:after="0" w:line="240" w:lineRule="auto"/>
        <w:ind w:firstLine="709"/>
        <w:jc w:val="both"/>
        <w:rPr>
          <w:rFonts w:ascii="Times New Roman" w:eastAsia="Calibri" w:hAnsi="Times New Roman" w:cs="Times New Roman"/>
          <w:color w:val="000000"/>
          <w:sz w:val="28"/>
        </w:rPr>
      </w:pPr>
    </w:p>
    <w:p w14:paraId="7934BB5E" w14:textId="77777777" w:rsidR="00F65234" w:rsidRPr="00F65234" w:rsidRDefault="00F65234" w:rsidP="00F65234">
      <w:pPr>
        <w:widowControl w:val="0"/>
        <w:tabs>
          <w:tab w:val="left" w:pos="826"/>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65234">
        <w:rPr>
          <w:rFonts w:ascii="Times New Roman" w:eastAsia="Calibri" w:hAnsi="Times New Roman" w:cs="Times New Roman"/>
          <w:color w:val="000000"/>
          <w:sz w:val="28"/>
        </w:rPr>
        <w:tab/>
        <w:t xml:space="preserve">Правилното и обективно изчисляване на обема на дейност и натовареността на магистратите има съществено значение за вземане на управленски решения за разпределението на магистратите по отдели. Натовареността от своя страна е един от най-важните критерии за ефективното разпределение на кадрите /магистрати и съдебни служители/, за регулирането на индивидуалното натоварване, и за количеството и качеството на полагания от тях труд. Тя е от изключително значение за оценяването на цялостната дейност на магистратите и служителите в ПРБ, респ. за правилното атестиране. В тази връзка </w:t>
      </w:r>
      <w:r w:rsidRPr="00F65234">
        <w:rPr>
          <w:rFonts w:ascii="Times New Roman" w:eastAsia="Calibri" w:hAnsi="Times New Roman" w:cs="Times New Roman"/>
          <w:color w:val="000000"/>
          <w:sz w:val="28"/>
          <w:szCs w:val="28"/>
        </w:rPr>
        <w:t>с Решение на ВСС по Протокол № 60/11.12.2014 г. са приети Правила за измерване на натовареността на прокуратурите и на индивидуалната натовареност на всеки прокурор и следовател, които въвеждат „норма за натовареност“ и чийто ефект и резултатност ще бъдат оценявани и за в бъдеще.</w:t>
      </w:r>
    </w:p>
    <w:p w14:paraId="77050233"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65234">
        <w:rPr>
          <w:rFonts w:ascii="Times New Roman" w:eastAsia="Calibri" w:hAnsi="Times New Roman" w:cs="Times New Roman"/>
          <w:color w:val="000000"/>
          <w:sz w:val="28"/>
          <w:szCs w:val="28"/>
        </w:rPr>
        <w:tab/>
        <w:t>Въпреки този положителен ход, в Правилата не са засегнати някои дейности на прокурорите, които са част от задълженията им. Например:</w:t>
      </w:r>
    </w:p>
    <w:p w14:paraId="163264E0"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65234">
        <w:rPr>
          <w:rFonts w:ascii="Times New Roman" w:eastAsia="Calibri" w:hAnsi="Times New Roman" w:cs="Times New Roman"/>
          <w:color w:val="000000"/>
          <w:sz w:val="28"/>
          <w:szCs w:val="28"/>
        </w:rPr>
        <w:tab/>
        <w:t xml:space="preserve">- По отношение на прокурорската дейност по административно-съдебния надзор е пропуснато възлагането на проверки на контролните органи, която е и основната дейност на прокурорите от тези групи (вж. т. 10 от Правилата за индивидуалната натовареност, където са посочени единствено актовете за възлагане на </w:t>
      </w:r>
      <w:r w:rsidRPr="00F65234">
        <w:rPr>
          <w:rFonts w:ascii="Times New Roman" w:eastAsia="Calibri" w:hAnsi="Times New Roman" w:cs="Times New Roman"/>
          <w:color w:val="000000"/>
          <w:sz w:val="28"/>
          <w:szCs w:val="28"/>
          <w:u w:val="single"/>
        </w:rPr>
        <w:t>финансови проверки и/или ревизии)</w:t>
      </w:r>
      <w:r w:rsidRPr="00F65234">
        <w:rPr>
          <w:rFonts w:ascii="Times New Roman" w:eastAsia="Calibri" w:hAnsi="Times New Roman" w:cs="Times New Roman"/>
          <w:color w:val="000000"/>
          <w:sz w:val="28"/>
          <w:szCs w:val="28"/>
        </w:rPr>
        <w:t>.</w:t>
      </w:r>
    </w:p>
    <w:p w14:paraId="2654B314" w14:textId="77777777" w:rsidR="00F65234" w:rsidRPr="00F65234" w:rsidRDefault="00F65234" w:rsidP="00F65234">
      <w:pPr>
        <w:numPr>
          <w:ilvl w:val="0"/>
          <w:numId w:val="46"/>
        </w:numPr>
        <w:tabs>
          <w:tab w:val="left" w:pos="826"/>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F65234">
        <w:rPr>
          <w:rFonts w:ascii="Times New Roman" w:eastAsia="Calibri" w:hAnsi="Times New Roman" w:cs="Times New Roman"/>
          <w:color w:val="000000"/>
          <w:sz w:val="28"/>
          <w:szCs w:val="28"/>
        </w:rPr>
        <w:t xml:space="preserve"> Не е посочено измерването на индивидуалната натовареност за съставяне на доклади и справки по надзора за законност, които често са доста обемни и се изискват от АП София и ВАП. </w:t>
      </w:r>
    </w:p>
    <w:p w14:paraId="1A66C79B" w14:textId="77777777" w:rsidR="00F65234" w:rsidRPr="00F65234" w:rsidRDefault="00F65234" w:rsidP="00F65234">
      <w:pPr>
        <w:numPr>
          <w:ilvl w:val="0"/>
          <w:numId w:val="46"/>
        </w:numPr>
        <w:tabs>
          <w:tab w:val="left" w:pos="826"/>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F65234">
        <w:rPr>
          <w:rFonts w:ascii="Times New Roman" w:eastAsia="Calibri" w:hAnsi="Times New Roman" w:cs="Times New Roman"/>
          <w:color w:val="000000"/>
          <w:sz w:val="28"/>
          <w:szCs w:val="28"/>
        </w:rPr>
        <w:t xml:space="preserve">Не се отчитат резолюциите за прекратяване на преписки по надзора за законност, които също в повечето случаи са обемни. </w:t>
      </w:r>
    </w:p>
    <w:p w14:paraId="740447C4" w14:textId="77777777" w:rsidR="00F65234" w:rsidRPr="00F65234" w:rsidRDefault="00F65234" w:rsidP="00F65234">
      <w:pPr>
        <w:numPr>
          <w:ilvl w:val="0"/>
          <w:numId w:val="46"/>
        </w:numPr>
        <w:tabs>
          <w:tab w:val="left" w:pos="826"/>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F65234">
        <w:rPr>
          <w:rFonts w:ascii="Times New Roman" w:eastAsia="Calibri" w:hAnsi="Times New Roman" w:cs="Times New Roman"/>
          <w:color w:val="000000"/>
          <w:sz w:val="28"/>
          <w:szCs w:val="28"/>
        </w:rPr>
        <w:t xml:space="preserve">Не са засегнати и участията на прокурори в различни комисии –пробационни съвети, областни и общински комисии и щабове, участия в работни срещи по споразумение с НАП, провеждане на обучения на разследващи органи и непълнолетни  и др. </w:t>
      </w:r>
    </w:p>
    <w:p w14:paraId="63422ED3" w14:textId="77777777" w:rsidR="00F65234" w:rsidRPr="00F65234" w:rsidRDefault="00F65234" w:rsidP="00F65234">
      <w:pPr>
        <w:numPr>
          <w:ilvl w:val="0"/>
          <w:numId w:val="46"/>
        </w:numPr>
        <w:tabs>
          <w:tab w:val="left" w:pos="826"/>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F65234">
        <w:rPr>
          <w:rFonts w:ascii="Times New Roman" w:eastAsia="Calibri" w:hAnsi="Times New Roman" w:cs="Times New Roman"/>
          <w:color w:val="000000"/>
          <w:sz w:val="28"/>
          <w:szCs w:val="28"/>
        </w:rPr>
        <w:t>По отношение на административните ръководители не се отчита и дейността, която се извършва по силата на различни закони – напр. по Закона за достъп до обществена информация.</w:t>
      </w:r>
    </w:p>
    <w:p w14:paraId="7D0B41F8" w14:textId="77777777" w:rsidR="00F65234" w:rsidRPr="00F65234" w:rsidRDefault="00F65234" w:rsidP="00F65234">
      <w:pPr>
        <w:numPr>
          <w:ilvl w:val="0"/>
          <w:numId w:val="46"/>
        </w:numPr>
        <w:tabs>
          <w:tab w:val="left" w:pos="826"/>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F65234">
        <w:rPr>
          <w:rFonts w:ascii="Times New Roman" w:eastAsia="Calibri" w:hAnsi="Times New Roman" w:cs="Times New Roman"/>
          <w:color w:val="000000"/>
          <w:sz w:val="28"/>
          <w:szCs w:val="28"/>
        </w:rPr>
        <w:t xml:space="preserve"> След въвеждането на Указания по новите нормативни положения в ЗИДНПК със заповед № РД-02-22/02.11.2017 г. на главния прокурор, бяха въведени нови изисквания. Съгласно тези указания сроковете за разследване се удължават от наблюдаващия прокурор и административните ръководители с мотивирани постановления, а сроковете за произнасяния на прокурора се удължават с мотивирани постановления от административните ръководители (чл. 20 и 21 от Указанията). Въпреки това ново изискване, в Правилата за натовареност не е променена тежестта (коефициентът) на това произнасяне и тя продължава да бъде 0,1 въпреки значителното време, което отнема изготвянето на постановление.</w:t>
      </w:r>
    </w:p>
    <w:p w14:paraId="33EEC7D2"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65234">
        <w:rPr>
          <w:rFonts w:ascii="Times New Roman" w:eastAsia="Calibri" w:hAnsi="Times New Roman" w:cs="Times New Roman"/>
          <w:color w:val="000000"/>
          <w:sz w:val="28"/>
          <w:szCs w:val="28"/>
        </w:rPr>
        <w:lastRenderedPageBreak/>
        <w:t>Би било полезно и стимулиращо за прокурорите, ако в бъдеще ВСС приеме допълнения в тези насоки. Сходни предложения в тази насока са отправени и в предходния доклад, но без конкретен резултат.</w:t>
      </w:r>
    </w:p>
    <w:p w14:paraId="6A749F86"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14:paraId="1718C886" w14:textId="77777777" w:rsidR="00F65234" w:rsidRPr="00F65234" w:rsidRDefault="00F65234" w:rsidP="00F65234">
      <w:pPr>
        <w:ind w:firstLine="708"/>
        <w:jc w:val="both"/>
        <w:rPr>
          <w:rFonts w:ascii="Times New Roman" w:eastAsia="Calibri" w:hAnsi="Times New Roman" w:cs="Times New Roman"/>
          <w:b/>
          <w:i/>
          <w:sz w:val="28"/>
          <w:szCs w:val="28"/>
        </w:rPr>
      </w:pPr>
      <w:r w:rsidRPr="00F65234">
        <w:rPr>
          <w:rFonts w:ascii="Times New Roman" w:eastAsia="Calibri" w:hAnsi="Times New Roman" w:cs="Times New Roman"/>
          <w:b/>
          <w:i/>
          <w:sz w:val="28"/>
          <w:szCs w:val="28"/>
        </w:rPr>
        <w:t>1. Обем на прокурорската дейност по отделни показатели – по статистическа таблица 5:</w:t>
      </w:r>
    </w:p>
    <w:p w14:paraId="2CD18549"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Основните статистически данни са нанесени в таблица 1 и 5 съгласно Указание за организация на информационната дейност в ПРБ, утв. със заповед № ЛС-1985/30.05.2015 г. на главния прокурор на РБ. Обобщена е информацията за ОП Монтана и РП Монтана, изчислена е средната натовареност на 1 прокурор от районната прокуратура, като отделно е посочена и тази, касаеща дейността на окръжната прокуратура. Показателите са отразени в хронологичен ред - според хода на наказателния процес.</w:t>
      </w:r>
    </w:p>
    <w:p w14:paraId="7CF31BBB"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color w:val="000000"/>
          <w:sz w:val="28"/>
        </w:rPr>
      </w:pPr>
    </w:p>
    <w:p w14:paraId="157BC973" w14:textId="77777777" w:rsidR="00F65234" w:rsidRPr="00F65234" w:rsidRDefault="00F65234" w:rsidP="00F65234">
      <w:pPr>
        <w:ind w:firstLine="708"/>
        <w:jc w:val="both"/>
        <w:rPr>
          <w:rFonts w:ascii="Times New Roman" w:eastAsia="Calibri" w:hAnsi="Times New Roman" w:cs="Times New Roman"/>
          <w:b/>
          <w:i/>
          <w:sz w:val="28"/>
          <w:szCs w:val="28"/>
        </w:rPr>
      </w:pPr>
      <w:r w:rsidRPr="00F65234">
        <w:rPr>
          <w:rFonts w:ascii="Times New Roman" w:eastAsia="Calibri" w:hAnsi="Times New Roman" w:cs="Times New Roman"/>
          <w:b/>
          <w:i/>
          <w:sz w:val="28"/>
          <w:szCs w:val="28"/>
        </w:rPr>
        <w:t>1.1. Общо наблюдавани досъдебни производства:</w:t>
      </w:r>
    </w:p>
    <w:p w14:paraId="48EC05A3" w14:textId="628396AA"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rPr>
      </w:pPr>
      <w:r w:rsidRPr="00F65234">
        <w:rPr>
          <w:rFonts w:ascii="Times New Roman" w:eastAsia="Calibri" w:hAnsi="Times New Roman" w:cs="Times New Roman"/>
          <w:sz w:val="28"/>
        </w:rPr>
        <w:tab/>
        <w:t>През 202</w:t>
      </w:r>
      <w:r w:rsidR="00B04F6F">
        <w:rPr>
          <w:rFonts w:ascii="Times New Roman" w:eastAsia="Calibri" w:hAnsi="Times New Roman" w:cs="Times New Roman"/>
          <w:sz w:val="28"/>
        </w:rPr>
        <w:t>2</w:t>
      </w:r>
      <w:r w:rsidRPr="00F65234">
        <w:rPr>
          <w:rFonts w:ascii="Times New Roman" w:eastAsia="Calibri" w:hAnsi="Times New Roman" w:cs="Times New Roman"/>
          <w:sz w:val="28"/>
        </w:rPr>
        <w:t xml:space="preserve"> г. в региона са наблюдавани</w:t>
      </w:r>
      <w:r w:rsidRPr="00F65234">
        <w:rPr>
          <w:rFonts w:ascii="Times New Roman" w:eastAsia="Calibri" w:hAnsi="Times New Roman" w:cs="Times New Roman"/>
          <w:b/>
          <w:sz w:val="28"/>
        </w:rPr>
        <w:t xml:space="preserve"> </w:t>
      </w:r>
      <w:r w:rsidRPr="00F65234">
        <w:rPr>
          <w:rFonts w:ascii="Times New Roman" w:eastAsia="Calibri" w:hAnsi="Times New Roman" w:cs="Times New Roman"/>
          <w:sz w:val="28"/>
        </w:rPr>
        <w:t xml:space="preserve">общо 4582 досъдебни производства (4855 за 2021 г. и 4487 за 2020 г.), от които 476 ДП от компетентност на ОП Монтана, а останалите – от компетентност на РП Монтана. Най-много ДП са наблюдавани от прокурори от РП Монтана – 4106. </w:t>
      </w:r>
    </w:p>
    <w:p w14:paraId="21A11549"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rPr>
      </w:pPr>
      <w:r w:rsidRPr="00F65234">
        <w:rPr>
          <w:rFonts w:ascii="Times New Roman" w:eastAsia="Calibri" w:hAnsi="Times New Roman" w:cs="Times New Roman"/>
          <w:sz w:val="28"/>
        </w:rPr>
        <w:t xml:space="preserve">При анализа на статистическите данни за последните три години е видно, че през 2022 г. общият брой на наблюдаваните досъдебни производства е намалял спрямо 2021 г. и е увеличен спрямо 2020 г. ДП, така че по този показател е налице тенденция за относителна стабилност при наблюдаваните досъдебни производства. </w:t>
      </w:r>
    </w:p>
    <w:p w14:paraId="3BBA478B"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rPr>
      </w:pPr>
      <w:r w:rsidRPr="00F65234">
        <w:rPr>
          <w:rFonts w:ascii="Times New Roman" w:eastAsia="Calibri" w:hAnsi="Times New Roman" w:cs="Times New Roman"/>
          <w:sz w:val="28"/>
        </w:rPr>
        <w:t>Данните за наблюдаваните през този тригодишен период ДП по прокуратури са отразени в табличен вид:</w:t>
      </w:r>
    </w:p>
    <w:p w14:paraId="745777E9"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rPr>
      </w:pPr>
    </w:p>
    <w:tbl>
      <w:tblPr>
        <w:tblW w:w="9649" w:type="dxa"/>
        <w:tblInd w:w="60" w:type="dxa"/>
        <w:tblCellMar>
          <w:left w:w="70" w:type="dxa"/>
          <w:right w:w="70" w:type="dxa"/>
        </w:tblCellMar>
        <w:tblLook w:val="04A0" w:firstRow="1" w:lastRow="0" w:firstColumn="1" w:lastColumn="0" w:noHBand="0" w:noVBand="1"/>
      </w:tblPr>
      <w:tblGrid>
        <w:gridCol w:w="2350"/>
        <w:gridCol w:w="2480"/>
        <w:gridCol w:w="2410"/>
        <w:gridCol w:w="2409"/>
      </w:tblGrid>
      <w:tr w:rsidR="00F65234" w:rsidRPr="00F65234" w14:paraId="3DE8B64C" w14:textId="77777777" w:rsidTr="00F65234">
        <w:trPr>
          <w:trHeight w:val="630"/>
        </w:trPr>
        <w:tc>
          <w:tcPr>
            <w:tcW w:w="2350" w:type="dxa"/>
            <w:vMerge w:val="restart"/>
            <w:tcBorders>
              <w:top w:val="single" w:sz="8" w:space="0" w:color="auto"/>
              <w:left w:val="single" w:sz="8" w:space="0" w:color="auto"/>
              <w:bottom w:val="single" w:sz="4" w:space="0" w:color="000000"/>
              <w:right w:val="single" w:sz="4" w:space="0" w:color="auto"/>
            </w:tcBorders>
            <w:hideMark/>
          </w:tcPr>
          <w:p w14:paraId="5AA00C5F" w14:textId="77777777" w:rsidR="00F65234" w:rsidRPr="00F65234" w:rsidRDefault="00F65234" w:rsidP="00F65234">
            <w:pPr>
              <w:spacing w:after="0" w:line="240" w:lineRule="auto"/>
              <w:ind w:firstLine="709"/>
              <w:jc w:val="center"/>
              <w:rPr>
                <w:rFonts w:ascii="Times New Roman" w:eastAsia="Calibri" w:hAnsi="Times New Roman" w:cs="Times New Roman"/>
                <w:b/>
                <w:bCs/>
                <w:i/>
                <w:color w:val="000000"/>
                <w:sz w:val="20"/>
                <w:szCs w:val="20"/>
                <w:lang w:eastAsia="bg-BG"/>
              </w:rPr>
            </w:pPr>
            <w:r w:rsidRPr="00F65234">
              <w:rPr>
                <w:rFonts w:ascii="Times New Roman" w:eastAsia="Calibri" w:hAnsi="Times New Roman" w:cs="Times New Roman"/>
                <w:i/>
                <w:color w:val="000000"/>
                <w:sz w:val="28"/>
                <w:lang w:eastAsia="bg-BG"/>
              </w:rPr>
              <w:t xml:space="preserve"> </w:t>
            </w:r>
            <w:r w:rsidRPr="00F65234">
              <w:rPr>
                <w:rFonts w:ascii="Times New Roman" w:eastAsia="Calibri" w:hAnsi="Times New Roman" w:cs="Times New Roman"/>
                <w:b/>
                <w:bCs/>
                <w:i/>
                <w:color w:val="000000"/>
                <w:sz w:val="20"/>
                <w:szCs w:val="20"/>
                <w:lang w:eastAsia="bg-BG"/>
              </w:rPr>
              <w:br/>
            </w:r>
            <w:r w:rsidRPr="00F65234">
              <w:rPr>
                <w:rFonts w:ascii="Times New Roman" w:eastAsia="Calibri" w:hAnsi="Times New Roman" w:cs="Times New Roman"/>
                <w:b/>
                <w:bCs/>
                <w:i/>
                <w:color w:val="000000"/>
                <w:sz w:val="20"/>
                <w:szCs w:val="20"/>
                <w:lang w:eastAsia="bg-BG"/>
              </w:rPr>
              <w:br/>
              <w:t>Прокуратура</w:t>
            </w:r>
          </w:p>
        </w:tc>
        <w:tc>
          <w:tcPr>
            <w:tcW w:w="7299" w:type="dxa"/>
            <w:gridSpan w:val="3"/>
            <w:tcBorders>
              <w:top w:val="single" w:sz="8" w:space="0" w:color="auto"/>
              <w:left w:val="nil"/>
              <w:bottom w:val="single" w:sz="4" w:space="0" w:color="auto"/>
              <w:right w:val="single" w:sz="8" w:space="0" w:color="000000"/>
            </w:tcBorders>
            <w:vAlign w:val="center"/>
            <w:hideMark/>
          </w:tcPr>
          <w:p w14:paraId="4907738D" w14:textId="77777777" w:rsidR="00F65234" w:rsidRPr="00F65234" w:rsidRDefault="00F65234" w:rsidP="00F65234">
            <w:pPr>
              <w:spacing w:after="0" w:line="240" w:lineRule="auto"/>
              <w:jc w:val="center"/>
              <w:rPr>
                <w:rFonts w:ascii="Times New Roman" w:eastAsia="Calibri" w:hAnsi="Times New Roman" w:cs="Times New Roman"/>
                <w:b/>
                <w:bCs/>
                <w:i/>
                <w:iCs/>
                <w:color w:val="000000"/>
                <w:sz w:val="20"/>
                <w:szCs w:val="20"/>
                <w:lang w:eastAsia="bg-BG"/>
              </w:rPr>
            </w:pPr>
            <w:r w:rsidRPr="00F65234">
              <w:rPr>
                <w:rFonts w:ascii="Times New Roman" w:eastAsia="Calibri" w:hAnsi="Times New Roman" w:cs="Times New Roman"/>
                <w:b/>
                <w:bCs/>
                <w:i/>
                <w:iCs/>
                <w:color w:val="000000"/>
                <w:sz w:val="20"/>
                <w:szCs w:val="20"/>
                <w:lang w:eastAsia="bg-BG"/>
              </w:rPr>
              <w:t>общо наблюдавани ДП</w:t>
            </w:r>
          </w:p>
        </w:tc>
      </w:tr>
      <w:tr w:rsidR="00F65234" w:rsidRPr="00F65234" w14:paraId="2C845582" w14:textId="77777777" w:rsidTr="00F65234">
        <w:trPr>
          <w:trHeight w:val="285"/>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23A665CA" w14:textId="77777777" w:rsidR="00F65234" w:rsidRPr="00F65234" w:rsidRDefault="00F65234" w:rsidP="00F65234">
            <w:pPr>
              <w:spacing w:after="0" w:line="240" w:lineRule="auto"/>
              <w:rPr>
                <w:rFonts w:ascii="Times New Roman" w:eastAsia="Calibri" w:hAnsi="Times New Roman" w:cs="Times New Roman"/>
                <w:b/>
                <w:bCs/>
                <w:i/>
                <w:color w:val="000000"/>
                <w:sz w:val="20"/>
                <w:szCs w:val="20"/>
                <w:lang w:eastAsia="bg-BG"/>
              </w:rPr>
            </w:pPr>
          </w:p>
        </w:tc>
        <w:tc>
          <w:tcPr>
            <w:tcW w:w="2480" w:type="dxa"/>
            <w:tcBorders>
              <w:top w:val="nil"/>
              <w:left w:val="nil"/>
              <w:bottom w:val="single" w:sz="4" w:space="0" w:color="auto"/>
              <w:right w:val="single" w:sz="4" w:space="0" w:color="auto"/>
            </w:tcBorders>
            <w:shd w:val="clear" w:color="auto" w:fill="D6E3BC"/>
            <w:hideMark/>
          </w:tcPr>
          <w:p w14:paraId="419BCA9A" w14:textId="77777777" w:rsidR="00F65234" w:rsidRPr="00F65234" w:rsidRDefault="00F65234" w:rsidP="00F65234">
            <w:pPr>
              <w:spacing w:after="0" w:line="240" w:lineRule="auto"/>
              <w:jc w:val="center"/>
              <w:rPr>
                <w:rFonts w:ascii="Times New Roman" w:eastAsia="Calibri" w:hAnsi="Times New Roman" w:cs="Times New Roman"/>
                <w:b/>
                <w:bCs/>
                <w:sz w:val="24"/>
                <w:szCs w:val="24"/>
                <w:lang w:eastAsia="bg-BG"/>
              </w:rPr>
            </w:pPr>
            <w:r w:rsidRPr="00F65234">
              <w:rPr>
                <w:rFonts w:ascii="Times New Roman" w:eastAsia="Calibri" w:hAnsi="Times New Roman" w:cs="Times New Roman"/>
                <w:b/>
                <w:bCs/>
                <w:sz w:val="24"/>
                <w:szCs w:val="24"/>
                <w:lang w:eastAsia="bg-BG"/>
              </w:rPr>
              <w:t>2022 г.</w:t>
            </w:r>
          </w:p>
        </w:tc>
        <w:tc>
          <w:tcPr>
            <w:tcW w:w="2410" w:type="dxa"/>
            <w:tcBorders>
              <w:top w:val="nil"/>
              <w:left w:val="nil"/>
              <w:bottom w:val="single" w:sz="4" w:space="0" w:color="auto"/>
              <w:right w:val="single" w:sz="4" w:space="0" w:color="auto"/>
            </w:tcBorders>
            <w:hideMark/>
          </w:tcPr>
          <w:p w14:paraId="10B85615" w14:textId="77777777" w:rsidR="00F65234" w:rsidRPr="00F65234" w:rsidRDefault="00F65234" w:rsidP="00F65234">
            <w:pPr>
              <w:spacing w:after="0" w:line="240" w:lineRule="auto"/>
              <w:jc w:val="center"/>
              <w:rPr>
                <w:rFonts w:ascii="Times New Roman" w:eastAsia="Calibri" w:hAnsi="Times New Roman" w:cs="Times New Roman"/>
                <w:bCs/>
                <w:sz w:val="24"/>
                <w:szCs w:val="24"/>
                <w:lang w:eastAsia="bg-BG"/>
              </w:rPr>
            </w:pPr>
            <w:r w:rsidRPr="00F65234">
              <w:rPr>
                <w:rFonts w:ascii="Times New Roman" w:eastAsia="Calibri" w:hAnsi="Times New Roman" w:cs="Times New Roman"/>
                <w:bCs/>
                <w:sz w:val="24"/>
                <w:szCs w:val="24"/>
                <w:lang w:eastAsia="bg-BG"/>
              </w:rPr>
              <w:t>2021 г.</w:t>
            </w:r>
          </w:p>
        </w:tc>
        <w:tc>
          <w:tcPr>
            <w:tcW w:w="2409" w:type="dxa"/>
            <w:tcBorders>
              <w:top w:val="nil"/>
              <w:left w:val="nil"/>
              <w:bottom w:val="single" w:sz="4" w:space="0" w:color="auto"/>
              <w:right w:val="single" w:sz="8" w:space="0" w:color="auto"/>
            </w:tcBorders>
            <w:hideMark/>
          </w:tcPr>
          <w:p w14:paraId="0ACB18D5" w14:textId="77777777" w:rsidR="00F65234" w:rsidRPr="00F65234" w:rsidRDefault="00F65234" w:rsidP="00F65234">
            <w:pPr>
              <w:spacing w:after="0" w:line="240" w:lineRule="auto"/>
              <w:jc w:val="center"/>
              <w:rPr>
                <w:rFonts w:ascii="Times New Roman" w:eastAsia="Calibri" w:hAnsi="Times New Roman" w:cs="Times New Roman"/>
                <w:bCs/>
                <w:sz w:val="24"/>
                <w:szCs w:val="24"/>
                <w:lang w:eastAsia="bg-BG"/>
              </w:rPr>
            </w:pPr>
            <w:r w:rsidRPr="00F65234">
              <w:rPr>
                <w:rFonts w:ascii="Times New Roman" w:eastAsia="Calibri" w:hAnsi="Times New Roman" w:cs="Times New Roman"/>
                <w:bCs/>
                <w:sz w:val="24"/>
                <w:szCs w:val="24"/>
                <w:lang w:eastAsia="bg-BG"/>
              </w:rPr>
              <w:t>2020 г.</w:t>
            </w:r>
          </w:p>
        </w:tc>
      </w:tr>
      <w:tr w:rsidR="00F65234" w:rsidRPr="00F65234" w14:paraId="3E98E753" w14:textId="77777777" w:rsidTr="00F65234">
        <w:trPr>
          <w:trHeight w:val="315"/>
        </w:trPr>
        <w:tc>
          <w:tcPr>
            <w:tcW w:w="2350" w:type="dxa"/>
            <w:tcBorders>
              <w:top w:val="nil"/>
              <w:left w:val="single" w:sz="8" w:space="0" w:color="auto"/>
              <w:bottom w:val="single" w:sz="4" w:space="0" w:color="auto"/>
              <w:right w:val="single" w:sz="4" w:space="0" w:color="auto"/>
            </w:tcBorders>
            <w:vAlign w:val="center"/>
            <w:hideMark/>
          </w:tcPr>
          <w:p w14:paraId="6BD1238E"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Монтана</w:t>
            </w:r>
          </w:p>
        </w:tc>
        <w:tc>
          <w:tcPr>
            <w:tcW w:w="2480" w:type="dxa"/>
            <w:tcBorders>
              <w:top w:val="nil"/>
              <w:left w:val="nil"/>
              <w:bottom w:val="single" w:sz="4" w:space="0" w:color="auto"/>
              <w:right w:val="single" w:sz="4" w:space="0" w:color="auto"/>
            </w:tcBorders>
            <w:shd w:val="clear" w:color="auto" w:fill="D6E3BC"/>
            <w:vAlign w:val="center"/>
            <w:hideMark/>
          </w:tcPr>
          <w:p w14:paraId="514DFBCA"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r w:rsidRPr="00F65234">
              <w:rPr>
                <w:rFonts w:ascii="Times New Roman" w:eastAsia="Calibri" w:hAnsi="Times New Roman" w:cs="Times New Roman"/>
                <w:b/>
                <w:sz w:val="24"/>
                <w:szCs w:val="24"/>
                <w:lang w:eastAsia="bg-BG"/>
              </w:rPr>
              <w:t>4106</w:t>
            </w:r>
          </w:p>
        </w:tc>
        <w:tc>
          <w:tcPr>
            <w:tcW w:w="2410" w:type="dxa"/>
            <w:tcBorders>
              <w:top w:val="nil"/>
              <w:left w:val="nil"/>
              <w:bottom w:val="single" w:sz="4" w:space="0" w:color="auto"/>
              <w:right w:val="single" w:sz="4" w:space="0" w:color="auto"/>
            </w:tcBorders>
            <w:shd w:val="clear" w:color="auto" w:fill="FFFFFF"/>
            <w:vAlign w:val="center"/>
            <w:hideMark/>
          </w:tcPr>
          <w:p w14:paraId="37C1624E"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4441</w:t>
            </w:r>
          </w:p>
        </w:tc>
        <w:tc>
          <w:tcPr>
            <w:tcW w:w="2409" w:type="dxa"/>
            <w:tcBorders>
              <w:top w:val="nil"/>
              <w:left w:val="nil"/>
              <w:bottom w:val="single" w:sz="4" w:space="0" w:color="auto"/>
              <w:right w:val="single" w:sz="8" w:space="0" w:color="auto"/>
            </w:tcBorders>
            <w:shd w:val="clear" w:color="auto" w:fill="FFFFFF"/>
            <w:vAlign w:val="center"/>
            <w:hideMark/>
          </w:tcPr>
          <w:p w14:paraId="10E50FB9"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2126</w:t>
            </w:r>
          </w:p>
        </w:tc>
      </w:tr>
      <w:tr w:rsidR="00F65234" w:rsidRPr="00F65234" w14:paraId="65D83679" w14:textId="77777777" w:rsidTr="00F65234">
        <w:trPr>
          <w:trHeight w:val="315"/>
        </w:trPr>
        <w:tc>
          <w:tcPr>
            <w:tcW w:w="2350" w:type="dxa"/>
            <w:tcBorders>
              <w:top w:val="nil"/>
              <w:left w:val="single" w:sz="8" w:space="0" w:color="auto"/>
              <w:bottom w:val="single" w:sz="4" w:space="0" w:color="auto"/>
              <w:right w:val="single" w:sz="4" w:space="0" w:color="auto"/>
            </w:tcBorders>
            <w:vAlign w:val="center"/>
            <w:hideMark/>
          </w:tcPr>
          <w:p w14:paraId="0AEF410F"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Лом</w:t>
            </w:r>
          </w:p>
        </w:tc>
        <w:tc>
          <w:tcPr>
            <w:tcW w:w="2480" w:type="dxa"/>
            <w:tcBorders>
              <w:top w:val="nil"/>
              <w:left w:val="nil"/>
              <w:bottom w:val="single" w:sz="4" w:space="0" w:color="auto"/>
              <w:right w:val="single" w:sz="4" w:space="0" w:color="auto"/>
            </w:tcBorders>
            <w:shd w:val="clear" w:color="auto" w:fill="D6E3BC"/>
            <w:vAlign w:val="center"/>
          </w:tcPr>
          <w:p w14:paraId="179F9120"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p>
        </w:tc>
        <w:tc>
          <w:tcPr>
            <w:tcW w:w="2410" w:type="dxa"/>
            <w:tcBorders>
              <w:top w:val="nil"/>
              <w:left w:val="nil"/>
              <w:bottom w:val="single" w:sz="4" w:space="0" w:color="auto"/>
              <w:right w:val="single" w:sz="4" w:space="0" w:color="auto"/>
            </w:tcBorders>
            <w:shd w:val="clear" w:color="auto" w:fill="FFFFFF"/>
            <w:vAlign w:val="center"/>
          </w:tcPr>
          <w:p w14:paraId="5F8F46B3"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p>
        </w:tc>
        <w:tc>
          <w:tcPr>
            <w:tcW w:w="2409" w:type="dxa"/>
            <w:tcBorders>
              <w:top w:val="nil"/>
              <w:left w:val="nil"/>
              <w:bottom w:val="single" w:sz="4" w:space="0" w:color="auto"/>
              <w:right w:val="single" w:sz="8" w:space="0" w:color="auto"/>
            </w:tcBorders>
            <w:shd w:val="clear" w:color="auto" w:fill="FFFFFF"/>
            <w:vAlign w:val="center"/>
            <w:hideMark/>
          </w:tcPr>
          <w:p w14:paraId="16982536"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1491</w:t>
            </w:r>
          </w:p>
        </w:tc>
      </w:tr>
      <w:tr w:rsidR="00F65234" w:rsidRPr="00F65234" w14:paraId="2D0A7D30" w14:textId="77777777" w:rsidTr="00F65234">
        <w:trPr>
          <w:trHeight w:val="315"/>
        </w:trPr>
        <w:tc>
          <w:tcPr>
            <w:tcW w:w="2350" w:type="dxa"/>
            <w:tcBorders>
              <w:top w:val="nil"/>
              <w:left w:val="single" w:sz="8" w:space="0" w:color="auto"/>
              <w:bottom w:val="single" w:sz="4" w:space="0" w:color="auto"/>
              <w:right w:val="single" w:sz="4" w:space="0" w:color="auto"/>
            </w:tcBorders>
            <w:vAlign w:val="center"/>
            <w:hideMark/>
          </w:tcPr>
          <w:p w14:paraId="32AEA017"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Берковица</w:t>
            </w:r>
          </w:p>
        </w:tc>
        <w:tc>
          <w:tcPr>
            <w:tcW w:w="2480" w:type="dxa"/>
            <w:tcBorders>
              <w:top w:val="nil"/>
              <w:left w:val="nil"/>
              <w:bottom w:val="single" w:sz="4" w:space="0" w:color="auto"/>
              <w:right w:val="single" w:sz="4" w:space="0" w:color="auto"/>
            </w:tcBorders>
            <w:shd w:val="clear" w:color="auto" w:fill="D6E3BC"/>
            <w:vAlign w:val="center"/>
          </w:tcPr>
          <w:p w14:paraId="70406DEA"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p>
        </w:tc>
        <w:tc>
          <w:tcPr>
            <w:tcW w:w="2410" w:type="dxa"/>
            <w:tcBorders>
              <w:top w:val="nil"/>
              <w:left w:val="nil"/>
              <w:bottom w:val="single" w:sz="4" w:space="0" w:color="auto"/>
              <w:right w:val="single" w:sz="4" w:space="0" w:color="auto"/>
            </w:tcBorders>
            <w:shd w:val="clear" w:color="auto" w:fill="FFFFFF"/>
            <w:vAlign w:val="center"/>
          </w:tcPr>
          <w:p w14:paraId="72C5A8DC"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p>
        </w:tc>
        <w:tc>
          <w:tcPr>
            <w:tcW w:w="2409" w:type="dxa"/>
            <w:tcBorders>
              <w:top w:val="nil"/>
              <w:left w:val="nil"/>
              <w:bottom w:val="single" w:sz="4" w:space="0" w:color="auto"/>
              <w:right w:val="single" w:sz="8" w:space="0" w:color="auto"/>
            </w:tcBorders>
            <w:shd w:val="clear" w:color="auto" w:fill="FFFFFF"/>
            <w:vAlign w:val="center"/>
            <w:hideMark/>
          </w:tcPr>
          <w:p w14:paraId="23EBEDB2"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472</w:t>
            </w:r>
          </w:p>
        </w:tc>
      </w:tr>
      <w:tr w:rsidR="00F65234" w:rsidRPr="00F65234" w14:paraId="010EA849" w14:textId="77777777" w:rsidTr="00F65234">
        <w:trPr>
          <w:trHeight w:val="315"/>
        </w:trPr>
        <w:tc>
          <w:tcPr>
            <w:tcW w:w="2350" w:type="dxa"/>
            <w:tcBorders>
              <w:top w:val="nil"/>
              <w:left w:val="single" w:sz="8" w:space="0" w:color="auto"/>
              <w:bottom w:val="nil"/>
              <w:right w:val="single" w:sz="4" w:space="0" w:color="auto"/>
            </w:tcBorders>
            <w:shd w:val="clear" w:color="auto" w:fill="BFBFBF" w:themeFill="background1" w:themeFillShade="BF"/>
            <w:vAlign w:val="center"/>
            <w:hideMark/>
          </w:tcPr>
          <w:p w14:paraId="067164C5" w14:textId="77777777" w:rsidR="00F65234" w:rsidRPr="00F65234" w:rsidRDefault="00F65234" w:rsidP="00F65234">
            <w:pPr>
              <w:spacing w:after="0" w:line="240" w:lineRule="auto"/>
              <w:rPr>
                <w:rFonts w:ascii="Times New Roman" w:eastAsia="Calibri" w:hAnsi="Times New Roman" w:cs="Times New Roman"/>
                <w:b/>
                <w:bCs/>
                <w:color w:val="000000"/>
                <w:sz w:val="24"/>
                <w:szCs w:val="24"/>
                <w:lang w:eastAsia="bg-BG"/>
              </w:rPr>
            </w:pPr>
            <w:r w:rsidRPr="00F65234">
              <w:rPr>
                <w:rFonts w:ascii="Times New Roman" w:eastAsia="Calibri" w:hAnsi="Times New Roman" w:cs="Times New Roman"/>
                <w:b/>
                <w:bCs/>
                <w:color w:val="000000"/>
                <w:sz w:val="24"/>
                <w:szCs w:val="24"/>
                <w:lang w:eastAsia="bg-BG"/>
              </w:rPr>
              <w:t>Общо за РП</w:t>
            </w:r>
          </w:p>
        </w:tc>
        <w:tc>
          <w:tcPr>
            <w:tcW w:w="2480" w:type="dxa"/>
            <w:tcBorders>
              <w:top w:val="nil"/>
              <w:left w:val="nil"/>
              <w:bottom w:val="nil"/>
              <w:right w:val="single" w:sz="4" w:space="0" w:color="auto"/>
            </w:tcBorders>
            <w:shd w:val="clear" w:color="auto" w:fill="BFBFBF" w:themeFill="background1" w:themeFillShade="BF"/>
            <w:vAlign w:val="center"/>
          </w:tcPr>
          <w:p w14:paraId="4733943C" w14:textId="77777777" w:rsidR="00F65234" w:rsidRPr="00F65234" w:rsidRDefault="00F65234" w:rsidP="00F65234">
            <w:pPr>
              <w:spacing w:after="0" w:line="240" w:lineRule="auto"/>
              <w:jc w:val="center"/>
              <w:rPr>
                <w:rFonts w:ascii="Times New Roman" w:eastAsia="Calibri" w:hAnsi="Times New Roman" w:cs="Times New Roman"/>
                <w:b/>
                <w:bCs/>
                <w:sz w:val="24"/>
                <w:szCs w:val="24"/>
                <w:lang w:eastAsia="bg-BG"/>
              </w:rPr>
            </w:pPr>
          </w:p>
        </w:tc>
        <w:tc>
          <w:tcPr>
            <w:tcW w:w="2410" w:type="dxa"/>
            <w:tcBorders>
              <w:top w:val="nil"/>
              <w:left w:val="nil"/>
              <w:bottom w:val="nil"/>
              <w:right w:val="single" w:sz="4" w:space="0" w:color="auto"/>
            </w:tcBorders>
            <w:shd w:val="clear" w:color="auto" w:fill="BFBFBF" w:themeFill="background1" w:themeFillShade="BF"/>
            <w:vAlign w:val="center"/>
          </w:tcPr>
          <w:p w14:paraId="20CAA441" w14:textId="77777777" w:rsidR="00F65234" w:rsidRPr="00F65234" w:rsidRDefault="00F65234" w:rsidP="00F65234">
            <w:pPr>
              <w:spacing w:after="0" w:line="240" w:lineRule="auto"/>
              <w:jc w:val="center"/>
              <w:rPr>
                <w:rFonts w:ascii="Times New Roman" w:eastAsia="Calibri" w:hAnsi="Times New Roman" w:cs="Times New Roman"/>
                <w:b/>
                <w:bCs/>
                <w:sz w:val="24"/>
                <w:szCs w:val="24"/>
                <w:lang w:eastAsia="bg-BG"/>
              </w:rPr>
            </w:pPr>
          </w:p>
        </w:tc>
        <w:tc>
          <w:tcPr>
            <w:tcW w:w="2409" w:type="dxa"/>
            <w:tcBorders>
              <w:top w:val="nil"/>
              <w:left w:val="nil"/>
              <w:bottom w:val="nil"/>
              <w:right w:val="single" w:sz="8" w:space="0" w:color="auto"/>
            </w:tcBorders>
            <w:shd w:val="clear" w:color="auto" w:fill="BFBFBF" w:themeFill="background1" w:themeFillShade="BF"/>
            <w:vAlign w:val="center"/>
            <w:hideMark/>
          </w:tcPr>
          <w:p w14:paraId="190C1F04" w14:textId="77777777" w:rsidR="00F65234" w:rsidRPr="00F65234" w:rsidRDefault="00F65234" w:rsidP="00F65234">
            <w:pPr>
              <w:spacing w:after="0" w:line="240" w:lineRule="auto"/>
              <w:jc w:val="center"/>
              <w:rPr>
                <w:rFonts w:ascii="Times New Roman" w:eastAsia="Calibri" w:hAnsi="Times New Roman" w:cs="Times New Roman"/>
                <w:bCs/>
                <w:sz w:val="24"/>
                <w:szCs w:val="24"/>
                <w:lang w:eastAsia="bg-BG"/>
              </w:rPr>
            </w:pPr>
            <w:r w:rsidRPr="00F65234">
              <w:rPr>
                <w:rFonts w:ascii="Times New Roman" w:eastAsia="Calibri" w:hAnsi="Times New Roman" w:cs="Times New Roman"/>
                <w:bCs/>
                <w:sz w:val="24"/>
                <w:szCs w:val="24"/>
                <w:lang w:eastAsia="bg-BG"/>
              </w:rPr>
              <w:t>4089</w:t>
            </w:r>
          </w:p>
        </w:tc>
      </w:tr>
      <w:tr w:rsidR="00F65234" w:rsidRPr="00F65234" w14:paraId="545DBAF5" w14:textId="77777777" w:rsidTr="00F65234">
        <w:trPr>
          <w:trHeight w:val="510"/>
        </w:trPr>
        <w:tc>
          <w:tcPr>
            <w:tcW w:w="2350" w:type="dxa"/>
            <w:tcBorders>
              <w:top w:val="single" w:sz="4" w:space="0" w:color="auto"/>
              <w:left w:val="single" w:sz="8" w:space="0" w:color="auto"/>
              <w:bottom w:val="single" w:sz="8" w:space="0" w:color="auto"/>
              <w:right w:val="single" w:sz="4" w:space="0" w:color="auto"/>
            </w:tcBorders>
            <w:vAlign w:val="bottom"/>
            <w:hideMark/>
          </w:tcPr>
          <w:p w14:paraId="2A5AA51B"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ОП Монтана</w:t>
            </w:r>
          </w:p>
        </w:tc>
        <w:tc>
          <w:tcPr>
            <w:tcW w:w="2480" w:type="dxa"/>
            <w:tcBorders>
              <w:top w:val="single" w:sz="4" w:space="0" w:color="auto"/>
              <w:left w:val="nil"/>
              <w:bottom w:val="single" w:sz="8" w:space="0" w:color="auto"/>
              <w:right w:val="single" w:sz="4" w:space="0" w:color="auto"/>
            </w:tcBorders>
            <w:shd w:val="clear" w:color="auto" w:fill="D6E3BC"/>
            <w:vAlign w:val="bottom"/>
            <w:hideMark/>
          </w:tcPr>
          <w:p w14:paraId="727CB334" w14:textId="77777777" w:rsidR="00F65234" w:rsidRPr="00F65234" w:rsidRDefault="00F65234" w:rsidP="00F65234">
            <w:pPr>
              <w:spacing w:after="0" w:line="240" w:lineRule="auto"/>
              <w:jc w:val="center"/>
              <w:rPr>
                <w:rFonts w:ascii="Times New Roman" w:eastAsia="Calibri" w:hAnsi="Times New Roman" w:cs="Times New Roman"/>
                <w:b/>
                <w:color w:val="000000"/>
                <w:sz w:val="24"/>
                <w:szCs w:val="24"/>
                <w:lang w:eastAsia="bg-BG"/>
              </w:rPr>
            </w:pPr>
            <w:r w:rsidRPr="00F65234">
              <w:rPr>
                <w:rFonts w:ascii="Times New Roman" w:eastAsia="Calibri" w:hAnsi="Times New Roman" w:cs="Times New Roman"/>
                <w:b/>
                <w:color w:val="000000"/>
                <w:sz w:val="24"/>
                <w:szCs w:val="24"/>
                <w:lang w:eastAsia="bg-BG"/>
              </w:rPr>
              <w:t>476</w:t>
            </w:r>
          </w:p>
        </w:tc>
        <w:tc>
          <w:tcPr>
            <w:tcW w:w="2410" w:type="dxa"/>
            <w:tcBorders>
              <w:top w:val="single" w:sz="4" w:space="0" w:color="auto"/>
              <w:left w:val="nil"/>
              <w:bottom w:val="single" w:sz="8" w:space="0" w:color="auto"/>
              <w:right w:val="single" w:sz="4" w:space="0" w:color="auto"/>
            </w:tcBorders>
            <w:vAlign w:val="bottom"/>
            <w:hideMark/>
          </w:tcPr>
          <w:p w14:paraId="34F3D8A6" w14:textId="77777777" w:rsidR="00F65234" w:rsidRPr="00F65234" w:rsidRDefault="00F65234" w:rsidP="00F65234">
            <w:pPr>
              <w:spacing w:after="0" w:line="240" w:lineRule="auto"/>
              <w:jc w:val="center"/>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414</w:t>
            </w:r>
          </w:p>
        </w:tc>
        <w:tc>
          <w:tcPr>
            <w:tcW w:w="2409" w:type="dxa"/>
            <w:tcBorders>
              <w:top w:val="single" w:sz="4" w:space="0" w:color="auto"/>
              <w:left w:val="nil"/>
              <w:bottom w:val="single" w:sz="8" w:space="0" w:color="auto"/>
              <w:right w:val="single" w:sz="8" w:space="0" w:color="auto"/>
            </w:tcBorders>
            <w:vAlign w:val="bottom"/>
            <w:hideMark/>
          </w:tcPr>
          <w:p w14:paraId="09CB3931" w14:textId="77777777" w:rsidR="00F65234" w:rsidRPr="00F65234" w:rsidRDefault="00F65234" w:rsidP="00F65234">
            <w:pPr>
              <w:spacing w:after="0" w:line="240" w:lineRule="auto"/>
              <w:jc w:val="center"/>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398</w:t>
            </w:r>
          </w:p>
        </w:tc>
      </w:tr>
    </w:tbl>
    <w:p w14:paraId="2ADA1EA6" w14:textId="77777777"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color w:val="FF0000"/>
          <w:sz w:val="28"/>
        </w:rPr>
      </w:pPr>
    </w:p>
    <w:p w14:paraId="0CD69163"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color w:val="FF0000"/>
          <w:sz w:val="28"/>
        </w:rPr>
      </w:pPr>
    </w:p>
    <w:p w14:paraId="1E943698" w14:textId="77777777" w:rsidR="00F65234" w:rsidRPr="00F65234" w:rsidRDefault="00F65234" w:rsidP="00F65234">
      <w:pPr>
        <w:ind w:firstLine="708"/>
        <w:jc w:val="both"/>
        <w:rPr>
          <w:rFonts w:ascii="Times New Roman" w:eastAsia="Calibri" w:hAnsi="Times New Roman" w:cs="Times New Roman"/>
          <w:b/>
          <w:i/>
          <w:sz w:val="28"/>
          <w:szCs w:val="28"/>
        </w:rPr>
      </w:pPr>
      <w:r w:rsidRPr="00F65234">
        <w:rPr>
          <w:rFonts w:ascii="Times New Roman" w:eastAsia="Calibri" w:hAnsi="Times New Roman" w:cs="Times New Roman"/>
          <w:b/>
          <w:i/>
          <w:sz w:val="28"/>
          <w:szCs w:val="28"/>
        </w:rPr>
        <w:t>1.2. Общо решени досъдебни производства.</w:t>
      </w:r>
    </w:p>
    <w:p w14:paraId="36FF1E77" w14:textId="11C128A3"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rPr>
      </w:pPr>
      <w:r w:rsidRPr="00F65234">
        <w:rPr>
          <w:rFonts w:ascii="Times New Roman" w:eastAsia="Calibri" w:hAnsi="Times New Roman" w:cs="Times New Roman"/>
          <w:sz w:val="28"/>
        </w:rPr>
        <w:t>През 202</w:t>
      </w:r>
      <w:r w:rsidR="00B04F6F">
        <w:rPr>
          <w:rFonts w:ascii="Times New Roman" w:eastAsia="Calibri" w:hAnsi="Times New Roman" w:cs="Times New Roman"/>
          <w:sz w:val="28"/>
        </w:rPr>
        <w:t>2</w:t>
      </w:r>
      <w:r w:rsidRPr="00F65234">
        <w:rPr>
          <w:rFonts w:ascii="Times New Roman" w:eastAsia="Calibri" w:hAnsi="Times New Roman" w:cs="Times New Roman"/>
          <w:sz w:val="28"/>
        </w:rPr>
        <w:t xml:space="preserve"> г. в региона са решени общо 3342 ДП (2308 за 2021 г. и 2761 за 2020 г.), от които 160 ДП от ОП гр. Монтана, а 3182 ДП от РП гр. Монтана (1140). Решените от РП Монтана досъдебни производства, отнесени към наблюдаваните са: 77,5%, а за  ОП-Монтана това съотношение е малко под 33,6%.</w:t>
      </w:r>
    </w:p>
    <w:p w14:paraId="74408C60"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rPr>
      </w:pPr>
      <w:r w:rsidRPr="00F65234">
        <w:rPr>
          <w:rFonts w:ascii="Times New Roman" w:eastAsia="Calibri" w:hAnsi="Times New Roman" w:cs="Times New Roman"/>
          <w:sz w:val="28"/>
        </w:rPr>
        <w:lastRenderedPageBreak/>
        <w:t>При анализа на статистическите данни за последните три години се вижда ясно, че при ОП-Монтана се наблюдава намаление на броя на решените ДП, а при РП – Монтана увеличение по този показател. Причините за нерешаването на досъдебните производства в ОП Монтана са изложени и на други места в доклада, но се свързват най-вече с продължаващото неизготвяне на експертизи.</w:t>
      </w:r>
    </w:p>
    <w:p w14:paraId="6B563436"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rPr>
      </w:pPr>
      <w:r w:rsidRPr="00F65234">
        <w:rPr>
          <w:rFonts w:ascii="Times New Roman" w:eastAsia="Calibri" w:hAnsi="Times New Roman" w:cs="Times New Roman"/>
          <w:sz w:val="28"/>
        </w:rPr>
        <w:t xml:space="preserve">Броят на решените досъдебни производства през този период е в правопропорционална зависимост от броя на наблюдаваните. </w:t>
      </w:r>
    </w:p>
    <w:p w14:paraId="651DE6D6"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rPr>
      </w:pPr>
      <w:r w:rsidRPr="00F65234">
        <w:rPr>
          <w:rFonts w:ascii="Times New Roman" w:eastAsia="Calibri" w:hAnsi="Times New Roman" w:cs="Times New Roman"/>
          <w:sz w:val="28"/>
        </w:rPr>
        <w:t xml:space="preserve">Данните за решените през този тригодишен период ДП по прокуратури са отразени в табличен вид по-долу. </w:t>
      </w:r>
    </w:p>
    <w:p w14:paraId="472D9D3F"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rPr>
      </w:pPr>
    </w:p>
    <w:tbl>
      <w:tblPr>
        <w:tblW w:w="9649" w:type="dxa"/>
        <w:jc w:val="center"/>
        <w:tblCellMar>
          <w:left w:w="70" w:type="dxa"/>
          <w:right w:w="70" w:type="dxa"/>
        </w:tblCellMar>
        <w:tblLook w:val="04A0" w:firstRow="1" w:lastRow="0" w:firstColumn="1" w:lastColumn="0" w:noHBand="0" w:noVBand="1"/>
      </w:tblPr>
      <w:tblGrid>
        <w:gridCol w:w="2350"/>
        <w:gridCol w:w="2196"/>
        <w:gridCol w:w="2410"/>
        <w:gridCol w:w="2693"/>
      </w:tblGrid>
      <w:tr w:rsidR="00F65234" w:rsidRPr="00F65234" w14:paraId="14C12408" w14:textId="77777777" w:rsidTr="00F65234">
        <w:trPr>
          <w:trHeight w:val="840"/>
          <w:jc w:val="center"/>
        </w:trPr>
        <w:tc>
          <w:tcPr>
            <w:tcW w:w="2350" w:type="dxa"/>
            <w:vMerge w:val="restart"/>
            <w:tcBorders>
              <w:top w:val="single" w:sz="8" w:space="0" w:color="auto"/>
              <w:left w:val="single" w:sz="8" w:space="0" w:color="auto"/>
              <w:bottom w:val="single" w:sz="4" w:space="0" w:color="000000"/>
              <w:right w:val="single" w:sz="4" w:space="0" w:color="auto"/>
            </w:tcBorders>
            <w:hideMark/>
          </w:tcPr>
          <w:p w14:paraId="3BF65D3E" w14:textId="77777777" w:rsidR="00F65234" w:rsidRPr="00F65234" w:rsidRDefault="00F65234" w:rsidP="00F65234">
            <w:pPr>
              <w:spacing w:after="0" w:line="240" w:lineRule="auto"/>
              <w:ind w:firstLine="709"/>
              <w:jc w:val="center"/>
              <w:rPr>
                <w:rFonts w:ascii="Times New Roman" w:eastAsia="Calibri" w:hAnsi="Times New Roman" w:cs="Times New Roman"/>
                <w:b/>
                <w:bCs/>
                <w:i/>
                <w:color w:val="000000"/>
                <w:sz w:val="20"/>
                <w:szCs w:val="20"/>
                <w:lang w:eastAsia="bg-BG"/>
              </w:rPr>
            </w:pPr>
            <w:r w:rsidRPr="00F65234">
              <w:rPr>
                <w:rFonts w:ascii="Times New Roman" w:eastAsia="Calibri" w:hAnsi="Times New Roman" w:cs="Times New Roman"/>
                <w:b/>
                <w:bCs/>
                <w:i/>
                <w:color w:val="000000"/>
                <w:sz w:val="20"/>
                <w:szCs w:val="20"/>
                <w:lang w:eastAsia="bg-BG"/>
              </w:rPr>
              <w:br/>
            </w:r>
            <w:r w:rsidRPr="00F65234">
              <w:rPr>
                <w:rFonts w:ascii="Times New Roman" w:eastAsia="Calibri" w:hAnsi="Times New Roman" w:cs="Times New Roman"/>
                <w:b/>
                <w:bCs/>
                <w:i/>
                <w:color w:val="000000"/>
                <w:sz w:val="20"/>
                <w:szCs w:val="20"/>
                <w:lang w:eastAsia="bg-BG"/>
              </w:rPr>
              <w:br/>
              <w:t>Прокуратура</w:t>
            </w:r>
          </w:p>
        </w:tc>
        <w:tc>
          <w:tcPr>
            <w:tcW w:w="7299" w:type="dxa"/>
            <w:gridSpan w:val="3"/>
            <w:tcBorders>
              <w:top w:val="single" w:sz="8" w:space="0" w:color="auto"/>
              <w:left w:val="nil"/>
              <w:bottom w:val="single" w:sz="4" w:space="0" w:color="auto"/>
              <w:right w:val="single" w:sz="8" w:space="0" w:color="000000"/>
            </w:tcBorders>
            <w:vAlign w:val="center"/>
            <w:hideMark/>
          </w:tcPr>
          <w:p w14:paraId="7563E7D1" w14:textId="77777777" w:rsidR="00F65234" w:rsidRPr="00F65234" w:rsidRDefault="00F65234" w:rsidP="00F65234">
            <w:pPr>
              <w:spacing w:after="0" w:line="240" w:lineRule="auto"/>
              <w:jc w:val="center"/>
              <w:rPr>
                <w:rFonts w:ascii="Times New Roman" w:eastAsia="Calibri" w:hAnsi="Times New Roman" w:cs="Times New Roman"/>
                <w:b/>
                <w:bCs/>
                <w:i/>
                <w:iCs/>
                <w:color w:val="000000"/>
                <w:sz w:val="20"/>
                <w:szCs w:val="20"/>
                <w:lang w:eastAsia="bg-BG"/>
              </w:rPr>
            </w:pPr>
            <w:r w:rsidRPr="00F65234">
              <w:rPr>
                <w:rFonts w:ascii="Times New Roman" w:eastAsia="Calibri" w:hAnsi="Times New Roman" w:cs="Times New Roman"/>
                <w:b/>
                <w:bCs/>
                <w:i/>
                <w:iCs/>
                <w:color w:val="000000"/>
                <w:sz w:val="20"/>
                <w:szCs w:val="20"/>
                <w:lang w:eastAsia="bg-BG"/>
              </w:rPr>
              <w:t>Общо решени ДП</w:t>
            </w:r>
          </w:p>
        </w:tc>
      </w:tr>
      <w:tr w:rsidR="00F65234" w:rsidRPr="00F65234" w14:paraId="2CC23AE6" w14:textId="77777777" w:rsidTr="00F65234">
        <w:trPr>
          <w:trHeight w:val="300"/>
          <w:jc w:val="center"/>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508FF7FC" w14:textId="77777777" w:rsidR="00F65234" w:rsidRPr="00F65234" w:rsidRDefault="00F65234" w:rsidP="00F65234">
            <w:pPr>
              <w:spacing w:after="0" w:line="240" w:lineRule="auto"/>
              <w:rPr>
                <w:rFonts w:ascii="Times New Roman" w:eastAsia="Calibri" w:hAnsi="Times New Roman" w:cs="Times New Roman"/>
                <w:b/>
                <w:bCs/>
                <w:i/>
                <w:color w:val="000000"/>
                <w:sz w:val="20"/>
                <w:szCs w:val="20"/>
                <w:lang w:eastAsia="bg-BG"/>
              </w:rPr>
            </w:pPr>
          </w:p>
        </w:tc>
        <w:tc>
          <w:tcPr>
            <w:tcW w:w="2196" w:type="dxa"/>
            <w:tcBorders>
              <w:top w:val="nil"/>
              <w:left w:val="nil"/>
              <w:bottom w:val="single" w:sz="4" w:space="0" w:color="auto"/>
              <w:right w:val="single" w:sz="4" w:space="0" w:color="auto"/>
            </w:tcBorders>
            <w:shd w:val="clear" w:color="auto" w:fill="D6E3BC"/>
            <w:hideMark/>
          </w:tcPr>
          <w:p w14:paraId="3E29576A" w14:textId="77777777" w:rsidR="00F65234" w:rsidRPr="00F65234" w:rsidRDefault="00F65234" w:rsidP="00F65234">
            <w:pPr>
              <w:spacing w:after="0" w:line="240" w:lineRule="auto"/>
              <w:jc w:val="center"/>
              <w:rPr>
                <w:rFonts w:ascii="Times New Roman" w:eastAsia="Calibri" w:hAnsi="Times New Roman" w:cs="Times New Roman"/>
                <w:b/>
                <w:bCs/>
                <w:sz w:val="24"/>
                <w:szCs w:val="24"/>
                <w:lang w:eastAsia="bg-BG"/>
              </w:rPr>
            </w:pPr>
            <w:r w:rsidRPr="00F65234">
              <w:rPr>
                <w:rFonts w:ascii="Times New Roman" w:eastAsia="Calibri" w:hAnsi="Times New Roman" w:cs="Times New Roman"/>
                <w:b/>
                <w:bCs/>
                <w:sz w:val="24"/>
                <w:szCs w:val="24"/>
                <w:lang w:eastAsia="bg-BG"/>
              </w:rPr>
              <w:t>2022 г.</w:t>
            </w:r>
          </w:p>
        </w:tc>
        <w:tc>
          <w:tcPr>
            <w:tcW w:w="2410" w:type="dxa"/>
            <w:tcBorders>
              <w:top w:val="nil"/>
              <w:left w:val="nil"/>
              <w:bottom w:val="single" w:sz="4" w:space="0" w:color="auto"/>
              <w:right w:val="single" w:sz="4" w:space="0" w:color="auto"/>
            </w:tcBorders>
            <w:hideMark/>
          </w:tcPr>
          <w:p w14:paraId="530B4151" w14:textId="77777777" w:rsidR="00F65234" w:rsidRPr="00F65234" w:rsidRDefault="00F65234" w:rsidP="00F65234">
            <w:pPr>
              <w:spacing w:after="0" w:line="240" w:lineRule="auto"/>
              <w:jc w:val="center"/>
              <w:rPr>
                <w:rFonts w:ascii="Times New Roman" w:eastAsia="Calibri" w:hAnsi="Times New Roman" w:cs="Times New Roman"/>
                <w:bCs/>
                <w:sz w:val="24"/>
                <w:szCs w:val="24"/>
                <w:lang w:eastAsia="bg-BG"/>
              </w:rPr>
            </w:pPr>
            <w:r w:rsidRPr="00F65234">
              <w:rPr>
                <w:rFonts w:ascii="Times New Roman" w:eastAsia="Calibri" w:hAnsi="Times New Roman" w:cs="Times New Roman"/>
                <w:bCs/>
                <w:sz w:val="24"/>
                <w:szCs w:val="24"/>
                <w:lang w:eastAsia="bg-BG"/>
              </w:rPr>
              <w:t>2021 г.</w:t>
            </w:r>
          </w:p>
        </w:tc>
        <w:tc>
          <w:tcPr>
            <w:tcW w:w="2693" w:type="dxa"/>
            <w:tcBorders>
              <w:top w:val="nil"/>
              <w:left w:val="nil"/>
              <w:bottom w:val="single" w:sz="4" w:space="0" w:color="auto"/>
              <w:right w:val="single" w:sz="8" w:space="0" w:color="auto"/>
            </w:tcBorders>
            <w:hideMark/>
          </w:tcPr>
          <w:p w14:paraId="71D5A906" w14:textId="77777777" w:rsidR="00F65234" w:rsidRPr="00F65234" w:rsidRDefault="00F65234" w:rsidP="00F65234">
            <w:pPr>
              <w:spacing w:after="0" w:line="240" w:lineRule="auto"/>
              <w:jc w:val="center"/>
              <w:rPr>
                <w:rFonts w:ascii="Times New Roman" w:eastAsia="Calibri" w:hAnsi="Times New Roman" w:cs="Times New Roman"/>
                <w:bCs/>
                <w:sz w:val="24"/>
                <w:szCs w:val="24"/>
                <w:lang w:eastAsia="bg-BG"/>
              </w:rPr>
            </w:pPr>
            <w:r w:rsidRPr="00F65234">
              <w:rPr>
                <w:rFonts w:ascii="Times New Roman" w:eastAsia="Calibri" w:hAnsi="Times New Roman" w:cs="Times New Roman"/>
                <w:bCs/>
                <w:sz w:val="24"/>
                <w:szCs w:val="24"/>
                <w:lang w:eastAsia="bg-BG"/>
              </w:rPr>
              <w:t>2020 г.</w:t>
            </w:r>
          </w:p>
        </w:tc>
      </w:tr>
      <w:tr w:rsidR="00F65234" w:rsidRPr="00F65234" w14:paraId="69F30EAE" w14:textId="77777777" w:rsidTr="00F65234">
        <w:trPr>
          <w:trHeight w:val="315"/>
          <w:jc w:val="center"/>
        </w:trPr>
        <w:tc>
          <w:tcPr>
            <w:tcW w:w="2350" w:type="dxa"/>
            <w:tcBorders>
              <w:top w:val="nil"/>
              <w:left w:val="single" w:sz="8" w:space="0" w:color="auto"/>
              <w:bottom w:val="single" w:sz="4" w:space="0" w:color="auto"/>
              <w:right w:val="single" w:sz="4" w:space="0" w:color="auto"/>
            </w:tcBorders>
            <w:vAlign w:val="center"/>
            <w:hideMark/>
          </w:tcPr>
          <w:p w14:paraId="325A5CCD"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Монтана</w:t>
            </w:r>
          </w:p>
        </w:tc>
        <w:tc>
          <w:tcPr>
            <w:tcW w:w="2196" w:type="dxa"/>
            <w:tcBorders>
              <w:top w:val="nil"/>
              <w:left w:val="nil"/>
              <w:bottom w:val="single" w:sz="4" w:space="0" w:color="auto"/>
              <w:right w:val="single" w:sz="4" w:space="0" w:color="auto"/>
            </w:tcBorders>
            <w:shd w:val="clear" w:color="auto" w:fill="D6E3BC"/>
            <w:vAlign w:val="center"/>
            <w:hideMark/>
          </w:tcPr>
          <w:p w14:paraId="4FA6F6BE" w14:textId="77777777" w:rsidR="00F65234" w:rsidRPr="00F65234" w:rsidRDefault="00F65234" w:rsidP="00F65234">
            <w:pPr>
              <w:spacing w:after="0" w:line="240" w:lineRule="auto"/>
              <w:rPr>
                <w:rFonts w:ascii="Times New Roman" w:eastAsia="Calibri" w:hAnsi="Times New Roman" w:cs="Times New Roman"/>
                <w:b/>
                <w:sz w:val="24"/>
                <w:szCs w:val="24"/>
                <w:lang w:eastAsia="bg-BG"/>
              </w:rPr>
            </w:pPr>
            <w:r w:rsidRPr="00F65234">
              <w:rPr>
                <w:rFonts w:ascii="Times New Roman" w:eastAsia="Calibri" w:hAnsi="Times New Roman" w:cs="Times New Roman"/>
                <w:b/>
                <w:sz w:val="24"/>
                <w:szCs w:val="24"/>
                <w:lang w:eastAsia="bg-BG"/>
              </w:rPr>
              <w:t xml:space="preserve">            3182</w:t>
            </w:r>
          </w:p>
        </w:tc>
        <w:tc>
          <w:tcPr>
            <w:tcW w:w="2410" w:type="dxa"/>
            <w:tcBorders>
              <w:top w:val="nil"/>
              <w:left w:val="nil"/>
              <w:bottom w:val="single" w:sz="4" w:space="0" w:color="auto"/>
              <w:right w:val="single" w:sz="4" w:space="0" w:color="auto"/>
            </w:tcBorders>
            <w:shd w:val="clear" w:color="auto" w:fill="FFFFFF"/>
            <w:vAlign w:val="center"/>
            <w:hideMark/>
          </w:tcPr>
          <w:p w14:paraId="5354C1CC"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2154</w:t>
            </w:r>
          </w:p>
        </w:tc>
        <w:tc>
          <w:tcPr>
            <w:tcW w:w="2693" w:type="dxa"/>
            <w:tcBorders>
              <w:top w:val="nil"/>
              <w:left w:val="nil"/>
              <w:bottom w:val="single" w:sz="4" w:space="0" w:color="auto"/>
              <w:right w:val="single" w:sz="8" w:space="0" w:color="auto"/>
            </w:tcBorders>
            <w:shd w:val="clear" w:color="auto" w:fill="FFFFFF"/>
            <w:vAlign w:val="center"/>
            <w:hideMark/>
          </w:tcPr>
          <w:p w14:paraId="759B82BA"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1140</w:t>
            </w:r>
          </w:p>
        </w:tc>
      </w:tr>
      <w:tr w:rsidR="00F65234" w:rsidRPr="00F65234" w14:paraId="706E6286" w14:textId="77777777" w:rsidTr="00F65234">
        <w:trPr>
          <w:trHeight w:val="315"/>
          <w:jc w:val="center"/>
        </w:trPr>
        <w:tc>
          <w:tcPr>
            <w:tcW w:w="2350" w:type="dxa"/>
            <w:tcBorders>
              <w:top w:val="nil"/>
              <w:left w:val="single" w:sz="8" w:space="0" w:color="auto"/>
              <w:bottom w:val="single" w:sz="4" w:space="0" w:color="auto"/>
              <w:right w:val="single" w:sz="4" w:space="0" w:color="auto"/>
            </w:tcBorders>
            <w:vAlign w:val="center"/>
            <w:hideMark/>
          </w:tcPr>
          <w:p w14:paraId="2C8725D1"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Лом</w:t>
            </w:r>
          </w:p>
        </w:tc>
        <w:tc>
          <w:tcPr>
            <w:tcW w:w="2196" w:type="dxa"/>
            <w:tcBorders>
              <w:top w:val="nil"/>
              <w:left w:val="nil"/>
              <w:bottom w:val="single" w:sz="4" w:space="0" w:color="auto"/>
              <w:right w:val="single" w:sz="4" w:space="0" w:color="auto"/>
            </w:tcBorders>
            <w:shd w:val="clear" w:color="auto" w:fill="D6E3BC"/>
            <w:vAlign w:val="center"/>
          </w:tcPr>
          <w:p w14:paraId="57C29F63"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p>
        </w:tc>
        <w:tc>
          <w:tcPr>
            <w:tcW w:w="2410" w:type="dxa"/>
            <w:tcBorders>
              <w:top w:val="nil"/>
              <w:left w:val="nil"/>
              <w:bottom w:val="single" w:sz="4" w:space="0" w:color="auto"/>
              <w:right w:val="single" w:sz="4" w:space="0" w:color="auto"/>
            </w:tcBorders>
            <w:shd w:val="clear" w:color="auto" w:fill="FFFFFF"/>
            <w:vAlign w:val="center"/>
          </w:tcPr>
          <w:p w14:paraId="60697859"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p>
        </w:tc>
        <w:tc>
          <w:tcPr>
            <w:tcW w:w="2693" w:type="dxa"/>
            <w:tcBorders>
              <w:top w:val="nil"/>
              <w:left w:val="nil"/>
              <w:bottom w:val="single" w:sz="4" w:space="0" w:color="auto"/>
              <w:right w:val="single" w:sz="8" w:space="0" w:color="auto"/>
            </w:tcBorders>
            <w:shd w:val="clear" w:color="auto" w:fill="FFFFFF"/>
            <w:vAlign w:val="center"/>
            <w:hideMark/>
          </w:tcPr>
          <w:p w14:paraId="493AD0F0"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1163</w:t>
            </w:r>
          </w:p>
        </w:tc>
      </w:tr>
      <w:tr w:rsidR="00F65234" w:rsidRPr="00F65234" w14:paraId="6B24C704" w14:textId="77777777" w:rsidTr="00F65234">
        <w:trPr>
          <w:trHeight w:val="315"/>
          <w:jc w:val="center"/>
        </w:trPr>
        <w:tc>
          <w:tcPr>
            <w:tcW w:w="2350" w:type="dxa"/>
            <w:tcBorders>
              <w:top w:val="nil"/>
              <w:left w:val="single" w:sz="8" w:space="0" w:color="auto"/>
              <w:bottom w:val="single" w:sz="4" w:space="0" w:color="auto"/>
              <w:right w:val="single" w:sz="4" w:space="0" w:color="auto"/>
            </w:tcBorders>
            <w:vAlign w:val="center"/>
            <w:hideMark/>
          </w:tcPr>
          <w:p w14:paraId="55C698A1"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Берковица</w:t>
            </w:r>
          </w:p>
        </w:tc>
        <w:tc>
          <w:tcPr>
            <w:tcW w:w="2196" w:type="dxa"/>
            <w:tcBorders>
              <w:top w:val="nil"/>
              <w:left w:val="nil"/>
              <w:bottom w:val="single" w:sz="4" w:space="0" w:color="auto"/>
              <w:right w:val="single" w:sz="4" w:space="0" w:color="auto"/>
            </w:tcBorders>
            <w:shd w:val="clear" w:color="auto" w:fill="D6E3BC"/>
            <w:vAlign w:val="center"/>
          </w:tcPr>
          <w:p w14:paraId="3EDA2C55"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p>
        </w:tc>
        <w:tc>
          <w:tcPr>
            <w:tcW w:w="2410" w:type="dxa"/>
            <w:tcBorders>
              <w:top w:val="nil"/>
              <w:left w:val="nil"/>
              <w:bottom w:val="single" w:sz="4" w:space="0" w:color="auto"/>
              <w:right w:val="single" w:sz="4" w:space="0" w:color="auto"/>
            </w:tcBorders>
            <w:shd w:val="clear" w:color="auto" w:fill="FFFFFF"/>
            <w:vAlign w:val="center"/>
          </w:tcPr>
          <w:p w14:paraId="52E39C88"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p>
        </w:tc>
        <w:tc>
          <w:tcPr>
            <w:tcW w:w="2693" w:type="dxa"/>
            <w:tcBorders>
              <w:top w:val="nil"/>
              <w:left w:val="nil"/>
              <w:bottom w:val="single" w:sz="4" w:space="0" w:color="auto"/>
              <w:right w:val="single" w:sz="8" w:space="0" w:color="auto"/>
            </w:tcBorders>
            <w:shd w:val="clear" w:color="auto" w:fill="FFFFFF"/>
            <w:vAlign w:val="center"/>
            <w:hideMark/>
          </w:tcPr>
          <w:p w14:paraId="00F8FD94"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388</w:t>
            </w:r>
          </w:p>
        </w:tc>
      </w:tr>
      <w:tr w:rsidR="00F65234" w:rsidRPr="00F65234" w14:paraId="0B6274C0" w14:textId="77777777" w:rsidTr="00F65234">
        <w:trPr>
          <w:trHeight w:val="315"/>
          <w:jc w:val="center"/>
        </w:trPr>
        <w:tc>
          <w:tcPr>
            <w:tcW w:w="2350" w:type="dxa"/>
            <w:tcBorders>
              <w:top w:val="nil"/>
              <w:left w:val="single" w:sz="8" w:space="0" w:color="auto"/>
              <w:bottom w:val="nil"/>
              <w:right w:val="single" w:sz="4" w:space="0" w:color="auto"/>
            </w:tcBorders>
            <w:shd w:val="clear" w:color="auto" w:fill="BFBFBF" w:themeFill="background1" w:themeFillShade="BF"/>
            <w:vAlign w:val="center"/>
            <w:hideMark/>
          </w:tcPr>
          <w:p w14:paraId="7CF3E3C1" w14:textId="77777777" w:rsidR="00F65234" w:rsidRPr="00F65234" w:rsidRDefault="00F65234" w:rsidP="00F65234">
            <w:pPr>
              <w:spacing w:after="0" w:line="240" w:lineRule="auto"/>
              <w:rPr>
                <w:rFonts w:ascii="Times New Roman" w:eastAsia="Calibri" w:hAnsi="Times New Roman" w:cs="Times New Roman"/>
                <w:b/>
                <w:bCs/>
                <w:color w:val="000000"/>
                <w:sz w:val="24"/>
                <w:szCs w:val="24"/>
                <w:lang w:eastAsia="bg-BG"/>
              </w:rPr>
            </w:pPr>
            <w:r w:rsidRPr="00F65234">
              <w:rPr>
                <w:rFonts w:ascii="Times New Roman" w:eastAsia="Calibri" w:hAnsi="Times New Roman" w:cs="Times New Roman"/>
                <w:b/>
                <w:bCs/>
                <w:color w:val="000000"/>
                <w:sz w:val="24"/>
                <w:szCs w:val="24"/>
                <w:lang w:eastAsia="bg-BG"/>
              </w:rPr>
              <w:t>Общо за РП</w:t>
            </w:r>
          </w:p>
        </w:tc>
        <w:tc>
          <w:tcPr>
            <w:tcW w:w="2196" w:type="dxa"/>
            <w:tcBorders>
              <w:top w:val="nil"/>
              <w:left w:val="nil"/>
              <w:bottom w:val="nil"/>
              <w:right w:val="single" w:sz="4" w:space="0" w:color="auto"/>
            </w:tcBorders>
            <w:shd w:val="clear" w:color="auto" w:fill="BFBFBF" w:themeFill="background1" w:themeFillShade="BF"/>
            <w:vAlign w:val="center"/>
          </w:tcPr>
          <w:p w14:paraId="33755FDF" w14:textId="77777777" w:rsidR="00F65234" w:rsidRPr="00F65234" w:rsidRDefault="00F65234" w:rsidP="00F65234">
            <w:pPr>
              <w:spacing w:after="0" w:line="240" w:lineRule="auto"/>
              <w:jc w:val="center"/>
              <w:rPr>
                <w:rFonts w:ascii="Times New Roman" w:eastAsia="Calibri" w:hAnsi="Times New Roman" w:cs="Times New Roman"/>
                <w:b/>
                <w:bCs/>
                <w:sz w:val="24"/>
                <w:szCs w:val="24"/>
                <w:lang w:eastAsia="bg-BG"/>
              </w:rPr>
            </w:pPr>
          </w:p>
        </w:tc>
        <w:tc>
          <w:tcPr>
            <w:tcW w:w="2410" w:type="dxa"/>
            <w:tcBorders>
              <w:top w:val="nil"/>
              <w:left w:val="nil"/>
              <w:bottom w:val="nil"/>
              <w:right w:val="single" w:sz="4" w:space="0" w:color="auto"/>
            </w:tcBorders>
            <w:shd w:val="clear" w:color="auto" w:fill="BFBFBF" w:themeFill="background1" w:themeFillShade="BF"/>
            <w:vAlign w:val="center"/>
          </w:tcPr>
          <w:p w14:paraId="38EBB21F" w14:textId="77777777" w:rsidR="00F65234" w:rsidRPr="00F65234" w:rsidRDefault="00F65234" w:rsidP="00F65234">
            <w:pPr>
              <w:spacing w:after="0" w:line="240" w:lineRule="auto"/>
              <w:jc w:val="center"/>
              <w:rPr>
                <w:rFonts w:ascii="Times New Roman" w:eastAsia="Calibri" w:hAnsi="Times New Roman" w:cs="Times New Roman"/>
                <w:bCs/>
                <w:sz w:val="24"/>
                <w:szCs w:val="24"/>
                <w:lang w:eastAsia="bg-BG"/>
              </w:rPr>
            </w:pPr>
          </w:p>
        </w:tc>
        <w:tc>
          <w:tcPr>
            <w:tcW w:w="2693" w:type="dxa"/>
            <w:tcBorders>
              <w:top w:val="nil"/>
              <w:left w:val="nil"/>
              <w:bottom w:val="nil"/>
              <w:right w:val="single" w:sz="8" w:space="0" w:color="auto"/>
            </w:tcBorders>
            <w:shd w:val="clear" w:color="auto" w:fill="BFBFBF" w:themeFill="background1" w:themeFillShade="BF"/>
            <w:vAlign w:val="center"/>
            <w:hideMark/>
          </w:tcPr>
          <w:p w14:paraId="451D2D5F" w14:textId="77777777" w:rsidR="00F65234" w:rsidRPr="00F65234" w:rsidRDefault="00F65234" w:rsidP="00F65234">
            <w:pPr>
              <w:spacing w:after="0" w:line="240" w:lineRule="auto"/>
              <w:jc w:val="center"/>
              <w:rPr>
                <w:rFonts w:ascii="Times New Roman" w:eastAsia="Calibri" w:hAnsi="Times New Roman" w:cs="Times New Roman"/>
                <w:bCs/>
                <w:sz w:val="24"/>
                <w:szCs w:val="24"/>
                <w:lang w:eastAsia="bg-BG"/>
              </w:rPr>
            </w:pPr>
            <w:r w:rsidRPr="00F65234">
              <w:rPr>
                <w:rFonts w:ascii="Times New Roman" w:eastAsia="Calibri" w:hAnsi="Times New Roman" w:cs="Times New Roman"/>
                <w:bCs/>
                <w:sz w:val="24"/>
                <w:szCs w:val="24"/>
                <w:lang w:eastAsia="bg-BG"/>
              </w:rPr>
              <w:t>2691</w:t>
            </w:r>
          </w:p>
        </w:tc>
      </w:tr>
      <w:tr w:rsidR="00F65234" w:rsidRPr="00F65234" w14:paraId="1731F497" w14:textId="77777777" w:rsidTr="00F65234">
        <w:trPr>
          <w:trHeight w:val="375"/>
          <w:jc w:val="center"/>
        </w:trPr>
        <w:tc>
          <w:tcPr>
            <w:tcW w:w="2350" w:type="dxa"/>
            <w:tcBorders>
              <w:top w:val="single" w:sz="4" w:space="0" w:color="auto"/>
              <w:left w:val="single" w:sz="8" w:space="0" w:color="auto"/>
              <w:bottom w:val="single" w:sz="8" w:space="0" w:color="auto"/>
              <w:right w:val="single" w:sz="4" w:space="0" w:color="auto"/>
            </w:tcBorders>
            <w:vAlign w:val="bottom"/>
            <w:hideMark/>
          </w:tcPr>
          <w:p w14:paraId="5B25980E"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ОП Монтана</w:t>
            </w:r>
          </w:p>
        </w:tc>
        <w:tc>
          <w:tcPr>
            <w:tcW w:w="2196" w:type="dxa"/>
            <w:tcBorders>
              <w:top w:val="single" w:sz="4" w:space="0" w:color="auto"/>
              <w:left w:val="nil"/>
              <w:bottom w:val="single" w:sz="8" w:space="0" w:color="auto"/>
              <w:right w:val="single" w:sz="4" w:space="0" w:color="auto"/>
            </w:tcBorders>
            <w:shd w:val="clear" w:color="auto" w:fill="D6E3BC"/>
            <w:vAlign w:val="bottom"/>
            <w:hideMark/>
          </w:tcPr>
          <w:p w14:paraId="4C4734AA"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r w:rsidRPr="00F65234">
              <w:rPr>
                <w:rFonts w:ascii="Times New Roman" w:eastAsia="Calibri" w:hAnsi="Times New Roman" w:cs="Times New Roman"/>
                <w:b/>
                <w:sz w:val="24"/>
                <w:szCs w:val="24"/>
                <w:lang w:eastAsia="bg-BG"/>
              </w:rPr>
              <w:t>160</w:t>
            </w:r>
          </w:p>
        </w:tc>
        <w:tc>
          <w:tcPr>
            <w:tcW w:w="2410" w:type="dxa"/>
            <w:tcBorders>
              <w:top w:val="single" w:sz="4" w:space="0" w:color="auto"/>
              <w:left w:val="nil"/>
              <w:bottom w:val="single" w:sz="8" w:space="0" w:color="auto"/>
              <w:right w:val="single" w:sz="4" w:space="0" w:color="auto"/>
            </w:tcBorders>
            <w:vAlign w:val="bottom"/>
            <w:hideMark/>
          </w:tcPr>
          <w:p w14:paraId="62BC46F5"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190</w:t>
            </w:r>
          </w:p>
        </w:tc>
        <w:tc>
          <w:tcPr>
            <w:tcW w:w="2693" w:type="dxa"/>
            <w:tcBorders>
              <w:top w:val="single" w:sz="4" w:space="0" w:color="auto"/>
              <w:left w:val="nil"/>
              <w:bottom w:val="single" w:sz="8" w:space="0" w:color="auto"/>
              <w:right w:val="single" w:sz="8" w:space="0" w:color="auto"/>
            </w:tcBorders>
            <w:vAlign w:val="bottom"/>
            <w:hideMark/>
          </w:tcPr>
          <w:p w14:paraId="6BFAFFBD"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190</w:t>
            </w:r>
          </w:p>
        </w:tc>
      </w:tr>
    </w:tbl>
    <w:p w14:paraId="7281134D" w14:textId="77777777" w:rsidR="00F65234" w:rsidRPr="00F65234" w:rsidRDefault="00F65234" w:rsidP="00F65234">
      <w:pPr>
        <w:ind w:firstLine="709"/>
        <w:rPr>
          <w:rFonts w:ascii="Calibri" w:eastAsia="Calibri" w:hAnsi="Calibri" w:cs="Times New Roman"/>
        </w:rPr>
      </w:pPr>
    </w:p>
    <w:p w14:paraId="5CCE77FE" w14:textId="77777777" w:rsidR="00F65234" w:rsidRPr="00F65234" w:rsidRDefault="00F65234" w:rsidP="00F65234">
      <w:pPr>
        <w:ind w:firstLine="708"/>
        <w:jc w:val="both"/>
        <w:rPr>
          <w:rFonts w:ascii="Times New Roman" w:eastAsia="Calibri" w:hAnsi="Times New Roman" w:cs="Times New Roman"/>
          <w:b/>
          <w:i/>
          <w:sz w:val="28"/>
          <w:szCs w:val="28"/>
        </w:rPr>
      </w:pPr>
      <w:r w:rsidRPr="00F65234">
        <w:rPr>
          <w:rFonts w:ascii="Times New Roman" w:eastAsia="Calibri" w:hAnsi="Times New Roman" w:cs="Times New Roman"/>
          <w:b/>
          <w:i/>
          <w:sz w:val="28"/>
          <w:szCs w:val="28"/>
        </w:rPr>
        <w:t>1.3. Прокурорски актове, внесени в съда.</w:t>
      </w:r>
    </w:p>
    <w:p w14:paraId="77DE3166" w14:textId="1D36059E"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През 202</w:t>
      </w:r>
      <w:r w:rsidR="00FF38BA">
        <w:rPr>
          <w:rFonts w:ascii="Times New Roman" w:eastAsia="Calibri" w:hAnsi="Times New Roman" w:cs="Times New Roman"/>
          <w:sz w:val="28"/>
          <w:szCs w:val="28"/>
        </w:rPr>
        <w:t>2</w:t>
      </w:r>
      <w:r w:rsidRPr="00F65234">
        <w:rPr>
          <w:rFonts w:ascii="Times New Roman" w:eastAsia="Calibri" w:hAnsi="Times New Roman" w:cs="Times New Roman"/>
          <w:sz w:val="28"/>
          <w:szCs w:val="28"/>
        </w:rPr>
        <w:t xml:space="preserve"> г. в съдилищата от региона са внесени общо 678 /при 704 през 2021 г. и 775 за 2020 г./ прокурорски актове (ОА, предложения по чл. 78а НК и споразумения), от които 21 /при 32 за 2021 г. и 29 за 2020 г./ от ОП Монтана. От РП-Монтана са внесени в съда 678 прокурорски акта (при 672 за 2020 г. и 746 за 2020 г. от трите районни прокуратури). </w:t>
      </w:r>
    </w:p>
    <w:p w14:paraId="221A0600"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rPr>
      </w:pPr>
      <w:r w:rsidRPr="00F65234">
        <w:rPr>
          <w:rFonts w:ascii="Times New Roman" w:eastAsia="Calibri" w:hAnsi="Times New Roman" w:cs="Times New Roman"/>
          <w:sz w:val="28"/>
        </w:rPr>
        <w:t xml:space="preserve">При анализирането на статистическите данни, е налице тенденция за намаляване на внесените в съда актове в сравнение с 2021 г. и 2020 г., като за ОП Монтана е налице минимално увеличение на внесените в съда актове в сравнение с предходните години.  </w:t>
      </w:r>
    </w:p>
    <w:p w14:paraId="5B64EFDC"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rPr>
      </w:pPr>
      <w:r w:rsidRPr="00F65234">
        <w:rPr>
          <w:rFonts w:ascii="Times New Roman" w:eastAsia="Calibri" w:hAnsi="Times New Roman" w:cs="Times New Roman"/>
          <w:sz w:val="28"/>
        </w:rPr>
        <w:t>Общото намаление на внесените в съда прокурорски актове се дължи на по – ниския брой наблюдавани и решени досъдебни производства, както и на приключените разследвания по ДП.</w:t>
      </w:r>
    </w:p>
    <w:p w14:paraId="4A52BE29"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rPr>
      </w:pPr>
      <w:r w:rsidRPr="00F65234">
        <w:rPr>
          <w:rFonts w:ascii="Times New Roman" w:eastAsia="Calibri" w:hAnsi="Times New Roman" w:cs="Times New Roman"/>
          <w:sz w:val="28"/>
        </w:rPr>
        <w:t>Данните за броя на внесените актове през този тригодишен период по прокуратури са отразени в табличен вид по-долу.</w:t>
      </w:r>
      <w:r w:rsidRPr="00F65234">
        <w:rPr>
          <w:rFonts w:ascii="Times New Roman" w:eastAsia="Calibri" w:hAnsi="Times New Roman" w:cs="Times New Roman"/>
          <w:color w:val="FF0000"/>
          <w:sz w:val="28"/>
        </w:rPr>
        <w:t xml:space="preserve"> </w:t>
      </w:r>
      <w:r w:rsidRPr="00F65234">
        <w:rPr>
          <w:rFonts w:ascii="Times New Roman" w:eastAsia="Calibri" w:hAnsi="Times New Roman" w:cs="Times New Roman"/>
          <w:sz w:val="28"/>
        </w:rPr>
        <w:t xml:space="preserve">Видно от стойностите, затвърждава се низходящата тенденция от предходните периоди, като само в ОП Монтана е налице увеличаване, макар и минимално на внесените в съда актове. </w:t>
      </w:r>
    </w:p>
    <w:p w14:paraId="635612AB"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i/>
          <w:sz w:val="28"/>
        </w:rPr>
      </w:pPr>
    </w:p>
    <w:tbl>
      <w:tblPr>
        <w:tblW w:w="9497" w:type="dxa"/>
        <w:tblInd w:w="212" w:type="dxa"/>
        <w:tblCellMar>
          <w:left w:w="70" w:type="dxa"/>
          <w:right w:w="70" w:type="dxa"/>
        </w:tblCellMar>
        <w:tblLook w:val="04A0" w:firstRow="1" w:lastRow="0" w:firstColumn="1" w:lastColumn="0" w:noHBand="0" w:noVBand="1"/>
      </w:tblPr>
      <w:tblGrid>
        <w:gridCol w:w="2350"/>
        <w:gridCol w:w="2470"/>
        <w:gridCol w:w="2268"/>
        <w:gridCol w:w="2409"/>
      </w:tblGrid>
      <w:tr w:rsidR="00F65234" w:rsidRPr="00F65234" w14:paraId="16F47910" w14:textId="77777777" w:rsidTr="00F65234">
        <w:trPr>
          <w:trHeight w:val="765"/>
        </w:trPr>
        <w:tc>
          <w:tcPr>
            <w:tcW w:w="2350" w:type="dxa"/>
            <w:vMerge w:val="restart"/>
            <w:tcBorders>
              <w:top w:val="single" w:sz="8" w:space="0" w:color="auto"/>
              <w:left w:val="single" w:sz="8" w:space="0" w:color="auto"/>
              <w:bottom w:val="single" w:sz="4" w:space="0" w:color="000000"/>
              <w:right w:val="single" w:sz="4" w:space="0" w:color="auto"/>
            </w:tcBorders>
            <w:hideMark/>
          </w:tcPr>
          <w:p w14:paraId="781719E9" w14:textId="77777777" w:rsidR="00F65234" w:rsidRPr="00F65234" w:rsidRDefault="00F65234" w:rsidP="00F65234">
            <w:pPr>
              <w:spacing w:after="0" w:line="240" w:lineRule="auto"/>
              <w:ind w:firstLine="709"/>
              <w:jc w:val="center"/>
              <w:rPr>
                <w:rFonts w:ascii="Times New Roman" w:eastAsia="Calibri" w:hAnsi="Times New Roman" w:cs="Times New Roman"/>
                <w:b/>
                <w:bCs/>
                <w:i/>
                <w:color w:val="000000"/>
                <w:sz w:val="20"/>
                <w:szCs w:val="20"/>
                <w:lang w:eastAsia="bg-BG"/>
              </w:rPr>
            </w:pPr>
            <w:r w:rsidRPr="00F65234">
              <w:rPr>
                <w:rFonts w:ascii="Times New Roman" w:eastAsia="Calibri" w:hAnsi="Times New Roman" w:cs="Times New Roman"/>
                <w:b/>
                <w:bCs/>
                <w:i/>
                <w:color w:val="000000"/>
                <w:sz w:val="20"/>
                <w:szCs w:val="20"/>
                <w:lang w:eastAsia="bg-BG"/>
              </w:rPr>
              <w:br/>
            </w:r>
            <w:r w:rsidRPr="00F65234">
              <w:rPr>
                <w:rFonts w:ascii="Times New Roman" w:eastAsia="Calibri" w:hAnsi="Times New Roman" w:cs="Times New Roman"/>
                <w:b/>
                <w:bCs/>
                <w:i/>
                <w:color w:val="000000"/>
                <w:sz w:val="20"/>
                <w:szCs w:val="20"/>
                <w:lang w:eastAsia="bg-BG"/>
              </w:rPr>
              <w:br/>
              <w:t>Прокуратура</w:t>
            </w:r>
            <w:r w:rsidRPr="00F65234">
              <w:rPr>
                <w:rFonts w:ascii="Times New Roman" w:eastAsia="Calibri" w:hAnsi="Times New Roman" w:cs="Times New Roman"/>
                <w:b/>
                <w:bCs/>
                <w:i/>
                <w:color w:val="000000"/>
                <w:sz w:val="20"/>
                <w:szCs w:val="20"/>
                <w:lang w:eastAsia="bg-BG"/>
              </w:rPr>
              <w:br/>
            </w:r>
          </w:p>
        </w:tc>
        <w:tc>
          <w:tcPr>
            <w:tcW w:w="7147" w:type="dxa"/>
            <w:gridSpan w:val="3"/>
            <w:tcBorders>
              <w:top w:val="single" w:sz="8" w:space="0" w:color="auto"/>
              <w:left w:val="nil"/>
              <w:bottom w:val="single" w:sz="4" w:space="0" w:color="auto"/>
              <w:right w:val="single" w:sz="8" w:space="0" w:color="000000"/>
            </w:tcBorders>
            <w:vAlign w:val="center"/>
            <w:hideMark/>
          </w:tcPr>
          <w:p w14:paraId="294A0026" w14:textId="77777777" w:rsidR="00F65234" w:rsidRPr="00F65234" w:rsidRDefault="00F65234" w:rsidP="00F65234">
            <w:pPr>
              <w:spacing w:after="0" w:line="240" w:lineRule="auto"/>
              <w:jc w:val="center"/>
              <w:rPr>
                <w:rFonts w:ascii="Times New Roman" w:eastAsia="Calibri" w:hAnsi="Times New Roman" w:cs="Times New Roman"/>
                <w:b/>
                <w:bCs/>
                <w:i/>
                <w:iCs/>
                <w:color w:val="000000"/>
                <w:sz w:val="20"/>
                <w:szCs w:val="20"/>
                <w:lang w:eastAsia="bg-BG"/>
              </w:rPr>
            </w:pPr>
            <w:r w:rsidRPr="00F65234">
              <w:rPr>
                <w:rFonts w:ascii="Times New Roman" w:eastAsia="Calibri" w:hAnsi="Times New Roman" w:cs="Times New Roman"/>
                <w:b/>
                <w:bCs/>
                <w:i/>
                <w:iCs/>
                <w:color w:val="000000"/>
                <w:sz w:val="20"/>
                <w:szCs w:val="20"/>
                <w:lang w:eastAsia="bg-BG"/>
              </w:rPr>
              <w:t>Прокурорски актове, внесени в съда (ОА, чл. 78а Н,  споразумения, чл. 83б ЗАНН)</w:t>
            </w:r>
          </w:p>
        </w:tc>
      </w:tr>
      <w:tr w:rsidR="00F65234" w:rsidRPr="00F65234" w14:paraId="60639809" w14:textId="77777777" w:rsidTr="00F65234">
        <w:trPr>
          <w:trHeight w:val="315"/>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3BD52AB0" w14:textId="77777777" w:rsidR="00F65234" w:rsidRPr="00F65234" w:rsidRDefault="00F65234" w:rsidP="00F65234">
            <w:pPr>
              <w:spacing w:after="0" w:line="240" w:lineRule="auto"/>
              <w:rPr>
                <w:rFonts w:ascii="Times New Roman" w:eastAsia="Calibri" w:hAnsi="Times New Roman" w:cs="Times New Roman"/>
                <w:b/>
                <w:bCs/>
                <w:i/>
                <w:color w:val="000000"/>
                <w:sz w:val="20"/>
                <w:szCs w:val="20"/>
                <w:lang w:eastAsia="bg-BG"/>
              </w:rPr>
            </w:pPr>
          </w:p>
        </w:tc>
        <w:tc>
          <w:tcPr>
            <w:tcW w:w="2470" w:type="dxa"/>
            <w:tcBorders>
              <w:top w:val="nil"/>
              <w:left w:val="nil"/>
              <w:bottom w:val="single" w:sz="4" w:space="0" w:color="auto"/>
              <w:right w:val="single" w:sz="4" w:space="0" w:color="auto"/>
            </w:tcBorders>
            <w:hideMark/>
          </w:tcPr>
          <w:p w14:paraId="7BD36D89" w14:textId="77777777" w:rsidR="00F65234" w:rsidRPr="00F65234" w:rsidRDefault="00F65234" w:rsidP="00F65234">
            <w:pPr>
              <w:spacing w:after="0" w:line="240" w:lineRule="auto"/>
              <w:jc w:val="center"/>
              <w:rPr>
                <w:rFonts w:ascii="Times New Roman" w:eastAsia="Calibri" w:hAnsi="Times New Roman" w:cs="Times New Roman"/>
                <w:b/>
                <w:bCs/>
                <w:color w:val="000000"/>
                <w:sz w:val="24"/>
                <w:szCs w:val="24"/>
                <w:lang w:eastAsia="bg-BG"/>
              </w:rPr>
            </w:pPr>
            <w:r w:rsidRPr="00F65234">
              <w:rPr>
                <w:rFonts w:ascii="Times New Roman" w:eastAsia="Calibri" w:hAnsi="Times New Roman" w:cs="Times New Roman"/>
                <w:b/>
                <w:bCs/>
                <w:color w:val="000000"/>
                <w:sz w:val="24"/>
                <w:szCs w:val="24"/>
                <w:lang w:eastAsia="bg-BG"/>
              </w:rPr>
              <w:t>2022 г.</w:t>
            </w:r>
          </w:p>
        </w:tc>
        <w:tc>
          <w:tcPr>
            <w:tcW w:w="2268" w:type="dxa"/>
            <w:tcBorders>
              <w:top w:val="nil"/>
              <w:left w:val="nil"/>
              <w:bottom w:val="single" w:sz="4" w:space="0" w:color="auto"/>
              <w:right w:val="single" w:sz="4" w:space="0" w:color="auto"/>
            </w:tcBorders>
            <w:hideMark/>
          </w:tcPr>
          <w:p w14:paraId="791E2B89" w14:textId="77777777" w:rsidR="00F65234" w:rsidRPr="00F65234" w:rsidRDefault="00F65234" w:rsidP="00F65234">
            <w:pPr>
              <w:spacing w:after="0" w:line="240" w:lineRule="auto"/>
              <w:jc w:val="center"/>
              <w:rPr>
                <w:rFonts w:ascii="Times New Roman" w:eastAsia="Calibri" w:hAnsi="Times New Roman" w:cs="Times New Roman"/>
                <w:bCs/>
                <w:color w:val="000000"/>
                <w:sz w:val="24"/>
                <w:szCs w:val="24"/>
                <w:lang w:eastAsia="bg-BG"/>
              </w:rPr>
            </w:pPr>
            <w:r w:rsidRPr="00F65234">
              <w:rPr>
                <w:rFonts w:ascii="Times New Roman" w:eastAsia="Calibri" w:hAnsi="Times New Roman" w:cs="Times New Roman"/>
                <w:bCs/>
                <w:color w:val="000000"/>
                <w:sz w:val="24"/>
                <w:szCs w:val="24"/>
                <w:lang w:eastAsia="bg-BG"/>
              </w:rPr>
              <w:t>2021 г.</w:t>
            </w:r>
          </w:p>
        </w:tc>
        <w:tc>
          <w:tcPr>
            <w:tcW w:w="2409" w:type="dxa"/>
            <w:tcBorders>
              <w:top w:val="nil"/>
              <w:left w:val="nil"/>
              <w:bottom w:val="single" w:sz="4" w:space="0" w:color="auto"/>
              <w:right w:val="single" w:sz="8" w:space="0" w:color="auto"/>
            </w:tcBorders>
            <w:hideMark/>
          </w:tcPr>
          <w:p w14:paraId="15790FE6" w14:textId="77777777" w:rsidR="00F65234" w:rsidRPr="00F65234" w:rsidRDefault="00F65234" w:rsidP="00F65234">
            <w:pPr>
              <w:spacing w:after="0" w:line="240" w:lineRule="auto"/>
              <w:jc w:val="center"/>
              <w:rPr>
                <w:rFonts w:ascii="Times New Roman" w:eastAsia="Calibri" w:hAnsi="Times New Roman" w:cs="Times New Roman"/>
                <w:bCs/>
                <w:color w:val="000000"/>
                <w:sz w:val="24"/>
                <w:szCs w:val="24"/>
                <w:lang w:eastAsia="bg-BG"/>
              </w:rPr>
            </w:pPr>
            <w:r w:rsidRPr="00F65234">
              <w:rPr>
                <w:rFonts w:ascii="Times New Roman" w:eastAsia="Calibri" w:hAnsi="Times New Roman" w:cs="Times New Roman"/>
                <w:bCs/>
                <w:color w:val="000000"/>
                <w:sz w:val="24"/>
                <w:szCs w:val="24"/>
                <w:lang w:eastAsia="bg-BG"/>
              </w:rPr>
              <w:t>2020 г.</w:t>
            </w:r>
          </w:p>
        </w:tc>
      </w:tr>
      <w:tr w:rsidR="00F65234" w:rsidRPr="00F65234" w14:paraId="131E39E6" w14:textId="77777777" w:rsidTr="00F65234">
        <w:trPr>
          <w:trHeight w:val="315"/>
        </w:trPr>
        <w:tc>
          <w:tcPr>
            <w:tcW w:w="2350" w:type="dxa"/>
            <w:tcBorders>
              <w:top w:val="nil"/>
              <w:left w:val="single" w:sz="8" w:space="0" w:color="auto"/>
              <w:bottom w:val="single" w:sz="4" w:space="0" w:color="auto"/>
              <w:right w:val="single" w:sz="4" w:space="0" w:color="auto"/>
            </w:tcBorders>
            <w:vAlign w:val="center"/>
            <w:hideMark/>
          </w:tcPr>
          <w:p w14:paraId="67CC74EC"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Монтана</w:t>
            </w:r>
          </w:p>
        </w:tc>
        <w:tc>
          <w:tcPr>
            <w:tcW w:w="2470" w:type="dxa"/>
            <w:tcBorders>
              <w:top w:val="nil"/>
              <w:left w:val="nil"/>
              <w:bottom w:val="single" w:sz="4" w:space="0" w:color="auto"/>
              <w:right w:val="single" w:sz="4" w:space="0" w:color="auto"/>
            </w:tcBorders>
            <w:vAlign w:val="center"/>
            <w:hideMark/>
          </w:tcPr>
          <w:p w14:paraId="29AE71E7"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r w:rsidRPr="00F65234">
              <w:rPr>
                <w:rFonts w:ascii="Times New Roman" w:eastAsia="Calibri" w:hAnsi="Times New Roman" w:cs="Times New Roman"/>
                <w:b/>
                <w:sz w:val="24"/>
                <w:szCs w:val="24"/>
                <w:lang w:eastAsia="bg-BG"/>
              </w:rPr>
              <w:t>678</w:t>
            </w:r>
          </w:p>
        </w:tc>
        <w:tc>
          <w:tcPr>
            <w:tcW w:w="2268" w:type="dxa"/>
            <w:tcBorders>
              <w:top w:val="nil"/>
              <w:left w:val="nil"/>
              <w:bottom w:val="single" w:sz="4" w:space="0" w:color="auto"/>
              <w:right w:val="single" w:sz="4" w:space="0" w:color="auto"/>
            </w:tcBorders>
            <w:vAlign w:val="center"/>
            <w:hideMark/>
          </w:tcPr>
          <w:p w14:paraId="24548189"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672</w:t>
            </w:r>
          </w:p>
        </w:tc>
        <w:tc>
          <w:tcPr>
            <w:tcW w:w="2409" w:type="dxa"/>
            <w:tcBorders>
              <w:top w:val="nil"/>
              <w:left w:val="nil"/>
              <w:bottom w:val="single" w:sz="4" w:space="0" w:color="auto"/>
              <w:right w:val="single" w:sz="8" w:space="0" w:color="auto"/>
            </w:tcBorders>
            <w:vAlign w:val="center"/>
            <w:hideMark/>
          </w:tcPr>
          <w:p w14:paraId="58FA3DB5"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356</w:t>
            </w:r>
          </w:p>
        </w:tc>
      </w:tr>
      <w:tr w:rsidR="00F65234" w:rsidRPr="00F65234" w14:paraId="4134E3A0" w14:textId="77777777" w:rsidTr="00F65234">
        <w:trPr>
          <w:trHeight w:val="315"/>
        </w:trPr>
        <w:tc>
          <w:tcPr>
            <w:tcW w:w="2350" w:type="dxa"/>
            <w:tcBorders>
              <w:top w:val="nil"/>
              <w:left w:val="single" w:sz="8" w:space="0" w:color="auto"/>
              <w:bottom w:val="single" w:sz="4" w:space="0" w:color="auto"/>
              <w:right w:val="single" w:sz="4" w:space="0" w:color="auto"/>
            </w:tcBorders>
            <w:vAlign w:val="center"/>
            <w:hideMark/>
          </w:tcPr>
          <w:p w14:paraId="099FEAAD"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lastRenderedPageBreak/>
              <w:t>РП Лом</w:t>
            </w:r>
          </w:p>
        </w:tc>
        <w:tc>
          <w:tcPr>
            <w:tcW w:w="2470" w:type="dxa"/>
            <w:tcBorders>
              <w:top w:val="nil"/>
              <w:left w:val="nil"/>
              <w:bottom w:val="single" w:sz="4" w:space="0" w:color="auto"/>
              <w:right w:val="single" w:sz="4" w:space="0" w:color="auto"/>
            </w:tcBorders>
            <w:vAlign w:val="center"/>
          </w:tcPr>
          <w:p w14:paraId="56FA9236"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p>
        </w:tc>
        <w:tc>
          <w:tcPr>
            <w:tcW w:w="2268" w:type="dxa"/>
            <w:tcBorders>
              <w:top w:val="nil"/>
              <w:left w:val="nil"/>
              <w:bottom w:val="single" w:sz="4" w:space="0" w:color="auto"/>
              <w:right w:val="single" w:sz="4" w:space="0" w:color="auto"/>
            </w:tcBorders>
            <w:vAlign w:val="center"/>
          </w:tcPr>
          <w:p w14:paraId="65C817A1"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p>
        </w:tc>
        <w:tc>
          <w:tcPr>
            <w:tcW w:w="2409" w:type="dxa"/>
            <w:tcBorders>
              <w:top w:val="nil"/>
              <w:left w:val="nil"/>
              <w:bottom w:val="single" w:sz="4" w:space="0" w:color="auto"/>
              <w:right w:val="single" w:sz="8" w:space="0" w:color="auto"/>
            </w:tcBorders>
            <w:vAlign w:val="center"/>
            <w:hideMark/>
          </w:tcPr>
          <w:p w14:paraId="483F588D"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287</w:t>
            </w:r>
          </w:p>
        </w:tc>
      </w:tr>
      <w:tr w:rsidR="00F65234" w:rsidRPr="00F65234" w14:paraId="2076E418" w14:textId="77777777" w:rsidTr="00F65234">
        <w:trPr>
          <w:trHeight w:val="315"/>
        </w:trPr>
        <w:tc>
          <w:tcPr>
            <w:tcW w:w="2350" w:type="dxa"/>
            <w:tcBorders>
              <w:top w:val="nil"/>
              <w:left w:val="single" w:sz="8" w:space="0" w:color="auto"/>
              <w:bottom w:val="single" w:sz="4" w:space="0" w:color="auto"/>
              <w:right w:val="single" w:sz="4" w:space="0" w:color="auto"/>
            </w:tcBorders>
            <w:vAlign w:val="center"/>
            <w:hideMark/>
          </w:tcPr>
          <w:p w14:paraId="250D5921"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Берковица</w:t>
            </w:r>
          </w:p>
        </w:tc>
        <w:tc>
          <w:tcPr>
            <w:tcW w:w="2470" w:type="dxa"/>
            <w:tcBorders>
              <w:top w:val="nil"/>
              <w:left w:val="nil"/>
              <w:bottom w:val="single" w:sz="4" w:space="0" w:color="auto"/>
              <w:right w:val="single" w:sz="4" w:space="0" w:color="auto"/>
            </w:tcBorders>
            <w:vAlign w:val="center"/>
          </w:tcPr>
          <w:p w14:paraId="0C20FEF7"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p>
        </w:tc>
        <w:tc>
          <w:tcPr>
            <w:tcW w:w="2268" w:type="dxa"/>
            <w:tcBorders>
              <w:top w:val="nil"/>
              <w:left w:val="nil"/>
              <w:bottom w:val="single" w:sz="4" w:space="0" w:color="auto"/>
              <w:right w:val="single" w:sz="4" w:space="0" w:color="auto"/>
            </w:tcBorders>
            <w:vAlign w:val="center"/>
          </w:tcPr>
          <w:p w14:paraId="68E1F124"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p>
        </w:tc>
        <w:tc>
          <w:tcPr>
            <w:tcW w:w="2409" w:type="dxa"/>
            <w:tcBorders>
              <w:top w:val="nil"/>
              <w:left w:val="nil"/>
              <w:bottom w:val="single" w:sz="4" w:space="0" w:color="auto"/>
              <w:right w:val="single" w:sz="8" w:space="0" w:color="auto"/>
            </w:tcBorders>
            <w:vAlign w:val="center"/>
            <w:hideMark/>
          </w:tcPr>
          <w:p w14:paraId="3EECE0BF"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103</w:t>
            </w:r>
          </w:p>
        </w:tc>
      </w:tr>
      <w:tr w:rsidR="00F65234" w:rsidRPr="00F65234" w14:paraId="14418D23" w14:textId="77777777" w:rsidTr="00F65234">
        <w:trPr>
          <w:trHeight w:val="315"/>
        </w:trPr>
        <w:tc>
          <w:tcPr>
            <w:tcW w:w="2350" w:type="dxa"/>
            <w:tcBorders>
              <w:top w:val="nil"/>
              <w:left w:val="single" w:sz="8" w:space="0" w:color="auto"/>
              <w:bottom w:val="nil"/>
              <w:right w:val="single" w:sz="4" w:space="0" w:color="auto"/>
            </w:tcBorders>
            <w:vAlign w:val="center"/>
            <w:hideMark/>
          </w:tcPr>
          <w:p w14:paraId="0C1924FE" w14:textId="77777777" w:rsidR="00F65234" w:rsidRPr="00F65234" w:rsidRDefault="00F65234" w:rsidP="00F65234">
            <w:pPr>
              <w:spacing w:after="0" w:line="240" w:lineRule="auto"/>
              <w:rPr>
                <w:rFonts w:ascii="Times New Roman" w:eastAsia="Calibri" w:hAnsi="Times New Roman" w:cs="Times New Roman"/>
                <w:b/>
                <w:bCs/>
                <w:color w:val="000000"/>
                <w:sz w:val="24"/>
                <w:szCs w:val="24"/>
                <w:lang w:eastAsia="bg-BG"/>
              </w:rPr>
            </w:pPr>
            <w:r w:rsidRPr="00F65234">
              <w:rPr>
                <w:rFonts w:ascii="Times New Roman" w:eastAsia="Calibri" w:hAnsi="Times New Roman" w:cs="Times New Roman"/>
                <w:b/>
                <w:bCs/>
                <w:color w:val="000000"/>
                <w:sz w:val="24"/>
                <w:szCs w:val="24"/>
                <w:lang w:eastAsia="bg-BG"/>
              </w:rPr>
              <w:t>Общо за РП</w:t>
            </w:r>
          </w:p>
        </w:tc>
        <w:tc>
          <w:tcPr>
            <w:tcW w:w="2470" w:type="dxa"/>
            <w:tcBorders>
              <w:top w:val="nil"/>
              <w:left w:val="nil"/>
              <w:bottom w:val="nil"/>
              <w:right w:val="single" w:sz="4" w:space="0" w:color="auto"/>
            </w:tcBorders>
            <w:vAlign w:val="center"/>
          </w:tcPr>
          <w:p w14:paraId="3BACE78F" w14:textId="77777777" w:rsidR="00F65234" w:rsidRPr="00F65234" w:rsidRDefault="00F65234" w:rsidP="00F65234">
            <w:pPr>
              <w:spacing w:after="0" w:line="240" w:lineRule="auto"/>
              <w:jc w:val="center"/>
              <w:rPr>
                <w:rFonts w:ascii="Times New Roman" w:eastAsia="Calibri" w:hAnsi="Times New Roman" w:cs="Times New Roman"/>
                <w:b/>
                <w:bCs/>
                <w:sz w:val="24"/>
                <w:szCs w:val="24"/>
                <w:lang w:eastAsia="bg-BG"/>
              </w:rPr>
            </w:pPr>
          </w:p>
        </w:tc>
        <w:tc>
          <w:tcPr>
            <w:tcW w:w="2268" w:type="dxa"/>
            <w:tcBorders>
              <w:top w:val="nil"/>
              <w:left w:val="nil"/>
              <w:bottom w:val="nil"/>
              <w:right w:val="single" w:sz="4" w:space="0" w:color="auto"/>
            </w:tcBorders>
            <w:vAlign w:val="center"/>
          </w:tcPr>
          <w:p w14:paraId="733C3722" w14:textId="77777777" w:rsidR="00F65234" w:rsidRPr="00F65234" w:rsidRDefault="00F65234" w:rsidP="00F65234">
            <w:pPr>
              <w:spacing w:after="0" w:line="240" w:lineRule="auto"/>
              <w:jc w:val="center"/>
              <w:rPr>
                <w:rFonts w:ascii="Times New Roman" w:eastAsia="Calibri" w:hAnsi="Times New Roman" w:cs="Times New Roman"/>
                <w:b/>
                <w:bCs/>
                <w:sz w:val="24"/>
                <w:szCs w:val="24"/>
                <w:lang w:eastAsia="bg-BG"/>
              </w:rPr>
            </w:pPr>
          </w:p>
        </w:tc>
        <w:tc>
          <w:tcPr>
            <w:tcW w:w="2409" w:type="dxa"/>
            <w:tcBorders>
              <w:top w:val="nil"/>
              <w:left w:val="nil"/>
              <w:bottom w:val="nil"/>
              <w:right w:val="single" w:sz="8" w:space="0" w:color="auto"/>
            </w:tcBorders>
            <w:vAlign w:val="center"/>
            <w:hideMark/>
          </w:tcPr>
          <w:p w14:paraId="681BF98D" w14:textId="77777777" w:rsidR="00F65234" w:rsidRPr="00F65234" w:rsidRDefault="00F65234" w:rsidP="00F65234">
            <w:pPr>
              <w:spacing w:after="0" w:line="240" w:lineRule="auto"/>
              <w:jc w:val="center"/>
              <w:rPr>
                <w:rFonts w:ascii="Times New Roman" w:eastAsia="Calibri" w:hAnsi="Times New Roman" w:cs="Times New Roman"/>
                <w:b/>
                <w:bCs/>
                <w:sz w:val="24"/>
                <w:szCs w:val="24"/>
                <w:lang w:eastAsia="bg-BG"/>
              </w:rPr>
            </w:pPr>
            <w:r w:rsidRPr="00F65234">
              <w:rPr>
                <w:rFonts w:ascii="Times New Roman" w:eastAsia="Calibri" w:hAnsi="Times New Roman" w:cs="Times New Roman"/>
                <w:b/>
                <w:bCs/>
                <w:sz w:val="24"/>
                <w:szCs w:val="24"/>
                <w:lang w:eastAsia="bg-BG"/>
              </w:rPr>
              <w:t>746</w:t>
            </w:r>
          </w:p>
        </w:tc>
      </w:tr>
      <w:tr w:rsidR="00F65234" w:rsidRPr="00F65234" w14:paraId="2219DB98" w14:textId="77777777" w:rsidTr="00F65234">
        <w:trPr>
          <w:trHeight w:val="390"/>
        </w:trPr>
        <w:tc>
          <w:tcPr>
            <w:tcW w:w="2350" w:type="dxa"/>
            <w:tcBorders>
              <w:top w:val="single" w:sz="4" w:space="0" w:color="auto"/>
              <w:left w:val="single" w:sz="8" w:space="0" w:color="auto"/>
              <w:bottom w:val="single" w:sz="8" w:space="0" w:color="auto"/>
              <w:right w:val="single" w:sz="4" w:space="0" w:color="auto"/>
            </w:tcBorders>
            <w:vAlign w:val="bottom"/>
            <w:hideMark/>
          </w:tcPr>
          <w:p w14:paraId="31D0354F"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ОП Монтана</w:t>
            </w:r>
          </w:p>
        </w:tc>
        <w:tc>
          <w:tcPr>
            <w:tcW w:w="2470" w:type="dxa"/>
            <w:tcBorders>
              <w:top w:val="single" w:sz="4" w:space="0" w:color="auto"/>
              <w:left w:val="nil"/>
              <w:bottom w:val="single" w:sz="8" w:space="0" w:color="auto"/>
              <w:right w:val="single" w:sz="4" w:space="0" w:color="auto"/>
            </w:tcBorders>
            <w:vAlign w:val="bottom"/>
            <w:hideMark/>
          </w:tcPr>
          <w:p w14:paraId="1B99D704"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r w:rsidRPr="00F65234">
              <w:rPr>
                <w:rFonts w:ascii="Times New Roman" w:eastAsia="Calibri" w:hAnsi="Times New Roman" w:cs="Times New Roman"/>
                <w:b/>
                <w:sz w:val="24"/>
                <w:szCs w:val="24"/>
                <w:lang w:eastAsia="bg-BG"/>
              </w:rPr>
              <w:t>21</w:t>
            </w:r>
          </w:p>
        </w:tc>
        <w:tc>
          <w:tcPr>
            <w:tcW w:w="2268" w:type="dxa"/>
            <w:tcBorders>
              <w:top w:val="single" w:sz="4" w:space="0" w:color="auto"/>
              <w:left w:val="nil"/>
              <w:bottom w:val="single" w:sz="8" w:space="0" w:color="auto"/>
              <w:right w:val="single" w:sz="4" w:space="0" w:color="auto"/>
            </w:tcBorders>
            <w:vAlign w:val="bottom"/>
            <w:hideMark/>
          </w:tcPr>
          <w:p w14:paraId="77DA7A95"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32</w:t>
            </w:r>
          </w:p>
        </w:tc>
        <w:tc>
          <w:tcPr>
            <w:tcW w:w="2409" w:type="dxa"/>
            <w:tcBorders>
              <w:top w:val="single" w:sz="4" w:space="0" w:color="auto"/>
              <w:left w:val="nil"/>
              <w:bottom w:val="single" w:sz="8" w:space="0" w:color="auto"/>
              <w:right w:val="single" w:sz="8" w:space="0" w:color="auto"/>
            </w:tcBorders>
            <w:vAlign w:val="bottom"/>
            <w:hideMark/>
          </w:tcPr>
          <w:p w14:paraId="139DA6EF"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29</w:t>
            </w:r>
          </w:p>
        </w:tc>
      </w:tr>
    </w:tbl>
    <w:p w14:paraId="550A159B" w14:textId="77777777" w:rsidR="00F65234" w:rsidRPr="00F65234" w:rsidRDefault="00F65234" w:rsidP="00F65234">
      <w:pPr>
        <w:spacing w:after="0" w:line="240" w:lineRule="auto"/>
        <w:rPr>
          <w:rFonts w:ascii="Calibri" w:eastAsia="Calibri" w:hAnsi="Calibri" w:cs="Times New Roman"/>
        </w:rPr>
      </w:pPr>
    </w:p>
    <w:p w14:paraId="7EEBCEC5" w14:textId="77777777" w:rsidR="00F65234" w:rsidRPr="00F65234" w:rsidRDefault="00F65234" w:rsidP="00F65234">
      <w:pPr>
        <w:ind w:firstLine="708"/>
        <w:jc w:val="both"/>
        <w:rPr>
          <w:rFonts w:ascii="Times New Roman" w:eastAsia="Calibri" w:hAnsi="Times New Roman" w:cs="Times New Roman"/>
          <w:b/>
          <w:i/>
          <w:sz w:val="28"/>
          <w:szCs w:val="28"/>
        </w:rPr>
      </w:pPr>
      <w:r w:rsidRPr="00F65234">
        <w:rPr>
          <w:rFonts w:ascii="Times New Roman" w:eastAsia="Calibri" w:hAnsi="Times New Roman" w:cs="Times New Roman"/>
          <w:b/>
          <w:i/>
          <w:sz w:val="28"/>
          <w:szCs w:val="28"/>
        </w:rPr>
        <w:t>1.4. Общо участие в съдебни заседания/дни.</w:t>
      </w:r>
    </w:p>
    <w:p w14:paraId="3768583F" w14:textId="77777777"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 xml:space="preserve">По този показател са представени участията в съдебни заседания по НСН, АСН и ГСН. </w:t>
      </w:r>
    </w:p>
    <w:p w14:paraId="390E4C51" w14:textId="053C0729"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През 202</w:t>
      </w:r>
      <w:r w:rsidR="00AB1256">
        <w:rPr>
          <w:rFonts w:ascii="Times New Roman" w:eastAsia="Calibri" w:hAnsi="Times New Roman" w:cs="Times New Roman"/>
          <w:sz w:val="28"/>
          <w:szCs w:val="28"/>
        </w:rPr>
        <w:t>2</w:t>
      </w:r>
      <w:r w:rsidRPr="00F65234">
        <w:rPr>
          <w:rFonts w:ascii="Times New Roman" w:eastAsia="Calibri" w:hAnsi="Times New Roman" w:cs="Times New Roman"/>
          <w:sz w:val="28"/>
          <w:szCs w:val="28"/>
        </w:rPr>
        <w:t xml:space="preserve"> г. прокурорите от региона на ОП Монтана са взели участие в общо  </w:t>
      </w:r>
      <w:r w:rsidRPr="00F65234">
        <w:rPr>
          <w:rFonts w:ascii="Times New Roman" w:eastAsia="Calibri" w:hAnsi="Times New Roman" w:cs="Times New Roman"/>
          <w:b/>
          <w:sz w:val="28"/>
          <w:szCs w:val="28"/>
        </w:rPr>
        <w:t>2233</w:t>
      </w:r>
      <w:r w:rsidRPr="00F65234">
        <w:rPr>
          <w:rFonts w:ascii="Times New Roman" w:eastAsia="Calibri" w:hAnsi="Times New Roman" w:cs="Times New Roman"/>
          <w:sz w:val="28"/>
          <w:szCs w:val="28"/>
        </w:rPr>
        <w:t xml:space="preserve"> (2365 през 2021 г. и 2098 през 2020 г.)  съдебни заседания, от които 617 бр. на прокурори от ОП-Монтана, а останалите – на РП Монтана. Налице е намаление на броя на съдебните заседания 5,4 0% спрямо 2021 г. и увеличение с 6% спрямо 2020 г. </w:t>
      </w:r>
      <w:r w:rsidRPr="00F65234">
        <w:rPr>
          <w:rFonts w:ascii="Times New Roman" w:eastAsia="Calibri" w:hAnsi="Times New Roman" w:cs="Times New Roman"/>
          <w:sz w:val="28"/>
        </w:rPr>
        <w:t>Следователно – очертава се тригодишна тенденция за сравнителна устойчивост по този показател.</w:t>
      </w:r>
    </w:p>
    <w:p w14:paraId="74929AB0" w14:textId="77777777"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rPr>
      </w:pPr>
      <w:r w:rsidRPr="00F65234">
        <w:rPr>
          <w:rFonts w:ascii="Times New Roman" w:eastAsia="Calibri" w:hAnsi="Times New Roman" w:cs="Times New Roman"/>
          <w:sz w:val="28"/>
        </w:rPr>
        <w:t xml:space="preserve">Данните за участията в съдебни заседания през този тригодишен период по прокуратури са отразени в табличен вид по-долу. </w:t>
      </w:r>
    </w:p>
    <w:p w14:paraId="374534EB"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rPr>
      </w:pPr>
    </w:p>
    <w:tbl>
      <w:tblPr>
        <w:tblW w:w="9649" w:type="dxa"/>
        <w:tblInd w:w="60" w:type="dxa"/>
        <w:tblCellMar>
          <w:left w:w="70" w:type="dxa"/>
          <w:right w:w="70" w:type="dxa"/>
        </w:tblCellMar>
        <w:tblLook w:val="04A0" w:firstRow="1" w:lastRow="0" w:firstColumn="1" w:lastColumn="0" w:noHBand="0" w:noVBand="1"/>
      </w:tblPr>
      <w:tblGrid>
        <w:gridCol w:w="2350"/>
        <w:gridCol w:w="2338"/>
        <w:gridCol w:w="2268"/>
        <w:gridCol w:w="2693"/>
      </w:tblGrid>
      <w:tr w:rsidR="00F65234" w:rsidRPr="00F65234" w14:paraId="5E64311D" w14:textId="77777777" w:rsidTr="00F65234">
        <w:trPr>
          <w:trHeight w:val="1095"/>
        </w:trPr>
        <w:tc>
          <w:tcPr>
            <w:tcW w:w="2350" w:type="dxa"/>
            <w:vMerge w:val="restart"/>
            <w:tcBorders>
              <w:top w:val="single" w:sz="8" w:space="0" w:color="auto"/>
              <w:left w:val="single" w:sz="8" w:space="0" w:color="auto"/>
              <w:bottom w:val="single" w:sz="4" w:space="0" w:color="000000"/>
              <w:right w:val="single" w:sz="4" w:space="0" w:color="auto"/>
            </w:tcBorders>
            <w:hideMark/>
          </w:tcPr>
          <w:p w14:paraId="750BF342" w14:textId="77777777" w:rsidR="00F65234" w:rsidRPr="00F65234" w:rsidRDefault="00F65234" w:rsidP="00F65234">
            <w:pPr>
              <w:spacing w:after="0" w:line="240" w:lineRule="auto"/>
              <w:ind w:firstLine="709"/>
              <w:jc w:val="center"/>
              <w:rPr>
                <w:rFonts w:ascii="Times New Roman" w:eastAsia="Calibri" w:hAnsi="Times New Roman" w:cs="Times New Roman"/>
                <w:b/>
                <w:bCs/>
                <w:i/>
                <w:color w:val="000000"/>
                <w:sz w:val="20"/>
                <w:szCs w:val="20"/>
                <w:lang w:eastAsia="bg-BG"/>
              </w:rPr>
            </w:pPr>
            <w:r w:rsidRPr="00F65234">
              <w:rPr>
                <w:rFonts w:ascii="Times New Roman" w:eastAsia="Calibri" w:hAnsi="Times New Roman" w:cs="Times New Roman"/>
                <w:b/>
                <w:bCs/>
                <w:i/>
                <w:color w:val="000000"/>
                <w:sz w:val="20"/>
                <w:szCs w:val="20"/>
                <w:lang w:eastAsia="bg-BG"/>
              </w:rPr>
              <w:br/>
            </w:r>
            <w:r w:rsidRPr="00F65234">
              <w:rPr>
                <w:rFonts w:ascii="Times New Roman" w:eastAsia="Calibri" w:hAnsi="Times New Roman" w:cs="Times New Roman"/>
                <w:b/>
                <w:bCs/>
                <w:i/>
                <w:color w:val="000000"/>
                <w:sz w:val="20"/>
                <w:szCs w:val="20"/>
                <w:lang w:eastAsia="bg-BG"/>
              </w:rPr>
              <w:br/>
              <w:t>Прокуратура</w:t>
            </w:r>
          </w:p>
        </w:tc>
        <w:tc>
          <w:tcPr>
            <w:tcW w:w="7299" w:type="dxa"/>
            <w:gridSpan w:val="3"/>
            <w:tcBorders>
              <w:top w:val="single" w:sz="8" w:space="0" w:color="auto"/>
              <w:left w:val="nil"/>
              <w:bottom w:val="single" w:sz="4" w:space="0" w:color="auto"/>
              <w:right w:val="single" w:sz="8" w:space="0" w:color="000000"/>
            </w:tcBorders>
            <w:vAlign w:val="center"/>
            <w:hideMark/>
          </w:tcPr>
          <w:p w14:paraId="66802DA6" w14:textId="77777777" w:rsidR="00F65234" w:rsidRPr="00F65234" w:rsidRDefault="00F65234" w:rsidP="00F65234">
            <w:pPr>
              <w:spacing w:after="0" w:line="240" w:lineRule="auto"/>
              <w:jc w:val="center"/>
              <w:rPr>
                <w:rFonts w:ascii="Times New Roman" w:eastAsia="Calibri" w:hAnsi="Times New Roman" w:cs="Times New Roman"/>
                <w:b/>
                <w:bCs/>
                <w:i/>
                <w:iCs/>
                <w:color w:val="000000"/>
                <w:sz w:val="20"/>
                <w:szCs w:val="20"/>
                <w:lang w:eastAsia="bg-BG"/>
              </w:rPr>
            </w:pPr>
            <w:r w:rsidRPr="00F65234">
              <w:rPr>
                <w:rFonts w:ascii="Times New Roman" w:eastAsia="Calibri" w:hAnsi="Times New Roman" w:cs="Times New Roman"/>
                <w:b/>
                <w:bCs/>
                <w:i/>
                <w:iCs/>
                <w:color w:val="000000"/>
                <w:sz w:val="20"/>
                <w:szCs w:val="20"/>
                <w:lang w:eastAsia="bg-BG"/>
              </w:rPr>
              <w:t>Общо участия в съдебни заседания</w:t>
            </w:r>
          </w:p>
        </w:tc>
      </w:tr>
      <w:tr w:rsidR="00F65234" w:rsidRPr="00F65234" w14:paraId="45FF64D6" w14:textId="77777777" w:rsidTr="00F65234">
        <w:trPr>
          <w:trHeight w:val="300"/>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44BD1062" w14:textId="77777777" w:rsidR="00F65234" w:rsidRPr="00F65234" w:rsidRDefault="00F65234" w:rsidP="00F65234">
            <w:pPr>
              <w:spacing w:after="0" w:line="240" w:lineRule="auto"/>
              <w:rPr>
                <w:rFonts w:ascii="Times New Roman" w:eastAsia="Calibri" w:hAnsi="Times New Roman" w:cs="Times New Roman"/>
                <w:b/>
                <w:bCs/>
                <w:i/>
                <w:color w:val="000000"/>
                <w:sz w:val="20"/>
                <w:szCs w:val="20"/>
                <w:lang w:eastAsia="bg-BG"/>
              </w:rPr>
            </w:pPr>
          </w:p>
        </w:tc>
        <w:tc>
          <w:tcPr>
            <w:tcW w:w="2338" w:type="dxa"/>
            <w:tcBorders>
              <w:top w:val="nil"/>
              <w:left w:val="nil"/>
              <w:bottom w:val="single" w:sz="4" w:space="0" w:color="auto"/>
              <w:right w:val="single" w:sz="4" w:space="0" w:color="auto"/>
            </w:tcBorders>
            <w:shd w:val="clear" w:color="auto" w:fill="D6E3BC"/>
            <w:hideMark/>
          </w:tcPr>
          <w:p w14:paraId="242A5A31" w14:textId="77777777" w:rsidR="00F65234" w:rsidRPr="00F65234" w:rsidRDefault="00F65234" w:rsidP="00F65234">
            <w:pPr>
              <w:spacing w:after="0" w:line="240" w:lineRule="auto"/>
              <w:jc w:val="center"/>
              <w:rPr>
                <w:rFonts w:ascii="Times New Roman" w:eastAsia="Calibri" w:hAnsi="Times New Roman" w:cs="Times New Roman"/>
                <w:b/>
                <w:bCs/>
                <w:sz w:val="24"/>
                <w:szCs w:val="24"/>
                <w:lang w:eastAsia="bg-BG"/>
              </w:rPr>
            </w:pPr>
            <w:r w:rsidRPr="00F65234">
              <w:rPr>
                <w:rFonts w:ascii="Times New Roman" w:eastAsia="Calibri" w:hAnsi="Times New Roman" w:cs="Times New Roman"/>
                <w:b/>
                <w:bCs/>
                <w:sz w:val="24"/>
                <w:szCs w:val="24"/>
                <w:lang w:eastAsia="bg-BG"/>
              </w:rPr>
              <w:t>2022 г.</w:t>
            </w:r>
          </w:p>
        </w:tc>
        <w:tc>
          <w:tcPr>
            <w:tcW w:w="2268" w:type="dxa"/>
            <w:tcBorders>
              <w:top w:val="nil"/>
              <w:left w:val="nil"/>
              <w:bottom w:val="single" w:sz="4" w:space="0" w:color="auto"/>
              <w:right w:val="single" w:sz="4" w:space="0" w:color="auto"/>
            </w:tcBorders>
            <w:hideMark/>
          </w:tcPr>
          <w:p w14:paraId="07D2D46F" w14:textId="77777777" w:rsidR="00F65234" w:rsidRPr="00F65234" w:rsidRDefault="00F65234" w:rsidP="00F65234">
            <w:pPr>
              <w:spacing w:after="0" w:line="240" w:lineRule="auto"/>
              <w:jc w:val="center"/>
              <w:rPr>
                <w:rFonts w:ascii="Times New Roman" w:eastAsia="Calibri" w:hAnsi="Times New Roman" w:cs="Times New Roman"/>
                <w:bCs/>
                <w:sz w:val="24"/>
                <w:szCs w:val="24"/>
                <w:lang w:eastAsia="bg-BG"/>
              </w:rPr>
            </w:pPr>
            <w:r w:rsidRPr="00F65234">
              <w:rPr>
                <w:rFonts w:ascii="Times New Roman" w:eastAsia="Calibri" w:hAnsi="Times New Roman" w:cs="Times New Roman"/>
                <w:bCs/>
                <w:sz w:val="24"/>
                <w:szCs w:val="24"/>
                <w:lang w:eastAsia="bg-BG"/>
              </w:rPr>
              <w:t>2020 г.</w:t>
            </w:r>
          </w:p>
        </w:tc>
        <w:tc>
          <w:tcPr>
            <w:tcW w:w="2693" w:type="dxa"/>
            <w:tcBorders>
              <w:top w:val="nil"/>
              <w:left w:val="nil"/>
              <w:bottom w:val="single" w:sz="4" w:space="0" w:color="auto"/>
              <w:right w:val="single" w:sz="8" w:space="0" w:color="auto"/>
            </w:tcBorders>
            <w:hideMark/>
          </w:tcPr>
          <w:p w14:paraId="3E2C5681" w14:textId="77777777" w:rsidR="00F65234" w:rsidRPr="00F65234" w:rsidRDefault="00F65234" w:rsidP="00F65234">
            <w:pPr>
              <w:spacing w:after="0" w:line="240" w:lineRule="auto"/>
              <w:jc w:val="center"/>
              <w:rPr>
                <w:rFonts w:ascii="Times New Roman" w:eastAsia="Calibri" w:hAnsi="Times New Roman" w:cs="Times New Roman"/>
                <w:bCs/>
                <w:sz w:val="24"/>
                <w:szCs w:val="24"/>
                <w:lang w:eastAsia="bg-BG"/>
              </w:rPr>
            </w:pPr>
            <w:r w:rsidRPr="00F65234">
              <w:rPr>
                <w:rFonts w:ascii="Times New Roman" w:eastAsia="Calibri" w:hAnsi="Times New Roman" w:cs="Times New Roman"/>
                <w:bCs/>
                <w:sz w:val="24"/>
                <w:szCs w:val="24"/>
                <w:lang w:eastAsia="bg-BG"/>
              </w:rPr>
              <w:t>2020 г.</w:t>
            </w:r>
          </w:p>
        </w:tc>
      </w:tr>
      <w:tr w:rsidR="00F65234" w:rsidRPr="00F65234" w14:paraId="230E569F" w14:textId="77777777" w:rsidTr="00F65234">
        <w:trPr>
          <w:trHeight w:val="315"/>
        </w:trPr>
        <w:tc>
          <w:tcPr>
            <w:tcW w:w="2350" w:type="dxa"/>
            <w:tcBorders>
              <w:top w:val="nil"/>
              <w:left w:val="single" w:sz="8" w:space="0" w:color="auto"/>
              <w:bottom w:val="single" w:sz="4" w:space="0" w:color="auto"/>
              <w:right w:val="single" w:sz="4" w:space="0" w:color="auto"/>
            </w:tcBorders>
            <w:vAlign w:val="center"/>
            <w:hideMark/>
          </w:tcPr>
          <w:p w14:paraId="71CC34A4"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Монтана</w:t>
            </w:r>
          </w:p>
        </w:tc>
        <w:tc>
          <w:tcPr>
            <w:tcW w:w="2338" w:type="dxa"/>
            <w:tcBorders>
              <w:top w:val="nil"/>
              <w:left w:val="nil"/>
              <w:bottom w:val="single" w:sz="4" w:space="0" w:color="auto"/>
              <w:right w:val="single" w:sz="4" w:space="0" w:color="auto"/>
            </w:tcBorders>
            <w:shd w:val="clear" w:color="auto" w:fill="D6E3BC"/>
            <w:vAlign w:val="center"/>
            <w:hideMark/>
          </w:tcPr>
          <w:p w14:paraId="420C5BAF"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r w:rsidRPr="00F65234">
              <w:rPr>
                <w:rFonts w:ascii="Times New Roman" w:eastAsia="Calibri" w:hAnsi="Times New Roman" w:cs="Times New Roman"/>
                <w:b/>
                <w:sz w:val="24"/>
                <w:szCs w:val="24"/>
                <w:lang w:eastAsia="bg-BG"/>
              </w:rPr>
              <w:t>1616</w:t>
            </w:r>
          </w:p>
        </w:tc>
        <w:tc>
          <w:tcPr>
            <w:tcW w:w="2268" w:type="dxa"/>
            <w:tcBorders>
              <w:top w:val="nil"/>
              <w:left w:val="nil"/>
              <w:bottom w:val="single" w:sz="4" w:space="0" w:color="auto"/>
              <w:right w:val="single" w:sz="4" w:space="0" w:color="auto"/>
            </w:tcBorders>
            <w:shd w:val="clear" w:color="auto" w:fill="FFFFFF"/>
            <w:vAlign w:val="center"/>
            <w:hideMark/>
          </w:tcPr>
          <w:p w14:paraId="6F2615D3"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1788</w:t>
            </w:r>
          </w:p>
        </w:tc>
        <w:tc>
          <w:tcPr>
            <w:tcW w:w="2693" w:type="dxa"/>
            <w:tcBorders>
              <w:top w:val="nil"/>
              <w:left w:val="nil"/>
              <w:bottom w:val="single" w:sz="4" w:space="0" w:color="auto"/>
              <w:right w:val="single" w:sz="8" w:space="0" w:color="auto"/>
            </w:tcBorders>
            <w:shd w:val="clear" w:color="auto" w:fill="FFFFFF"/>
            <w:vAlign w:val="center"/>
            <w:hideMark/>
          </w:tcPr>
          <w:p w14:paraId="232023E9"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686</w:t>
            </w:r>
          </w:p>
        </w:tc>
      </w:tr>
      <w:tr w:rsidR="00F65234" w:rsidRPr="00F65234" w14:paraId="28792ABA" w14:textId="77777777" w:rsidTr="00F65234">
        <w:trPr>
          <w:trHeight w:val="315"/>
        </w:trPr>
        <w:tc>
          <w:tcPr>
            <w:tcW w:w="2350" w:type="dxa"/>
            <w:tcBorders>
              <w:top w:val="nil"/>
              <w:left w:val="single" w:sz="8" w:space="0" w:color="auto"/>
              <w:bottom w:val="single" w:sz="4" w:space="0" w:color="auto"/>
              <w:right w:val="single" w:sz="4" w:space="0" w:color="auto"/>
            </w:tcBorders>
            <w:vAlign w:val="center"/>
            <w:hideMark/>
          </w:tcPr>
          <w:p w14:paraId="781DD558"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Лом</w:t>
            </w:r>
          </w:p>
        </w:tc>
        <w:tc>
          <w:tcPr>
            <w:tcW w:w="2338" w:type="dxa"/>
            <w:tcBorders>
              <w:top w:val="nil"/>
              <w:left w:val="nil"/>
              <w:bottom w:val="single" w:sz="4" w:space="0" w:color="auto"/>
              <w:right w:val="single" w:sz="4" w:space="0" w:color="auto"/>
            </w:tcBorders>
            <w:shd w:val="clear" w:color="auto" w:fill="D6E3BC"/>
            <w:vAlign w:val="center"/>
          </w:tcPr>
          <w:p w14:paraId="2B8E8B07"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p>
        </w:tc>
        <w:tc>
          <w:tcPr>
            <w:tcW w:w="2268" w:type="dxa"/>
            <w:tcBorders>
              <w:top w:val="nil"/>
              <w:left w:val="nil"/>
              <w:bottom w:val="single" w:sz="4" w:space="0" w:color="auto"/>
              <w:right w:val="single" w:sz="4" w:space="0" w:color="auto"/>
            </w:tcBorders>
            <w:shd w:val="clear" w:color="auto" w:fill="FFFFFF"/>
            <w:vAlign w:val="center"/>
          </w:tcPr>
          <w:p w14:paraId="16786157"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p>
        </w:tc>
        <w:tc>
          <w:tcPr>
            <w:tcW w:w="2693" w:type="dxa"/>
            <w:tcBorders>
              <w:top w:val="nil"/>
              <w:left w:val="nil"/>
              <w:bottom w:val="single" w:sz="4" w:space="0" w:color="auto"/>
              <w:right w:val="single" w:sz="8" w:space="0" w:color="auto"/>
            </w:tcBorders>
            <w:shd w:val="clear" w:color="auto" w:fill="FFFFFF"/>
            <w:vAlign w:val="center"/>
            <w:hideMark/>
          </w:tcPr>
          <w:p w14:paraId="233AF942"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651</w:t>
            </w:r>
          </w:p>
        </w:tc>
      </w:tr>
      <w:tr w:rsidR="00F65234" w:rsidRPr="00F65234" w14:paraId="66CB4298" w14:textId="77777777" w:rsidTr="00F65234">
        <w:trPr>
          <w:trHeight w:val="315"/>
        </w:trPr>
        <w:tc>
          <w:tcPr>
            <w:tcW w:w="2350" w:type="dxa"/>
            <w:tcBorders>
              <w:top w:val="nil"/>
              <w:left w:val="single" w:sz="8" w:space="0" w:color="auto"/>
              <w:bottom w:val="single" w:sz="4" w:space="0" w:color="auto"/>
              <w:right w:val="single" w:sz="4" w:space="0" w:color="auto"/>
            </w:tcBorders>
            <w:vAlign w:val="center"/>
            <w:hideMark/>
          </w:tcPr>
          <w:p w14:paraId="4B68DB90"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Берковица</w:t>
            </w:r>
          </w:p>
        </w:tc>
        <w:tc>
          <w:tcPr>
            <w:tcW w:w="2338" w:type="dxa"/>
            <w:tcBorders>
              <w:top w:val="nil"/>
              <w:left w:val="nil"/>
              <w:bottom w:val="single" w:sz="4" w:space="0" w:color="auto"/>
              <w:right w:val="single" w:sz="4" w:space="0" w:color="auto"/>
            </w:tcBorders>
            <w:shd w:val="clear" w:color="auto" w:fill="D6E3BC"/>
            <w:vAlign w:val="center"/>
          </w:tcPr>
          <w:p w14:paraId="10BC13C8"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p>
        </w:tc>
        <w:tc>
          <w:tcPr>
            <w:tcW w:w="2268" w:type="dxa"/>
            <w:tcBorders>
              <w:top w:val="nil"/>
              <w:left w:val="nil"/>
              <w:bottom w:val="single" w:sz="4" w:space="0" w:color="auto"/>
              <w:right w:val="single" w:sz="4" w:space="0" w:color="auto"/>
            </w:tcBorders>
            <w:shd w:val="clear" w:color="auto" w:fill="FFFFFF"/>
            <w:vAlign w:val="center"/>
          </w:tcPr>
          <w:p w14:paraId="1A4FABC9"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p>
        </w:tc>
        <w:tc>
          <w:tcPr>
            <w:tcW w:w="2693" w:type="dxa"/>
            <w:tcBorders>
              <w:top w:val="nil"/>
              <w:left w:val="nil"/>
              <w:bottom w:val="single" w:sz="4" w:space="0" w:color="auto"/>
              <w:right w:val="single" w:sz="8" w:space="0" w:color="auto"/>
            </w:tcBorders>
            <w:shd w:val="clear" w:color="auto" w:fill="FFFFFF"/>
            <w:vAlign w:val="center"/>
            <w:hideMark/>
          </w:tcPr>
          <w:p w14:paraId="7D7E0679"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208</w:t>
            </w:r>
          </w:p>
        </w:tc>
      </w:tr>
      <w:tr w:rsidR="00F65234" w:rsidRPr="00F65234" w14:paraId="1845A7A3" w14:textId="77777777" w:rsidTr="00F65234">
        <w:trPr>
          <w:trHeight w:val="315"/>
        </w:trPr>
        <w:tc>
          <w:tcPr>
            <w:tcW w:w="2350" w:type="dxa"/>
            <w:tcBorders>
              <w:top w:val="nil"/>
              <w:left w:val="single" w:sz="8" w:space="0" w:color="auto"/>
              <w:bottom w:val="nil"/>
              <w:right w:val="single" w:sz="4" w:space="0" w:color="auto"/>
            </w:tcBorders>
            <w:shd w:val="clear" w:color="auto" w:fill="BFBFBF" w:themeFill="background1" w:themeFillShade="BF"/>
            <w:vAlign w:val="center"/>
            <w:hideMark/>
          </w:tcPr>
          <w:p w14:paraId="1EC6BE20" w14:textId="77777777" w:rsidR="00F65234" w:rsidRPr="00F65234" w:rsidRDefault="00F65234" w:rsidP="00F65234">
            <w:pPr>
              <w:spacing w:after="0" w:line="240" w:lineRule="auto"/>
              <w:rPr>
                <w:rFonts w:ascii="Times New Roman" w:eastAsia="Calibri" w:hAnsi="Times New Roman" w:cs="Times New Roman"/>
                <w:b/>
                <w:bCs/>
                <w:color w:val="000000"/>
                <w:sz w:val="24"/>
                <w:szCs w:val="24"/>
                <w:lang w:eastAsia="bg-BG"/>
              </w:rPr>
            </w:pPr>
            <w:r w:rsidRPr="00F65234">
              <w:rPr>
                <w:rFonts w:ascii="Times New Roman" w:eastAsia="Calibri" w:hAnsi="Times New Roman" w:cs="Times New Roman"/>
                <w:b/>
                <w:bCs/>
                <w:color w:val="000000"/>
                <w:sz w:val="24"/>
                <w:szCs w:val="24"/>
                <w:lang w:eastAsia="bg-BG"/>
              </w:rPr>
              <w:t>Общоза РП</w:t>
            </w:r>
          </w:p>
        </w:tc>
        <w:tc>
          <w:tcPr>
            <w:tcW w:w="2338" w:type="dxa"/>
            <w:tcBorders>
              <w:top w:val="nil"/>
              <w:left w:val="nil"/>
              <w:bottom w:val="nil"/>
              <w:right w:val="single" w:sz="4" w:space="0" w:color="auto"/>
            </w:tcBorders>
            <w:shd w:val="clear" w:color="auto" w:fill="BFBFBF" w:themeFill="background1" w:themeFillShade="BF"/>
            <w:vAlign w:val="center"/>
          </w:tcPr>
          <w:p w14:paraId="4978A399" w14:textId="77777777" w:rsidR="00F65234" w:rsidRPr="00F65234" w:rsidRDefault="00F65234" w:rsidP="00F65234">
            <w:pPr>
              <w:spacing w:after="0" w:line="240" w:lineRule="auto"/>
              <w:jc w:val="center"/>
              <w:rPr>
                <w:rFonts w:ascii="Times New Roman" w:eastAsia="Calibri" w:hAnsi="Times New Roman" w:cs="Times New Roman"/>
                <w:b/>
                <w:bCs/>
                <w:sz w:val="24"/>
                <w:szCs w:val="24"/>
                <w:lang w:eastAsia="bg-BG"/>
              </w:rPr>
            </w:pPr>
          </w:p>
        </w:tc>
        <w:tc>
          <w:tcPr>
            <w:tcW w:w="2268" w:type="dxa"/>
            <w:tcBorders>
              <w:top w:val="nil"/>
              <w:left w:val="nil"/>
              <w:bottom w:val="nil"/>
              <w:right w:val="single" w:sz="4" w:space="0" w:color="auto"/>
            </w:tcBorders>
            <w:shd w:val="clear" w:color="auto" w:fill="BFBFBF" w:themeFill="background1" w:themeFillShade="BF"/>
            <w:vAlign w:val="center"/>
          </w:tcPr>
          <w:p w14:paraId="3428F37C" w14:textId="77777777" w:rsidR="00F65234" w:rsidRPr="00F65234" w:rsidRDefault="00F65234" w:rsidP="00F65234">
            <w:pPr>
              <w:spacing w:after="0" w:line="240" w:lineRule="auto"/>
              <w:jc w:val="center"/>
              <w:rPr>
                <w:rFonts w:ascii="Times New Roman" w:eastAsia="Calibri" w:hAnsi="Times New Roman" w:cs="Times New Roman"/>
                <w:bCs/>
                <w:sz w:val="24"/>
                <w:szCs w:val="24"/>
                <w:lang w:eastAsia="bg-BG"/>
              </w:rPr>
            </w:pPr>
          </w:p>
        </w:tc>
        <w:tc>
          <w:tcPr>
            <w:tcW w:w="2693" w:type="dxa"/>
            <w:tcBorders>
              <w:top w:val="nil"/>
              <w:left w:val="nil"/>
              <w:bottom w:val="nil"/>
              <w:right w:val="single" w:sz="8" w:space="0" w:color="auto"/>
            </w:tcBorders>
            <w:shd w:val="clear" w:color="auto" w:fill="BFBFBF" w:themeFill="background1" w:themeFillShade="BF"/>
            <w:vAlign w:val="center"/>
            <w:hideMark/>
          </w:tcPr>
          <w:p w14:paraId="221199CA" w14:textId="77777777" w:rsidR="00F65234" w:rsidRPr="00F65234" w:rsidRDefault="00F65234" w:rsidP="00F65234">
            <w:pPr>
              <w:spacing w:after="0" w:line="240" w:lineRule="auto"/>
              <w:jc w:val="center"/>
              <w:rPr>
                <w:rFonts w:ascii="Times New Roman" w:eastAsia="Calibri" w:hAnsi="Times New Roman" w:cs="Times New Roman"/>
                <w:bCs/>
                <w:sz w:val="24"/>
                <w:szCs w:val="24"/>
                <w:lang w:eastAsia="bg-BG"/>
              </w:rPr>
            </w:pPr>
            <w:r w:rsidRPr="00F65234">
              <w:rPr>
                <w:rFonts w:ascii="Times New Roman" w:eastAsia="Calibri" w:hAnsi="Times New Roman" w:cs="Times New Roman"/>
                <w:bCs/>
                <w:sz w:val="24"/>
                <w:szCs w:val="24"/>
                <w:lang w:eastAsia="bg-BG"/>
              </w:rPr>
              <w:t>1545</w:t>
            </w:r>
          </w:p>
        </w:tc>
      </w:tr>
      <w:tr w:rsidR="00F65234" w:rsidRPr="00F65234" w14:paraId="7ADFC17D" w14:textId="77777777" w:rsidTr="00F65234">
        <w:trPr>
          <w:trHeight w:val="420"/>
        </w:trPr>
        <w:tc>
          <w:tcPr>
            <w:tcW w:w="2350" w:type="dxa"/>
            <w:tcBorders>
              <w:top w:val="single" w:sz="4" w:space="0" w:color="auto"/>
              <w:left w:val="single" w:sz="8" w:space="0" w:color="auto"/>
              <w:bottom w:val="single" w:sz="8" w:space="0" w:color="auto"/>
              <w:right w:val="single" w:sz="4" w:space="0" w:color="auto"/>
            </w:tcBorders>
            <w:vAlign w:val="bottom"/>
            <w:hideMark/>
          </w:tcPr>
          <w:p w14:paraId="433CD61B"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ОП Монтана</w:t>
            </w:r>
          </w:p>
        </w:tc>
        <w:tc>
          <w:tcPr>
            <w:tcW w:w="2338" w:type="dxa"/>
            <w:tcBorders>
              <w:top w:val="single" w:sz="4" w:space="0" w:color="auto"/>
              <w:left w:val="nil"/>
              <w:bottom w:val="single" w:sz="8" w:space="0" w:color="auto"/>
              <w:right w:val="single" w:sz="4" w:space="0" w:color="auto"/>
            </w:tcBorders>
            <w:shd w:val="clear" w:color="auto" w:fill="D6E3BC"/>
            <w:vAlign w:val="bottom"/>
            <w:hideMark/>
          </w:tcPr>
          <w:p w14:paraId="0FEEA500"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r w:rsidRPr="00F65234">
              <w:rPr>
                <w:rFonts w:ascii="Times New Roman" w:eastAsia="Calibri" w:hAnsi="Times New Roman" w:cs="Times New Roman"/>
                <w:b/>
                <w:sz w:val="24"/>
                <w:szCs w:val="24"/>
                <w:lang w:eastAsia="bg-BG"/>
              </w:rPr>
              <w:t>617</w:t>
            </w:r>
          </w:p>
        </w:tc>
        <w:tc>
          <w:tcPr>
            <w:tcW w:w="2268" w:type="dxa"/>
            <w:tcBorders>
              <w:top w:val="single" w:sz="4" w:space="0" w:color="auto"/>
              <w:left w:val="nil"/>
              <w:bottom w:val="single" w:sz="8" w:space="0" w:color="auto"/>
              <w:right w:val="single" w:sz="4" w:space="0" w:color="auto"/>
            </w:tcBorders>
            <w:vAlign w:val="bottom"/>
            <w:hideMark/>
          </w:tcPr>
          <w:p w14:paraId="513CA6A6"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577</w:t>
            </w:r>
          </w:p>
        </w:tc>
        <w:tc>
          <w:tcPr>
            <w:tcW w:w="2693" w:type="dxa"/>
            <w:tcBorders>
              <w:top w:val="single" w:sz="4" w:space="0" w:color="auto"/>
              <w:left w:val="nil"/>
              <w:bottom w:val="single" w:sz="8" w:space="0" w:color="auto"/>
              <w:right w:val="single" w:sz="8" w:space="0" w:color="auto"/>
            </w:tcBorders>
            <w:vAlign w:val="bottom"/>
            <w:hideMark/>
          </w:tcPr>
          <w:p w14:paraId="1ED20A3E"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553</w:t>
            </w:r>
          </w:p>
        </w:tc>
      </w:tr>
    </w:tbl>
    <w:p w14:paraId="750ED7DC"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color w:val="FF0000"/>
          <w:sz w:val="28"/>
        </w:rPr>
      </w:pPr>
    </w:p>
    <w:p w14:paraId="557C1213"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color w:val="FF0000"/>
          <w:sz w:val="28"/>
        </w:rPr>
      </w:pPr>
    </w:p>
    <w:p w14:paraId="13CE462F" w14:textId="77777777" w:rsidR="00F65234" w:rsidRPr="00F65234" w:rsidRDefault="00F65234" w:rsidP="00F65234">
      <w:pPr>
        <w:rPr>
          <w:rFonts w:ascii="Times New Roman" w:eastAsia="Calibri" w:hAnsi="Times New Roman" w:cs="Times New Roman"/>
          <w:b/>
          <w:i/>
          <w:sz w:val="28"/>
          <w:szCs w:val="28"/>
          <w:u w:val="single"/>
        </w:rPr>
      </w:pPr>
      <w:bookmarkStart w:id="130" w:name="_Toc380392166"/>
      <w:r w:rsidRPr="00F65234">
        <w:rPr>
          <w:rFonts w:ascii="Calibri" w:eastAsia="Calibri" w:hAnsi="Calibri" w:cs="Times New Roman"/>
          <w:iCs/>
          <w:lang w:eastAsia="bg-BG"/>
        </w:rPr>
        <w:tab/>
      </w:r>
      <w:bookmarkStart w:id="131" w:name="_Toc411255939"/>
      <w:r w:rsidRPr="00F65234">
        <w:rPr>
          <w:rFonts w:ascii="Times New Roman" w:eastAsia="Calibri" w:hAnsi="Times New Roman" w:cs="Times New Roman"/>
          <w:b/>
          <w:i/>
          <w:sz w:val="28"/>
          <w:szCs w:val="28"/>
          <w:u w:val="single"/>
        </w:rPr>
        <w:t>2. Актуализиран обем на дейността на прокуратурите.</w:t>
      </w:r>
    </w:p>
    <w:bookmarkEnd w:id="130"/>
    <w:bookmarkEnd w:id="131"/>
    <w:p w14:paraId="6B674666" w14:textId="77777777"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Данните по този показател са отразени в таблица 5 „Актуализиран обем на дейността на прокуратурите и следователите”, в която са заложени две таблици за измерване на натовареността  – „общ обем на прокурорската дейност“, съдържаща всички действия на прокурорите, и таблица „актуализирана средна натовареност на един прокурор и един следовател“.</w:t>
      </w:r>
    </w:p>
    <w:p w14:paraId="7404A246" w14:textId="77777777"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В настоящата точка ще бъдат разгледани показателите по табл. 5.1. и сравнението на тези показатели спрямо предходните периоди по действащите в тези периоди таблици.</w:t>
      </w:r>
    </w:p>
    <w:p w14:paraId="70D254EF" w14:textId="77777777"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 xml:space="preserve">В абсолютни стойности общият актуализиран обем на прокурорската дейност в прокуратурите в региона през 2022 г. възлиза на </w:t>
      </w:r>
      <w:r w:rsidRPr="00F65234">
        <w:rPr>
          <w:rFonts w:ascii="Times New Roman" w:eastAsia="Calibri" w:hAnsi="Times New Roman" w:cs="Times New Roman"/>
          <w:b/>
          <w:sz w:val="28"/>
          <w:szCs w:val="28"/>
        </w:rPr>
        <w:t>30582</w:t>
      </w:r>
      <w:r w:rsidRPr="00F65234">
        <w:rPr>
          <w:rFonts w:ascii="Times New Roman" w:eastAsia="Calibri" w:hAnsi="Times New Roman" w:cs="Times New Roman"/>
          <w:sz w:val="28"/>
          <w:szCs w:val="28"/>
        </w:rPr>
        <w:t xml:space="preserve"> срещу 32600 за 2021 г. и 34824 за 2020 г. – намалението спрямо предходните периоди с 6,2% спрямо 2021 г. и с 12,2% спрямо 2020 г. </w:t>
      </w:r>
    </w:p>
    <w:p w14:paraId="50113841" w14:textId="77777777"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Следващата таблица представя обема на прокурорската дейност в числови стойности, изчислен е средният обем на дейността в районните прокуратури и всичко това е сравнено с двата предходни периода:</w:t>
      </w:r>
    </w:p>
    <w:p w14:paraId="3FA7F0F4"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color w:val="FF0000"/>
          <w:sz w:val="28"/>
          <w:szCs w:val="28"/>
        </w:rPr>
      </w:pPr>
    </w:p>
    <w:tbl>
      <w:tblPr>
        <w:tblW w:w="9649" w:type="dxa"/>
        <w:tblInd w:w="60" w:type="dxa"/>
        <w:tblCellMar>
          <w:left w:w="70" w:type="dxa"/>
          <w:right w:w="70" w:type="dxa"/>
        </w:tblCellMar>
        <w:tblLook w:val="04A0" w:firstRow="1" w:lastRow="0" w:firstColumn="1" w:lastColumn="0" w:noHBand="0" w:noVBand="1"/>
      </w:tblPr>
      <w:tblGrid>
        <w:gridCol w:w="2350"/>
        <w:gridCol w:w="2480"/>
        <w:gridCol w:w="2268"/>
        <w:gridCol w:w="2551"/>
      </w:tblGrid>
      <w:tr w:rsidR="00F65234" w:rsidRPr="00F65234" w14:paraId="36D74BC8" w14:textId="77777777" w:rsidTr="00F65234">
        <w:trPr>
          <w:trHeight w:val="585"/>
        </w:trPr>
        <w:tc>
          <w:tcPr>
            <w:tcW w:w="2350" w:type="dxa"/>
            <w:vMerge w:val="restart"/>
            <w:tcBorders>
              <w:top w:val="single" w:sz="8" w:space="0" w:color="auto"/>
              <w:left w:val="single" w:sz="8" w:space="0" w:color="auto"/>
              <w:bottom w:val="single" w:sz="4" w:space="0" w:color="000000"/>
              <w:right w:val="single" w:sz="4" w:space="0" w:color="auto"/>
            </w:tcBorders>
            <w:hideMark/>
          </w:tcPr>
          <w:p w14:paraId="28D3843A" w14:textId="77777777" w:rsidR="00F65234" w:rsidRPr="00F65234" w:rsidRDefault="00F65234" w:rsidP="00F65234">
            <w:pPr>
              <w:spacing w:after="0" w:line="240" w:lineRule="auto"/>
              <w:ind w:firstLine="709"/>
              <w:jc w:val="center"/>
              <w:rPr>
                <w:rFonts w:ascii="Times New Roman" w:eastAsia="Calibri" w:hAnsi="Times New Roman" w:cs="Times New Roman"/>
                <w:b/>
                <w:bCs/>
                <w:i/>
                <w:color w:val="000000"/>
                <w:sz w:val="20"/>
                <w:szCs w:val="20"/>
                <w:lang w:eastAsia="bg-BG"/>
              </w:rPr>
            </w:pPr>
            <w:r w:rsidRPr="00F65234">
              <w:rPr>
                <w:rFonts w:ascii="Times New Roman" w:eastAsia="Calibri" w:hAnsi="Times New Roman" w:cs="Times New Roman"/>
                <w:b/>
                <w:bCs/>
                <w:i/>
                <w:color w:val="000000"/>
                <w:sz w:val="20"/>
                <w:szCs w:val="20"/>
                <w:lang w:eastAsia="bg-BG"/>
              </w:rPr>
              <w:t>Прокуратура</w:t>
            </w:r>
          </w:p>
        </w:tc>
        <w:tc>
          <w:tcPr>
            <w:tcW w:w="7299" w:type="dxa"/>
            <w:gridSpan w:val="3"/>
            <w:tcBorders>
              <w:top w:val="single" w:sz="8" w:space="0" w:color="auto"/>
              <w:left w:val="nil"/>
              <w:bottom w:val="single" w:sz="4" w:space="0" w:color="auto"/>
              <w:right w:val="single" w:sz="8" w:space="0" w:color="000000"/>
            </w:tcBorders>
            <w:vAlign w:val="center"/>
          </w:tcPr>
          <w:p w14:paraId="558478C4" w14:textId="77777777" w:rsidR="00F65234" w:rsidRPr="00F65234" w:rsidRDefault="00F65234" w:rsidP="00F65234">
            <w:pPr>
              <w:spacing w:after="0" w:line="240" w:lineRule="auto"/>
              <w:jc w:val="center"/>
              <w:rPr>
                <w:rFonts w:ascii="Times New Roman" w:eastAsia="Calibri" w:hAnsi="Times New Roman" w:cs="Times New Roman"/>
                <w:b/>
                <w:bCs/>
                <w:i/>
                <w:iCs/>
                <w:color w:val="000000"/>
                <w:sz w:val="20"/>
                <w:szCs w:val="20"/>
                <w:lang w:eastAsia="bg-BG"/>
              </w:rPr>
            </w:pPr>
            <w:r w:rsidRPr="00F65234">
              <w:rPr>
                <w:rFonts w:ascii="Times New Roman" w:eastAsia="Calibri" w:hAnsi="Times New Roman" w:cs="Times New Roman"/>
                <w:b/>
                <w:bCs/>
                <w:i/>
                <w:iCs/>
                <w:color w:val="000000"/>
                <w:sz w:val="20"/>
                <w:szCs w:val="20"/>
                <w:lang w:eastAsia="bg-BG"/>
              </w:rPr>
              <w:t>Общ обем на прокурорската дейност</w:t>
            </w:r>
          </w:p>
          <w:p w14:paraId="5619CCEC" w14:textId="77777777" w:rsidR="00F65234" w:rsidRPr="00F65234" w:rsidRDefault="00F65234" w:rsidP="00F65234">
            <w:pPr>
              <w:spacing w:after="0" w:line="240" w:lineRule="auto"/>
              <w:ind w:firstLine="709"/>
              <w:jc w:val="center"/>
              <w:rPr>
                <w:rFonts w:ascii="Times New Roman" w:eastAsia="Calibri" w:hAnsi="Times New Roman" w:cs="Times New Roman"/>
                <w:b/>
                <w:bCs/>
                <w:i/>
                <w:iCs/>
                <w:color w:val="000000"/>
                <w:sz w:val="20"/>
                <w:szCs w:val="20"/>
                <w:lang w:eastAsia="bg-BG"/>
              </w:rPr>
            </w:pPr>
          </w:p>
        </w:tc>
      </w:tr>
      <w:tr w:rsidR="00F65234" w:rsidRPr="00F65234" w14:paraId="69B983B7" w14:textId="77777777" w:rsidTr="00F65234">
        <w:trPr>
          <w:trHeight w:val="390"/>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7C830D85" w14:textId="77777777" w:rsidR="00F65234" w:rsidRPr="00F65234" w:rsidRDefault="00F65234" w:rsidP="00F65234">
            <w:pPr>
              <w:spacing w:after="0" w:line="240" w:lineRule="auto"/>
              <w:rPr>
                <w:rFonts w:ascii="Times New Roman" w:eastAsia="Calibri" w:hAnsi="Times New Roman" w:cs="Times New Roman"/>
                <w:b/>
                <w:bCs/>
                <w:i/>
                <w:color w:val="000000"/>
                <w:sz w:val="20"/>
                <w:szCs w:val="20"/>
                <w:lang w:eastAsia="bg-BG"/>
              </w:rPr>
            </w:pPr>
          </w:p>
        </w:tc>
        <w:tc>
          <w:tcPr>
            <w:tcW w:w="2480" w:type="dxa"/>
            <w:tcBorders>
              <w:top w:val="nil"/>
              <w:left w:val="nil"/>
              <w:bottom w:val="single" w:sz="4" w:space="0" w:color="auto"/>
              <w:right w:val="single" w:sz="4" w:space="0" w:color="auto"/>
            </w:tcBorders>
            <w:shd w:val="clear" w:color="auto" w:fill="D6E3BC"/>
            <w:hideMark/>
          </w:tcPr>
          <w:p w14:paraId="4AAAADAA" w14:textId="77777777" w:rsidR="00F65234" w:rsidRPr="00F65234" w:rsidRDefault="00F65234" w:rsidP="00F65234">
            <w:pPr>
              <w:spacing w:after="0" w:line="240" w:lineRule="auto"/>
              <w:jc w:val="center"/>
              <w:rPr>
                <w:rFonts w:ascii="Times New Roman" w:eastAsia="Calibri" w:hAnsi="Times New Roman" w:cs="Times New Roman"/>
                <w:b/>
                <w:bCs/>
                <w:color w:val="000000"/>
                <w:sz w:val="24"/>
                <w:szCs w:val="24"/>
                <w:lang w:eastAsia="bg-BG"/>
              </w:rPr>
            </w:pPr>
            <w:r w:rsidRPr="00F65234">
              <w:rPr>
                <w:rFonts w:ascii="Times New Roman" w:eastAsia="Calibri" w:hAnsi="Times New Roman" w:cs="Times New Roman"/>
                <w:b/>
                <w:bCs/>
                <w:color w:val="000000"/>
                <w:sz w:val="24"/>
                <w:szCs w:val="24"/>
                <w:lang w:eastAsia="bg-BG"/>
              </w:rPr>
              <w:t>2022 г.</w:t>
            </w:r>
          </w:p>
        </w:tc>
        <w:tc>
          <w:tcPr>
            <w:tcW w:w="2268" w:type="dxa"/>
            <w:tcBorders>
              <w:top w:val="nil"/>
              <w:left w:val="nil"/>
              <w:bottom w:val="single" w:sz="4" w:space="0" w:color="auto"/>
              <w:right w:val="single" w:sz="4" w:space="0" w:color="auto"/>
            </w:tcBorders>
            <w:hideMark/>
          </w:tcPr>
          <w:p w14:paraId="10D52076" w14:textId="77777777" w:rsidR="00F65234" w:rsidRPr="00F65234" w:rsidRDefault="00F65234" w:rsidP="00F65234">
            <w:pPr>
              <w:spacing w:after="0" w:line="240" w:lineRule="auto"/>
              <w:jc w:val="center"/>
              <w:rPr>
                <w:rFonts w:ascii="Times New Roman" w:eastAsia="Calibri" w:hAnsi="Times New Roman" w:cs="Times New Roman"/>
                <w:bCs/>
                <w:color w:val="000000"/>
                <w:sz w:val="24"/>
                <w:szCs w:val="24"/>
                <w:lang w:eastAsia="bg-BG"/>
              </w:rPr>
            </w:pPr>
            <w:r w:rsidRPr="00F65234">
              <w:rPr>
                <w:rFonts w:ascii="Times New Roman" w:eastAsia="Calibri" w:hAnsi="Times New Roman" w:cs="Times New Roman"/>
                <w:bCs/>
                <w:color w:val="000000"/>
                <w:sz w:val="24"/>
                <w:szCs w:val="24"/>
                <w:lang w:eastAsia="bg-BG"/>
              </w:rPr>
              <w:t>2021 г.</w:t>
            </w:r>
          </w:p>
        </w:tc>
        <w:tc>
          <w:tcPr>
            <w:tcW w:w="2551" w:type="dxa"/>
            <w:tcBorders>
              <w:top w:val="nil"/>
              <w:left w:val="nil"/>
              <w:bottom w:val="single" w:sz="4" w:space="0" w:color="auto"/>
              <w:right w:val="single" w:sz="8" w:space="0" w:color="auto"/>
            </w:tcBorders>
            <w:hideMark/>
          </w:tcPr>
          <w:p w14:paraId="5B4B1034" w14:textId="77777777" w:rsidR="00F65234" w:rsidRPr="00F65234" w:rsidRDefault="00F65234" w:rsidP="00F65234">
            <w:pPr>
              <w:spacing w:after="0" w:line="240" w:lineRule="auto"/>
              <w:jc w:val="center"/>
              <w:rPr>
                <w:rFonts w:ascii="Times New Roman" w:eastAsia="Calibri" w:hAnsi="Times New Roman" w:cs="Times New Roman"/>
                <w:bCs/>
                <w:color w:val="000000"/>
                <w:sz w:val="24"/>
                <w:szCs w:val="24"/>
                <w:lang w:eastAsia="bg-BG"/>
              </w:rPr>
            </w:pPr>
            <w:r w:rsidRPr="00F65234">
              <w:rPr>
                <w:rFonts w:ascii="Times New Roman" w:eastAsia="Calibri" w:hAnsi="Times New Roman" w:cs="Times New Roman"/>
                <w:bCs/>
                <w:color w:val="000000"/>
                <w:sz w:val="24"/>
                <w:szCs w:val="24"/>
                <w:lang w:eastAsia="bg-BG"/>
              </w:rPr>
              <w:t>2020 г.</w:t>
            </w:r>
          </w:p>
        </w:tc>
      </w:tr>
      <w:tr w:rsidR="00F65234" w:rsidRPr="00F65234" w14:paraId="51C49F6A" w14:textId="77777777" w:rsidTr="00F65234">
        <w:trPr>
          <w:trHeight w:val="315"/>
        </w:trPr>
        <w:tc>
          <w:tcPr>
            <w:tcW w:w="2350" w:type="dxa"/>
            <w:tcBorders>
              <w:top w:val="nil"/>
              <w:left w:val="single" w:sz="8" w:space="0" w:color="auto"/>
              <w:bottom w:val="single" w:sz="4" w:space="0" w:color="auto"/>
              <w:right w:val="single" w:sz="4" w:space="0" w:color="auto"/>
            </w:tcBorders>
            <w:vAlign w:val="center"/>
            <w:hideMark/>
          </w:tcPr>
          <w:p w14:paraId="0CFEE1BE"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Монтана</w:t>
            </w:r>
          </w:p>
        </w:tc>
        <w:tc>
          <w:tcPr>
            <w:tcW w:w="2480" w:type="dxa"/>
            <w:tcBorders>
              <w:top w:val="nil"/>
              <w:left w:val="nil"/>
              <w:bottom w:val="single" w:sz="4" w:space="0" w:color="auto"/>
              <w:right w:val="single" w:sz="4" w:space="0" w:color="auto"/>
            </w:tcBorders>
            <w:shd w:val="clear" w:color="auto" w:fill="D6E3BC"/>
            <w:vAlign w:val="center"/>
            <w:hideMark/>
          </w:tcPr>
          <w:p w14:paraId="2926FCD5"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r w:rsidRPr="00F65234">
              <w:rPr>
                <w:rFonts w:ascii="Times New Roman" w:eastAsia="Calibri" w:hAnsi="Times New Roman" w:cs="Times New Roman"/>
                <w:b/>
                <w:sz w:val="24"/>
                <w:szCs w:val="24"/>
                <w:lang w:eastAsia="bg-BG"/>
              </w:rPr>
              <w:t>24353</w:t>
            </w:r>
          </w:p>
        </w:tc>
        <w:tc>
          <w:tcPr>
            <w:tcW w:w="2268" w:type="dxa"/>
            <w:tcBorders>
              <w:top w:val="nil"/>
              <w:left w:val="nil"/>
              <w:bottom w:val="single" w:sz="4" w:space="0" w:color="auto"/>
              <w:right w:val="single" w:sz="4" w:space="0" w:color="auto"/>
            </w:tcBorders>
            <w:shd w:val="clear" w:color="auto" w:fill="FFFFFF"/>
            <w:vAlign w:val="center"/>
            <w:hideMark/>
          </w:tcPr>
          <w:p w14:paraId="57BE43CE"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26509</w:t>
            </w:r>
          </w:p>
        </w:tc>
        <w:tc>
          <w:tcPr>
            <w:tcW w:w="2551" w:type="dxa"/>
            <w:tcBorders>
              <w:top w:val="nil"/>
              <w:left w:val="nil"/>
              <w:bottom w:val="single" w:sz="4" w:space="0" w:color="auto"/>
              <w:right w:val="single" w:sz="8" w:space="0" w:color="auto"/>
            </w:tcBorders>
            <w:shd w:val="clear" w:color="auto" w:fill="FFFFFF"/>
            <w:vAlign w:val="center"/>
            <w:hideMark/>
          </w:tcPr>
          <w:p w14:paraId="393C1A2A"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15309</w:t>
            </w:r>
          </w:p>
        </w:tc>
      </w:tr>
      <w:tr w:rsidR="00F65234" w:rsidRPr="00F65234" w14:paraId="5FA735C3" w14:textId="77777777" w:rsidTr="00F65234">
        <w:trPr>
          <w:trHeight w:val="315"/>
        </w:trPr>
        <w:tc>
          <w:tcPr>
            <w:tcW w:w="2350" w:type="dxa"/>
            <w:tcBorders>
              <w:top w:val="nil"/>
              <w:left w:val="single" w:sz="8" w:space="0" w:color="auto"/>
              <w:bottom w:val="single" w:sz="4" w:space="0" w:color="auto"/>
              <w:right w:val="single" w:sz="4" w:space="0" w:color="auto"/>
            </w:tcBorders>
            <w:vAlign w:val="center"/>
            <w:hideMark/>
          </w:tcPr>
          <w:p w14:paraId="7F247D65"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Лом</w:t>
            </w:r>
          </w:p>
        </w:tc>
        <w:tc>
          <w:tcPr>
            <w:tcW w:w="2480" w:type="dxa"/>
            <w:tcBorders>
              <w:top w:val="nil"/>
              <w:left w:val="nil"/>
              <w:bottom w:val="single" w:sz="4" w:space="0" w:color="auto"/>
              <w:right w:val="single" w:sz="4" w:space="0" w:color="auto"/>
            </w:tcBorders>
            <w:shd w:val="clear" w:color="auto" w:fill="D6E3BC"/>
            <w:vAlign w:val="center"/>
          </w:tcPr>
          <w:p w14:paraId="35EB8E5E"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p>
        </w:tc>
        <w:tc>
          <w:tcPr>
            <w:tcW w:w="2268" w:type="dxa"/>
            <w:tcBorders>
              <w:top w:val="nil"/>
              <w:left w:val="nil"/>
              <w:bottom w:val="single" w:sz="4" w:space="0" w:color="auto"/>
              <w:right w:val="single" w:sz="4" w:space="0" w:color="auto"/>
            </w:tcBorders>
            <w:shd w:val="clear" w:color="auto" w:fill="FFFFFF"/>
            <w:vAlign w:val="center"/>
          </w:tcPr>
          <w:p w14:paraId="28C17D99"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p>
        </w:tc>
        <w:tc>
          <w:tcPr>
            <w:tcW w:w="2551" w:type="dxa"/>
            <w:tcBorders>
              <w:top w:val="nil"/>
              <w:left w:val="nil"/>
              <w:bottom w:val="single" w:sz="4" w:space="0" w:color="auto"/>
              <w:right w:val="single" w:sz="8" w:space="0" w:color="auto"/>
            </w:tcBorders>
            <w:shd w:val="clear" w:color="auto" w:fill="FFFFFF"/>
            <w:vAlign w:val="center"/>
            <w:hideMark/>
          </w:tcPr>
          <w:p w14:paraId="21FC1B12"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10356</w:t>
            </w:r>
          </w:p>
        </w:tc>
      </w:tr>
      <w:tr w:rsidR="00F65234" w:rsidRPr="00F65234" w14:paraId="16CD96C6" w14:textId="77777777" w:rsidTr="00F65234">
        <w:trPr>
          <w:trHeight w:val="315"/>
        </w:trPr>
        <w:tc>
          <w:tcPr>
            <w:tcW w:w="2350" w:type="dxa"/>
            <w:tcBorders>
              <w:top w:val="nil"/>
              <w:left w:val="single" w:sz="8" w:space="0" w:color="auto"/>
              <w:bottom w:val="single" w:sz="4" w:space="0" w:color="auto"/>
              <w:right w:val="single" w:sz="4" w:space="0" w:color="auto"/>
            </w:tcBorders>
            <w:vAlign w:val="center"/>
            <w:hideMark/>
          </w:tcPr>
          <w:p w14:paraId="2CC66AD5"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Берковица</w:t>
            </w:r>
          </w:p>
        </w:tc>
        <w:tc>
          <w:tcPr>
            <w:tcW w:w="2480" w:type="dxa"/>
            <w:tcBorders>
              <w:top w:val="nil"/>
              <w:left w:val="nil"/>
              <w:bottom w:val="single" w:sz="4" w:space="0" w:color="auto"/>
              <w:right w:val="single" w:sz="4" w:space="0" w:color="auto"/>
            </w:tcBorders>
            <w:shd w:val="clear" w:color="auto" w:fill="D6E3BC"/>
            <w:vAlign w:val="center"/>
          </w:tcPr>
          <w:p w14:paraId="52FD43EC"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p>
        </w:tc>
        <w:tc>
          <w:tcPr>
            <w:tcW w:w="2268" w:type="dxa"/>
            <w:tcBorders>
              <w:top w:val="nil"/>
              <w:left w:val="nil"/>
              <w:bottom w:val="single" w:sz="4" w:space="0" w:color="auto"/>
              <w:right w:val="single" w:sz="4" w:space="0" w:color="auto"/>
            </w:tcBorders>
            <w:shd w:val="clear" w:color="auto" w:fill="FFFFFF"/>
            <w:vAlign w:val="center"/>
          </w:tcPr>
          <w:p w14:paraId="592386B4"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p>
        </w:tc>
        <w:tc>
          <w:tcPr>
            <w:tcW w:w="2551" w:type="dxa"/>
            <w:tcBorders>
              <w:top w:val="nil"/>
              <w:left w:val="nil"/>
              <w:bottom w:val="single" w:sz="4" w:space="0" w:color="auto"/>
              <w:right w:val="single" w:sz="8" w:space="0" w:color="auto"/>
            </w:tcBorders>
            <w:shd w:val="clear" w:color="auto" w:fill="FFFFFF"/>
            <w:vAlign w:val="center"/>
            <w:hideMark/>
          </w:tcPr>
          <w:p w14:paraId="42F39CA7"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3678</w:t>
            </w:r>
          </w:p>
        </w:tc>
      </w:tr>
      <w:tr w:rsidR="00F65234" w:rsidRPr="00F65234" w14:paraId="2DEC4F8A" w14:textId="77777777" w:rsidTr="00F65234">
        <w:trPr>
          <w:trHeight w:val="360"/>
        </w:trPr>
        <w:tc>
          <w:tcPr>
            <w:tcW w:w="2350" w:type="dxa"/>
            <w:tcBorders>
              <w:top w:val="single" w:sz="4" w:space="0" w:color="auto"/>
              <w:left w:val="single" w:sz="8" w:space="0" w:color="auto"/>
              <w:bottom w:val="single" w:sz="8" w:space="0" w:color="auto"/>
              <w:right w:val="single" w:sz="4" w:space="0" w:color="auto"/>
            </w:tcBorders>
            <w:shd w:val="clear" w:color="auto" w:fill="BFBFBF" w:themeFill="background1" w:themeFillShade="BF"/>
            <w:vAlign w:val="bottom"/>
            <w:hideMark/>
          </w:tcPr>
          <w:p w14:paraId="681DF72E" w14:textId="77777777" w:rsidR="00F65234" w:rsidRPr="00F65234" w:rsidRDefault="00F65234" w:rsidP="00F65234">
            <w:pPr>
              <w:spacing w:after="0" w:line="240" w:lineRule="auto"/>
              <w:rPr>
                <w:rFonts w:ascii="Times New Roman" w:eastAsia="Calibri" w:hAnsi="Times New Roman" w:cs="Times New Roman"/>
                <w:b/>
                <w:color w:val="000000"/>
                <w:sz w:val="24"/>
                <w:szCs w:val="24"/>
                <w:lang w:eastAsia="bg-BG"/>
              </w:rPr>
            </w:pPr>
            <w:r w:rsidRPr="00F65234">
              <w:rPr>
                <w:rFonts w:ascii="Times New Roman" w:eastAsia="Calibri" w:hAnsi="Times New Roman" w:cs="Times New Roman"/>
                <w:b/>
                <w:color w:val="000000"/>
                <w:sz w:val="24"/>
                <w:szCs w:val="24"/>
                <w:lang w:eastAsia="bg-BG"/>
              </w:rPr>
              <w:t>Общо за РП</w:t>
            </w:r>
          </w:p>
        </w:tc>
        <w:tc>
          <w:tcPr>
            <w:tcW w:w="2480" w:type="dxa"/>
            <w:tcBorders>
              <w:top w:val="single" w:sz="4" w:space="0" w:color="auto"/>
              <w:left w:val="nil"/>
              <w:bottom w:val="single" w:sz="8" w:space="0" w:color="auto"/>
              <w:right w:val="single" w:sz="4" w:space="0" w:color="auto"/>
            </w:tcBorders>
            <w:shd w:val="clear" w:color="auto" w:fill="BFBFBF" w:themeFill="background1" w:themeFillShade="BF"/>
            <w:vAlign w:val="bottom"/>
          </w:tcPr>
          <w:p w14:paraId="60A083F7"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p>
        </w:tc>
        <w:tc>
          <w:tcPr>
            <w:tcW w:w="2268" w:type="dxa"/>
            <w:tcBorders>
              <w:top w:val="single" w:sz="4" w:space="0" w:color="auto"/>
              <w:left w:val="nil"/>
              <w:bottom w:val="single" w:sz="8" w:space="0" w:color="auto"/>
              <w:right w:val="single" w:sz="4" w:space="0" w:color="auto"/>
            </w:tcBorders>
            <w:shd w:val="clear" w:color="auto" w:fill="BFBFBF" w:themeFill="background1" w:themeFillShade="BF"/>
            <w:vAlign w:val="bottom"/>
          </w:tcPr>
          <w:p w14:paraId="08F375EC"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p>
        </w:tc>
        <w:tc>
          <w:tcPr>
            <w:tcW w:w="2551" w:type="dxa"/>
            <w:tcBorders>
              <w:top w:val="single" w:sz="4" w:space="0" w:color="auto"/>
              <w:left w:val="nil"/>
              <w:bottom w:val="single" w:sz="8" w:space="0" w:color="auto"/>
              <w:right w:val="single" w:sz="8" w:space="0" w:color="auto"/>
            </w:tcBorders>
            <w:shd w:val="clear" w:color="auto" w:fill="BFBFBF" w:themeFill="background1" w:themeFillShade="BF"/>
            <w:vAlign w:val="bottom"/>
            <w:hideMark/>
          </w:tcPr>
          <w:p w14:paraId="7EFF9461"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29343</w:t>
            </w:r>
          </w:p>
        </w:tc>
      </w:tr>
      <w:tr w:rsidR="00F65234" w:rsidRPr="00F65234" w14:paraId="2F9CCB5E" w14:textId="77777777" w:rsidTr="00F65234">
        <w:trPr>
          <w:trHeight w:val="360"/>
        </w:trPr>
        <w:tc>
          <w:tcPr>
            <w:tcW w:w="2350" w:type="dxa"/>
            <w:tcBorders>
              <w:top w:val="single" w:sz="4" w:space="0" w:color="auto"/>
              <w:left w:val="single" w:sz="8" w:space="0" w:color="auto"/>
              <w:bottom w:val="single" w:sz="8" w:space="0" w:color="auto"/>
              <w:right w:val="single" w:sz="4" w:space="0" w:color="auto"/>
            </w:tcBorders>
            <w:vAlign w:val="bottom"/>
            <w:hideMark/>
          </w:tcPr>
          <w:p w14:paraId="5DB4362D"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ОП Монтана</w:t>
            </w:r>
          </w:p>
        </w:tc>
        <w:tc>
          <w:tcPr>
            <w:tcW w:w="2480" w:type="dxa"/>
            <w:tcBorders>
              <w:top w:val="single" w:sz="4" w:space="0" w:color="auto"/>
              <w:left w:val="nil"/>
              <w:bottom w:val="single" w:sz="8" w:space="0" w:color="auto"/>
              <w:right w:val="single" w:sz="4" w:space="0" w:color="auto"/>
            </w:tcBorders>
            <w:shd w:val="clear" w:color="auto" w:fill="D6E3BC"/>
            <w:vAlign w:val="bottom"/>
            <w:hideMark/>
          </w:tcPr>
          <w:p w14:paraId="658F3C67"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r w:rsidRPr="00F65234">
              <w:rPr>
                <w:rFonts w:ascii="Times New Roman" w:eastAsia="Calibri" w:hAnsi="Times New Roman" w:cs="Times New Roman"/>
                <w:b/>
                <w:sz w:val="24"/>
                <w:szCs w:val="24"/>
                <w:lang w:eastAsia="bg-BG"/>
              </w:rPr>
              <w:t>6229</w:t>
            </w:r>
          </w:p>
        </w:tc>
        <w:tc>
          <w:tcPr>
            <w:tcW w:w="2268" w:type="dxa"/>
            <w:tcBorders>
              <w:top w:val="single" w:sz="4" w:space="0" w:color="auto"/>
              <w:left w:val="nil"/>
              <w:bottom w:val="single" w:sz="8" w:space="0" w:color="auto"/>
              <w:right w:val="single" w:sz="4" w:space="0" w:color="auto"/>
            </w:tcBorders>
            <w:vAlign w:val="bottom"/>
            <w:hideMark/>
          </w:tcPr>
          <w:p w14:paraId="430D3660"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6091</w:t>
            </w:r>
          </w:p>
        </w:tc>
        <w:tc>
          <w:tcPr>
            <w:tcW w:w="2551" w:type="dxa"/>
            <w:tcBorders>
              <w:top w:val="single" w:sz="4" w:space="0" w:color="auto"/>
              <w:left w:val="nil"/>
              <w:bottom w:val="single" w:sz="8" w:space="0" w:color="auto"/>
              <w:right w:val="single" w:sz="8" w:space="0" w:color="auto"/>
            </w:tcBorders>
            <w:vAlign w:val="bottom"/>
            <w:hideMark/>
          </w:tcPr>
          <w:p w14:paraId="6CEBDD7C"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5481</w:t>
            </w:r>
          </w:p>
        </w:tc>
      </w:tr>
    </w:tbl>
    <w:p w14:paraId="2D32AF97"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color w:val="FF0000"/>
          <w:sz w:val="28"/>
        </w:rPr>
      </w:pPr>
    </w:p>
    <w:p w14:paraId="0C86F08D"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При анализа на тези стойности могат да се направят няколко извода:</w:t>
      </w:r>
    </w:p>
    <w:p w14:paraId="2FC709A5"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u w:val="single"/>
        </w:rPr>
        <w:t>Първо</w:t>
      </w:r>
      <w:r w:rsidRPr="00F65234">
        <w:rPr>
          <w:rFonts w:ascii="Times New Roman" w:eastAsia="Calibri" w:hAnsi="Times New Roman" w:cs="Times New Roman"/>
          <w:sz w:val="28"/>
          <w:szCs w:val="28"/>
        </w:rPr>
        <w:t xml:space="preserve">: В РП Монтана е налице прогресивно намаляване на общия обем на прокурорската дейност спрямо предходните периоди – с 8,2% спрямо 2021 г. и с 17% спрямо 2020 г. </w:t>
      </w:r>
    </w:p>
    <w:p w14:paraId="01C9D02B"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u w:val="single"/>
        </w:rPr>
        <w:t>Второ</w:t>
      </w:r>
      <w:r w:rsidRPr="00F65234">
        <w:rPr>
          <w:rFonts w:ascii="Times New Roman" w:eastAsia="Calibri" w:hAnsi="Times New Roman" w:cs="Times New Roman"/>
          <w:sz w:val="28"/>
          <w:szCs w:val="28"/>
        </w:rPr>
        <w:t>: В ОП-Монтана се очертава тенденция за увеличаване обема на прокурорската дейност - с 3% спрямо 2021 г. и с 12% в сравнение с 2020 г.</w:t>
      </w:r>
    </w:p>
    <w:p w14:paraId="3643B134"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 xml:space="preserve">Спадът в РП Монтана може да се обясни с намаляването на броя на наблюдаваните и решените ДП, съответно на внесените в съда прокурорски актове. </w:t>
      </w:r>
    </w:p>
    <w:p w14:paraId="5DF1D87B"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 xml:space="preserve">Като абсолютна стойност произнасянията по следствения надзор за целия регион са </w:t>
      </w:r>
      <w:r w:rsidRPr="00F65234">
        <w:rPr>
          <w:rFonts w:ascii="Times New Roman" w:eastAsia="Calibri" w:hAnsi="Times New Roman" w:cs="Times New Roman"/>
          <w:b/>
          <w:sz w:val="28"/>
          <w:szCs w:val="28"/>
        </w:rPr>
        <w:t>22932</w:t>
      </w:r>
      <w:r w:rsidRPr="00F65234">
        <w:rPr>
          <w:rFonts w:ascii="Times New Roman" w:eastAsia="Calibri" w:hAnsi="Times New Roman" w:cs="Times New Roman"/>
          <w:sz w:val="28"/>
          <w:szCs w:val="28"/>
        </w:rPr>
        <w:t xml:space="preserve"> (срещу 24343 за 2021 г. и 26355 за 2020 г.), представляващо намаление с 5,8% спрямо предходния период и с 6% спрямо 2020 г.</w:t>
      </w:r>
    </w:p>
    <w:p w14:paraId="220AC732"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 xml:space="preserve">Участието в съдебни заседания бележи устойчив растеж. Броят участия в съдебни заседания в прокуратурите в региона през 2022 г. е </w:t>
      </w:r>
      <w:r w:rsidRPr="00F65234">
        <w:rPr>
          <w:rFonts w:ascii="Times New Roman" w:eastAsia="Calibri" w:hAnsi="Times New Roman" w:cs="Times New Roman"/>
          <w:b/>
          <w:sz w:val="28"/>
          <w:szCs w:val="28"/>
        </w:rPr>
        <w:t>2233</w:t>
      </w:r>
      <w:r w:rsidRPr="00F65234">
        <w:rPr>
          <w:rFonts w:ascii="Times New Roman" w:eastAsia="Calibri" w:hAnsi="Times New Roman" w:cs="Times New Roman"/>
          <w:sz w:val="28"/>
          <w:szCs w:val="28"/>
        </w:rPr>
        <w:t xml:space="preserve">, докато през 2021 г. е бил 2365, а през 2020 г. – 2089. Налице е намаление спрямо предходния отчетен период на участията в съдебни заседания е 5,6%, и увеличение спрямо 2020 г. е 6,6%. </w:t>
      </w:r>
    </w:p>
    <w:p w14:paraId="12887AD8" w14:textId="2C9892BD"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Незначително намаление на дейността на прокуратурите в регион  Монтана се наблюдава при прокурорските актове по преписките. За 202</w:t>
      </w:r>
      <w:r w:rsidR="003C15FE">
        <w:rPr>
          <w:rFonts w:ascii="Times New Roman" w:eastAsia="Calibri" w:hAnsi="Times New Roman" w:cs="Times New Roman"/>
          <w:sz w:val="28"/>
          <w:szCs w:val="28"/>
        </w:rPr>
        <w:t>2</w:t>
      </w:r>
      <w:r w:rsidRPr="00F65234">
        <w:rPr>
          <w:rFonts w:ascii="Times New Roman" w:eastAsia="Calibri" w:hAnsi="Times New Roman" w:cs="Times New Roman"/>
          <w:sz w:val="28"/>
          <w:szCs w:val="28"/>
        </w:rPr>
        <w:t xml:space="preserve"> г. те са </w:t>
      </w:r>
      <w:r w:rsidRPr="00F65234">
        <w:rPr>
          <w:rFonts w:ascii="Times New Roman" w:eastAsia="Calibri" w:hAnsi="Times New Roman" w:cs="Times New Roman"/>
          <w:b/>
          <w:sz w:val="28"/>
          <w:szCs w:val="28"/>
        </w:rPr>
        <w:t>7586</w:t>
      </w:r>
      <w:r w:rsidRPr="00F65234">
        <w:rPr>
          <w:rFonts w:ascii="Times New Roman" w:eastAsia="Calibri" w:hAnsi="Times New Roman" w:cs="Times New Roman"/>
          <w:sz w:val="28"/>
          <w:szCs w:val="28"/>
        </w:rPr>
        <w:t>, докато през 2021 г. са били 7624, а за 2020 г. този брой е бил 7717. Намалението е 0,5% спрямо 2021 г. и увеличение с 1,7% спрямо 2020 г.</w:t>
      </w:r>
    </w:p>
    <w:p w14:paraId="18DD745B" w14:textId="5D72B242"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В абсолютни цифри другите актове и дейности по всички надзори за 202</w:t>
      </w:r>
      <w:r w:rsidR="003C15FE">
        <w:rPr>
          <w:rFonts w:ascii="Times New Roman" w:eastAsia="Calibri" w:hAnsi="Times New Roman" w:cs="Times New Roman"/>
          <w:sz w:val="28"/>
          <w:szCs w:val="28"/>
        </w:rPr>
        <w:t>2</w:t>
      </w:r>
      <w:r w:rsidRPr="00F65234">
        <w:rPr>
          <w:rFonts w:ascii="Times New Roman" w:eastAsia="Calibri" w:hAnsi="Times New Roman" w:cs="Times New Roman"/>
          <w:sz w:val="28"/>
          <w:szCs w:val="28"/>
        </w:rPr>
        <w:t xml:space="preserve"> г. възлизат на </w:t>
      </w:r>
      <w:r w:rsidRPr="00F65234">
        <w:rPr>
          <w:rFonts w:ascii="Times New Roman" w:eastAsia="Calibri" w:hAnsi="Times New Roman" w:cs="Times New Roman"/>
          <w:b/>
          <w:sz w:val="28"/>
          <w:szCs w:val="28"/>
        </w:rPr>
        <w:t>27671</w:t>
      </w:r>
      <w:r w:rsidRPr="00F65234">
        <w:rPr>
          <w:rFonts w:ascii="Times New Roman" w:eastAsia="Calibri" w:hAnsi="Times New Roman" w:cs="Times New Roman"/>
          <w:sz w:val="28"/>
          <w:szCs w:val="28"/>
        </w:rPr>
        <w:t xml:space="preserve"> (при 29531 за 2021 г. и 31951 за 2020 г.) и имат около 90,5%  относителен дял в общия обем прокурорска дейност. За 2021 г. този дял е бил малко над 90,6%, а за 2020 г. – над 91,7%, следователно: наблюдава се идентичност на това съотношение през тригодишния сравнителен период, като се запазва преимущественият дял на актовете и дейностите по всички видове надзори спрямо общия обем на прокурорската дейност.</w:t>
      </w:r>
    </w:p>
    <w:p w14:paraId="02C59045"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 xml:space="preserve">При анализиране на данните за общия обем прокурорска дейност се налага следният извод: Налице е общо намаление на наблюдаваните и на решените досъдебни производства. Увеличение се отчита в участията в съдебни заседания както за ОП Монтана. Общият обем като цяло намалява през целия тригодишен сравнителен период, тъй като се наблюдава намаление на наблюдаваните, решените ДП, на внесените в съда прокурорски актове. </w:t>
      </w:r>
    </w:p>
    <w:p w14:paraId="703C45EF" w14:textId="77777777" w:rsidR="00F65234" w:rsidRPr="00F65234" w:rsidRDefault="00F65234" w:rsidP="00F65234">
      <w:pPr>
        <w:autoSpaceDE w:val="0"/>
        <w:autoSpaceDN w:val="0"/>
        <w:adjustRightInd w:val="0"/>
        <w:spacing w:after="0" w:line="240" w:lineRule="auto"/>
        <w:jc w:val="both"/>
        <w:rPr>
          <w:rFonts w:ascii="Times New Roman" w:eastAsia="Calibri" w:hAnsi="Times New Roman" w:cs="Times New Roman"/>
          <w:color w:val="FF0000"/>
          <w:sz w:val="28"/>
        </w:rPr>
      </w:pPr>
      <w:bookmarkStart w:id="132" w:name="_Toc380392167"/>
    </w:p>
    <w:p w14:paraId="5353DBBC" w14:textId="77777777" w:rsidR="00F65234" w:rsidRPr="00F65234" w:rsidRDefault="00F65234" w:rsidP="00F65234">
      <w:pPr>
        <w:ind w:firstLine="708"/>
        <w:jc w:val="both"/>
        <w:rPr>
          <w:rFonts w:ascii="Times New Roman" w:eastAsia="Calibri" w:hAnsi="Times New Roman" w:cs="Times New Roman"/>
          <w:b/>
          <w:i/>
          <w:sz w:val="28"/>
          <w:szCs w:val="28"/>
          <w:u w:val="single"/>
        </w:rPr>
      </w:pPr>
      <w:bookmarkStart w:id="133" w:name="_Toc411255940"/>
      <w:r w:rsidRPr="00F65234">
        <w:rPr>
          <w:rFonts w:ascii="Times New Roman" w:eastAsia="Calibri" w:hAnsi="Times New Roman" w:cs="Times New Roman"/>
          <w:b/>
          <w:i/>
          <w:sz w:val="28"/>
          <w:szCs w:val="28"/>
          <w:u w:val="single"/>
        </w:rPr>
        <w:t>3. Средна натовареност на прокурорите от региона по някои показатели.</w:t>
      </w:r>
    </w:p>
    <w:bookmarkEnd w:id="132"/>
    <w:bookmarkEnd w:id="133"/>
    <w:p w14:paraId="53219A15" w14:textId="77777777"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rPr>
      </w:pPr>
      <w:r w:rsidRPr="00F65234">
        <w:rPr>
          <w:rFonts w:ascii="Times New Roman" w:eastAsia="Calibri" w:hAnsi="Times New Roman" w:cs="Times New Roman"/>
          <w:sz w:val="28"/>
        </w:rPr>
        <w:t>Средната натовареност на прокурорите е изчислена на база общия обем дейност по съответните колони от таблица 5.1, отнесен към броя реално работили прокурори в съответната прокуратура през отчетния период. Данните са отразени в таблица 5.2.</w:t>
      </w:r>
    </w:p>
    <w:p w14:paraId="4B20E8DA" w14:textId="77777777"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rPr>
      </w:pPr>
      <w:r w:rsidRPr="00F65234">
        <w:rPr>
          <w:rFonts w:ascii="Times New Roman" w:eastAsia="Calibri" w:hAnsi="Times New Roman" w:cs="Times New Roman"/>
          <w:sz w:val="28"/>
        </w:rPr>
        <w:t xml:space="preserve">През 2022 г. в ОП гр. Монтана и районните прокуратури от региона реално са работили 23,8 прокурори при 33 прокурорски длъжности по щат в края на отчетния период. От посочените цифри в таблицата в следващата точка 4 ясно се вижда увеличение на средната натовареност общо за прокуратурите в региона, и то спрямо и двата предходни отчетни периода. През 2022 г. тя е 1285,5. През 2021 г. средната натовареност е била 1364, а през 2020 г. – 1346,6. Разликите като брой са – 78,5 бр. по-малко спрямо предходната 2021 г. и с 61,1 по-малко в сравнение с 2020 г. </w:t>
      </w:r>
    </w:p>
    <w:p w14:paraId="4891C923" w14:textId="77777777"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rPr>
      </w:pPr>
    </w:p>
    <w:p w14:paraId="1BDE2AAB" w14:textId="77777777" w:rsidR="00F65234" w:rsidRPr="00F65234" w:rsidRDefault="00F65234" w:rsidP="00F65234">
      <w:pPr>
        <w:ind w:firstLine="708"/>
        <w:jc w:val="both"/>
        <w:rPr>
          <w:rFonts w:ascii="Times New Roman" w:eastAsia="Calibri" w:hAnsi="Times New Roman" w:cs="Times New Roman"/>
          <w:b/>
          <w:i/>
          <w:sz w:val="28"/>
          <w:szCs w:val="28"/>
        </w:rPr>
      </w:pPr>
      <w:r w:rsidRPr="00F65234">
        <w:rPr>
          <w:rFonts w:ascii="Times New Roman" w:eastAsia="Calibri" w:hAnsi="Times New Roman" w:cs="Times New Roman"/>
          <w:b/>
          <w:i/>
          <w:sz w:val="28"/>
          <w:szCs w:val="28"/>
        </w:rPr>
        <w:t>3.1. Средна натовареност по наблюдавани досъдебни производства:</w:t>
      </w:r>
    </w:p>
    <w:p w14:paraId="3517ABA0" w14:textId="043D9317"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През 202</w:t>
      </w:r>
      <w:r w:rsidR="00B077E7">
        <w:rPr>
          <w:rFonts w:ascii="Times New Roman" w:eastAsia="Calibri" w:hAnsi="Times New Roman" w:cs="Times New Roman"/>
          <w:sz w:val="28"/>
          <w:szCs w:val="28"/>
        </w:rPr>
        <w:t>2</w:t>
      </w:r>
      <w:r w:rsidRPr="00F65234">
        <w:rPr>
          <w:rFonts w:ascii="Times New Roman" w:eastAsia="Calibri" w:hAnsi="Times New Roman" w:cs="Times New Roman"/>
          <w:sz w:val="28"/>
          <w:szCs w:val="28"/>
        </w:rPr>
        <w:t xml:space="preserve"> г. един реално работил прокурор от ОП Монтана е наблюдавал средно по </w:t>
      </w:r>
      <w:r w:rsidRPr="00F65234">
        <w:rPr>
          <w:rFonts w:ascii="Times New Roman" w:eastAsia="Calibri" w:hAnsi="Times New Roman" w:cs="Times New Roman"/>
          <w:b/>
          <w:sz w:val="28"/>
          <w:szCs w:val="28"/>
        </w:rPr>
        <w:t>75,7</w:t>
      </w:r>
      <w:r w:rsidRPr="00F65234">
        <w:rPr>
          <w:rFonts w:ascii="Times New Roman" w:eastAsia="Calibri" w:hAnsi="Times New Roman" w:cs="Times New Roman"/>
          <w:sz w:val="28"/>
          <w:szCs w:val="28"/>
        </w:rPr>
        <w:t xml:space="preserve"> ДП (62,3 ДП за 2020 г. и 56,3 ДП за 2020 г.), а един прокурор от РП Монтана е наблюдавал средно по </w:t>
      </w:r>
      <w:r w:rsidRPr="00F65234">
        <w:rPr>
          <w:rFonts w:ascii="Times New Roman" w:eastAsia="Calibri" w:hAnsi="Times New Roman" w:cs="Times New Roman"/>
          <w:b/>
          <w:sz w:val="28"/>
          <w:szCs w:val="28"/>
        </w:rPr>
        <w:t xml:space="preserve">234,6 </w:t>
      </w:r>
      <w:r w:rsidRPr="00F65234">
        <w:rPr>
          <w:rFonts w:ascii="Times New Roman" w:eastAsia="Calibri" w:hAnsi="Times New Roman" w:cs="Times New Roman"/>
          <w:sz w:val="28"/>
          <w:szCs w:val="28"/>
        </w:rPr>
        <w:t xml:space="preserve">ДП (256,7 за 2021 г. и 217,6  за 2020 г.). </w:t>
      </w:r>
    </w:p>
    <w:p w14:paraId="681FFA3B"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rPr>
      </w:pPr>
      <w:r w:rsidRPr="00F65234">
        <w:rPr>
          <w:rFonts w:ascii="Times New Roman" w:eastAsia="Calibri" w:hAnsi="Times New Roman" w:cs="Times New Roman"/>
          <w:sz w:val="28"/>
        </w:rPr>
        <w:t>Данните за средно наблюдаваните през този тригодишен период ДП по прокуратури са отразени в табличен вид в следващата таблица:</w:t>
      </w:r>
    </w:p>
    <w:p w14:paraId="2DCF92DC"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rPr>
      </w:pPr>
    </w:p>
    <w:tbl>
      <w:tblPr>
        <w:tblW w:w="9508" w:type="dxa"/>
        <w:tblInd w:w="60" w:type="dxa"/>
        <w:tblCellMar>
          <w:left w:w="70" w:type="dxa"/>
          <w:right w:w="70" w:type="dxa"/>
        </w:tblCellMar>
        <w:tblLook w:val="04A0" w:firstRow="1" w:lastRow="0" w:firstColumn="1" w:lastColumn="0" w:noHBand="0" w:noVBand="1"/>
      </w:tblPr>
      <w:tblGrid>
        <w:gridCol w:w="2170"/>
        <w:gridCol w:w="2235"/>
        <w:gridCol w:w="2551"/>
        <w:gridCol w:w="2552"/>
      </w:tblGrid>
      <w:tr w:rsidR="00F65234" w:rsidRPr="00F65234" w14:paraId="027CA626" w14:textId="77777777" w:rsidTr="00F65234">
        <w:trPr>
          <w:trHeight w:val="546"/>
        </w:trPr>
        <w:tc>
          <w:tcPr>
            <w:tcW w:w="2170" w:type="dxa"/>
            <w:vMerge w:val="restart"/>
            <w:tcBorders>
              <w:top w:val="single" w:sz="8" w:space="0" w:color="auto"/>
              <w:left w:val="single" w:sz="8" w:space="0" w:color="auto"/>
              <w:bottom w:val="single" w:sz="4" w:space="0" w:color="000000"/>
              <w:right w:val="single" w:sz="4" w:space="0" w:color="auto"/>
            </w:tcBorders>
            <w:hideMark/>
          </w:tcPr>
          <w:p w14:paraId="0F41CB34" w14:textId="77777777" w:rsidR="00F65234" w:rsidRPr="00F65234" w:rsidRDefault="00F65234" w:rsidP="00F65234">
            <w:pPr>
              <w:spacing w:after="0" w:line="240" w:lineRule="auto"/>
              <w:ind w:firstLine="709"/>
              <w:jc w:val="center"/>
              <w:rPr>
                <w:rFonts w:ascii="Times New Roman" w:eastAsia="Calibri" w:hAnsi="Times New Roman" w:cs="Times New Roman"/>
                <w:b/>
                <w:bCs/>
                <w:i/>
                <w:color w:val="000000"/>
                <w:sz w:val="24"/>
                <w:szCs w:val="24"/>
                <w:lang w:eastAsia="bg-BG"/>
              </w:rPr>
            </w:pPr>
            <w:r w:rsidRPr="00F65234">
              <w:rPr>
                <w:rFonts w:ascii="Times New Roman" w:eastAsia="Calibri" w:hAnsi="Times New Roman" w:cs="Times New Roman"/>
                <w:b/>
                <w:bCs/>
                <w:color w:val="000000"/>
                <w:sz w:val="20"/>
                <w:szCs w:val="20"/>
                <w:lang w:eastAsia="bg-BG"/>
              </w:rPr>
              <w:br/>
            </w:r>
            <w:r w:rsidRPr="00F65234">
              <w:rPr>
                <w:rFonts w:ascii="Times New Roman" w:eastAsia="Calibri" w:hAnsi="Times New Roman" w:cs="Times New Roman"/>
                <w:b/>
                <w:bCs/>
                <w:color w:val="000000"/>
                <w:sz w:val="20"/>
                <w:szCs w:val="20"/>
                <w:lang w:eastAsia="bg-BG"/>
              </w:rPr>
              <w:br/>
            </w:r>
            <w:r w:rsidRPr="00F65234">
              <w:rPr>
                <w:rFonts w:ascii="Times New Roman" w:eastAsia="Calibri" w:hAnsi="Times New Roman" w:cs="Times New Roman"/>
                <w:b/>
                <w:bCs/>
                <w:i/>
                <w:color w:val="000000"/>
                <w:sz w:val="24"/>
                <w:szCs w:val="24"/>
                <w:lang w:eastAsia="bg-BG"/>
              </w:rPr>
              <w:t>Прокуратура</w:t>
            </w:r>
          </w:p>
        </w:tc>
        <w:tc>
          <w:tcPr>
            <w:tcW w:w="7338" w:type="dxa"/>
            <w:gridSpan w:val="3"/>
            <w:tcBorders>
              <w:top w:val="single" w:sz="8" w:space="0" w:color="auto"/>
              <w:left w:val="nil"/>
              <w:bottom w:val="single" w:sz="4" w:space="0" w:color="auto"/>
              <w:right w:val="single" w:sz="8" w:space="0" w:color="000000"/>
            </w:tcBorders>
            <w:vAlign w:val="center"/>
            <w:hideMark/>
          </w:tcPr>
          <w:p w14:paraId="6A1D5617" w14:textId="77777777" w:rsidR="00F65234" w:rsidRPr="00F65234" w:rsidRDefault="00F65234" w:rsidP="00F65234">
            <w:pPr>
              <w:spacing w:after="0" w:line="240" w:lineRule="auto"/>
              <w:jc w:val="center"/>
              <w:rPr>
                <w:rFonts w:ascii="Times New Roman" w:eastAsia="Calibri" w:hAnsi="Times New Roman" w:cs="Times New Roman"/>
                <w:b/>
                <w:bCs/>
                <w:i/>
                <w:iCs/>
                <w:color w:val="000000"/>
                <w:sz w:val="24"/>
                <w:szCs w:val="24"/>
                <w:lang w:eastAsia="bg-BG"/>
              </w:rPr>
            </w:pPr>
            <w:r w:rsidRPr="00F65234">
              <w:rPr>
                <w:rFonts w:ascii="Times New Roman" w:eastAsia="Calibri" w:hAnsi="Times New Roman" w:cs="Times New Roman"/>
                <w:b/>
                <w:bCs/>
                <w:i/>
                <w:iCs/>
                <w:color w:val="000000"/>
                <w:sz w:val="24"/>
                <w:szCs w:val="24"/>
                <w:lang w:eastAsia="bg-BG"/>
              </w:rPr>
              <w:t>Средно наблюдавани ДП</w:t>
            </w:r>
          </w:p>
        </w:tc>
      </w:tr>
      <w:tr w:rsidR="00F65234" w:rsidRPr="00F65234" w14:paraId="74B1E4F9" w14:textId="77777777" w:rsidTr="00F65234">
        <w:trPr>
          <w:trHeight w:val="285"/>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02FEA19A" w14:textId="77777777" w:rsidR="00F65234" w:rsidRPr="00F65234" w:rsidRDefault="00F65234" w:rsidP="00F65234">
            <w:pPr>
              <w:spacing w:after="0" w:line="240" w:lineRule="auto"/>
              <w:rPr>
                <w:rFonts w:ascii="Times New Roman" w:eastAsia="Calibri" w:hAnsi="Times New Roman" w:cs="Times New Roman"/>
                <w:b/>
                <w:bCs/>
                <w:i/>
                <w:color w:val="000000"/>
                <w:sz w:val="24"/>
                <w:szCs w:val="24"/>
                <w:lang w:eastAsia="bg-BG"/>
              </w:rPr>
            </w:pPr>
          </w:p>
        </w:tc>
        <w:tc>
          <w:tcPr>
            <w:tcW w:w="2235" w:type="dxa"/>
            <w:tcBorders>
              <w:top w:val="nil"/>
              <w:left w:val="nil"/>
              <w:bottom w:val="single" w:sz="4" w:space="0" w:color="auto"/>
              <w:right w:val="single" w:sz="4" w:space="0" w:color="auto"/>
            </w:tcBorders>
            <w:shd w:val="clear" w:color="auto" w:fill="C2D69B" w:themeFill="accent3" w:themeFillTint="99"/>
            <w:hideMark/>
          </w:tcPr>
          <w:p w14:paraId="7D8A4159" w14:textId="77777777" w:rsidR="00F65234" w:rsidRPr="00F65234" w:rsidRDefault="00F65234" w:rsidP="00F65234">
            <w:pPr>
              <w:spacing w:after="0" w:line="240" w:lineRule="auto"/>
              <w:jc w:val="center"/>
              <w:rPr>
                <w:rFonts w:ascii="Times New Roman" w:eastAsia="Calibri" w:hAnsi="Times New Roman" w:cs="Times New Roman"/>
                <w:b/>
                <w:bCs/>
                <w:color w:val="000000"/>
                <w:sz w:val="24"/>
                <w:szCs w:val="24"/>
                <w:lang w:eastAsia="bg-BG"/>
              </w:rPr>
            </w:pPr>
            <w:r w:rsidRPr="00F65234">
              <w:rPr>
                <w:rFonts w:ascii="Times New Roman" w:eastAsia="Calibri" w:hAnsi="Times New Roman" w:cs="Times New Roman"/>
                <w:b/>
                <w:bCs/>
                <w:color w:val="000000"/>
                <w:sz w:val="24"/>
                <w:szCs w:val="24"/>
                <w:lang w:eastAsia="bg-BG"/>
              </w:rPr>
              <w:t>2022 г.</w:t>
            </w:r>
          </w:p>
        </w:tc>
        <w:tc>
          <w:tcPr>
            <w:tcW w:w="2551" w:type="dxa"/>
            <w:tcBorders>
              <w:top w:val="nil"/>
              <w:left w:val="nil"/>
              <w:bottom w:val="single" w:sz="4" w:space="0" w:color="auto"/>
              <w:right w:val="single" w:sz="4" w:space="0" w:color="auto"/>
            </w:tcBorders>
            <w:hideMark/>
          </w:tcPr>
          <w:p w14:paraId="3BF9F135" w14:textId="77777777" w:rsidR="00F65234" w:rsidRPr="00F65234" w:rsidRDefault="00F65234" w:rsidP="00F65234">
            <w:pPr>
              <w:spacing w:after="0" w:line="240" w:lineRule="auto"/>
              <w:jc w:val="center"/>
              <w:rPr>
                <w:rFonts w:ascii="Times New Roman" w:eastAsia="Calibri" w:hAnsi="Times New Roman" w:cs="Times New Roman"/>
                <w:bCs/>
                <w:color w:val="000000"/>
                <w:sz w:val="24"/>
                <w:szCs w:val="24"/>
                <w:lang w:eastAsia="bg-BG"/>
              </w:rPr>
            </w:pPr>
            <w:r w:rsidRPr="00F65234">
              <w:rPr>
                <w:rFonts w:ascii="Times New Roman" w:eastAsia="Calibri" w:hAnsi="Times New Roman" w:cs="Times New Roman"/>
                <w:bCs/>
                <w:color w:val="000000"/>
                <w:sz w:val="24"/>
                <w:szCs w:val="24"/>
                <w:lang w:eastAsia="bg-BG"/>
              </w:rPr>
              <w:t>2021 г.</w:t>
            </w:r>
          </w:p>
        </w:tc>
        <w:tc>
          <w:tcPr>
            <w:tcW w:w="2552" w:type="dxa"/>
            <w:tcBorders>
              <w:top w:val="nil"/>
              <w:left w:val="nil"/>
              <w:bottom w:val="single" w:sz="4" w:space="0" w:color="auto"/>
              <w:right w:val="single" w:sz="8" w:space="0" w:color="auto"/>
            </w:tcBorders>
            <w:hideMark/>
          </w:tcPr>
          <w:p w14:paraId="7EA75697" w14:textId="77777777" w:rsidR="00F65234" w:rsidRPr="00F65234" w:rsidRDefault="00F65234" w:rsidP="00F65234">
            <w:pPr>
              <w:spacing w:after="0" w:line="240" w:lineRule="auto"/>
              <w:jc w:val="center"/>
              <w:rPr>
                <w:rFonts w:ascii="Times New Roman" w:eastAsia="Calibri" w:hAnsi="Times New Roman" w:cs="Times New Roman"/>
                <w:bCs/>
                <w:color w:val="000000"/>
                <w:sz w:val="24"/>
                <w:szCs w:val="24"/>
                <w:lang w:eastAsia="bg-BG"/>
              </w:rPr>
            </w:pPr>
            <w:r w:rsidRPr="00F65234">
              <w:rPr>
                <w:rFonts w:ascii="Times New Roman" w:eastAsia="Calibri" w:hAnsi="Times New Roman" w:cs="Times New Roman"/>
                <w:bCs/>
                <w:color w:val="000000"/>
                <w:sz w:val="24"/>
                <w:szCs w:val="24"/>
                <w:lang w:eastAsia="bg-BG"/>
              </w:rPr>
              <w:t>2020 г.</w:t>
            </w:r>
          </w:p>
        </w:tc>
      </w:tr>
      <w:tr w:rsidR="00F65234" w:rsidRPr="00F65234" w14:paraId="59251E71" w14:textId="77777777" w:rsidTr="00F65234">
        <w:trPr>
          <w:trHeight w:val="315"/>
        </w:trPr>
        <w:tc>
          <w:tcPr>
            <w:tcW w:w="2170" w:type="dxa"/>
            <w:tcBorders>
              <w:top w:val="nil"/>
              <w:left w:val="single" w:sz="8" w:space="0" w:color="auto"/>
              <w:bottom w:val="single" w:sz="4" w:space="0" w:color="auto"/>
              <w:right w:val="single" w:sz="4" w:space="0" w:color="auto"/>
            </w:tcBorders>
            <w:vAlign w:val="center"/>
            <w:hideMark/>
          </w:tcPr>
          <w:p w14:paraId="67AA2A0D"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Монтана</w:t>
            </w:r>
          </w:p>
        </w:tc>
        <w:tc>
          <w:tcPr>
            <w:tcW w:w="2235" w:type="dxa"/>
            <w:tcBorders>
              <w:top w:val="nil"/>
              <w:left w:val="nil"/>
              <w:bottom w:val="single" w:sz="4" w:space="0" w:color="auto"/>
              <w:right w:val="single" w:sz="4" w:space="0" w:color="auto"/>
            </w:tcBorders>
            <w:shd w:val="clear" w:color="auto" w:fill="C2D69B" w:themeFill="accent3" w:themeFillTint="99"/>
            <w:vAlign w:val="center"/>
            <w:hideMark/>
          </w:tcPr>
          <w:p w14:paraId="061C2FD5"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r w:rsidRPr="00F65234">
              <w:rPr>
                <w:rFonts w:ascii="Times New Roman" w:eastAsia="Calibri" w:hAnsi="Times New Roman" w:cs="Times New Roman"/>
                <w:b/>
                <w:sz w:val="24"/>
                <w:szCs w:val="24"/>
                <w:lang w:eastAsia="bg-BG"/>
              </w:rPr>
              <w:t>234,6</w:t>
            </w:r>
          </w:p>
        </w:tc>
        <w:tc>
          <w:tcPr>
            <w:tcW w:w="2551" w:type="dxa"/>
            <w:tcBorders>
              <w:top w:val="nil"/>
              <w:left w:val="nil"/>
              <w:bottom w:val="single" w:sz="4" w:space="0" w:color="auto"/>
              <w:right w:val="single" w:sz="4" w:space="0" w:color="auto"/>
            </w:tcBorders>
            <w:shd w:val="clear" w:color="auto" w:fill="FFFFFF"/>
            <w:vAlign w:val="center"/>
            <w:hideMark/>
          </w:tcPr>
          <w:p w14:paraId="0263C291"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256,7</w:t>
            </w:r>
          </w:p>
        </w:tc>
        <w:tc>
          <w:tcPr>
            <w:tcW w:w="2552" w:type="dxa"/>
            <w:tcBorders>
              <w:top w:val="nil"/>
              <w:left w:val="nil"/>
              <w:bottom w:val="single" w:sz="4" w:space="0" w:color="auto"/>
              <w:right w:val="single" w:sz="8" w:space="0" w:color="auto"/>
            </w:tcBorders>
            <w:shd w:val="clear" w:color="auto" w:fill="FFFFFF"/>
            <w:vAlign w:val="center"/>
            <w:hideMark/>
          </w:tcPr>
          <w:p w14:paraId="482BF364"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212,6</w:t>
            </w:r>
          </w:p>
        </w:tc>
      </w:tr>
      <w:tr w:rsidR="00F65234" w:rsidRPr="00F65234" w14:paraId="281569F8" w14:textId="77777777" w:rsidTr="00F65234">
        <w:trPr>
          <w:trHeight w:val="315"/>
        </w:trPr>
        <w:tc>
          <w:tcPr>
            <w:tcW w:w="2170" w:type="dxa"/>
            <w:tcBorders>
              <w:top w:val="nil"/>
              <w:left w:val="single" w:sz="8" w:space="0" w:color="auto"/>
              <w:bottom w:val="single" w:sz="4" w:space="0" w:color="auto"/>
              <w:right w:val="single" w:sz="4" w:space="0" w:color="auto"/>
            </w:tcBorders>
            <w:vAlign w:val="center"/>
            <w:hideMark/>
          </w:tcPr>
          <w:p w14:paraId="000DC11A"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Лом</w:t>
            </w:r>
          </w:p>
        </w:tc>
        <w:tc>
          <w:tcPr>
            <w:tcW w:w="2235" w:type="dxa"/>
            <w:tcBorders>
              <w:top w:val="nil"/>
              <w:left w:val="nil"/>
              <w:bottom w:val="single" w:sz="4" w:space="0" w:color="auto"/>
              <w:right w:val="single" w:sz="4" w:space="0" w:color="auto"/>
            </w:tcBorders>
            <w:shd w:val="clear" w:color="auto" w:fill="C2D69B" w:themeFill="accent3" w:themeFillTint="99"/>
            <w:vAlign w:val="center"/>
          </w:tcPr>
          <w:p w14:paraId="2AB5B313"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p>
        </w:tc>
        <w:tc>
          <w:tcPr>
            <w:tcW w:w="2551" w:type="dxa"/>
            <w:tcBorders>
              <w:top w:val="nil"/>
              <w:left w:val="nil"/>
              <w:bottom w:val="single" w:sz="4" w:space="0" w:color="auto"/>
              <w:right w:val="single" w:sz="4" w:space="0" w:color="auto"/>
            </w:tcBorders>
            <w:shd w:val="clear" w:color="auto" w:fill="FFFFFF"/>
            <w:vAlign w:val="center"/>
          </w:tcPr>
          <w:p w14:paraId="17A3B553"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p>
        </w:tc>
        <w:tc>
          <w:tcPr>
            <w:tcW w:w="2552" w:type="dxa"/>
            <w:tcBorders>
              <w:top w:val="nil"/>
              <w:left w:val="nil"/>
              <w:bottom w:val="single" w:sz="4" w:space="0" w:color="auto"/>
              <w:right w:val="single" w:sz="8" w:space="0" w:color="auto"/>
            </w:tcBorders>
            <w:shd w:val="clear" w:color="auto" w:fill="FFFFFF"/>
            <w:vAlign w:val="center"/>
            <w:hideMark/>
          </w:tcPr>
          <w:p w14:paraId="7E6FF4F5"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298,2</w:t>
            </w:r>
          </w:p>
        </w:tc>
      </w:tr>
      <w:tr w:rsidR="00F65234" w:rsidRPr="00F65234" w14:paraId="51D3CDA4" w14:textId="77777777" w:rsidTr="00F65234">
        <w:trPr>
          <w:trHeight w:val="315"/>
        </w:trPr>
        <w:tc>
          <w:tcPr>
            <w:tcW w:w="2170" w:type="dxa"/>
            <w:tcBorders>
              <w:top w:val="nil"/>
              <w:left w:val="single" w:sz="8" w:space="0" w:color="auto"/>
              <w:bottom w:val="single" w:sz="4" w:space="0" w:color="auto"/>
              <w:right w:val="single" w:sz="4" w:space="0" w:color="auto"/>
            </w:tcBorders>
            <w:vAlign w:val="center"/>
            <w:hideMark/>
          </w:tcPr>
          <w:p w14:paraId="588F1873"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Берковица</w:t>
            </w:r>
          </w:p>
        </w:tc>
        <w:tc>
          <w:tcPr>
            <w:tcW w:w="2235" w:type="dxa"/>
            <w:tcBorders>
              <w:top w:val="nil"/>
              <w:left w:val="nil"/>
              <w:bottom w:val="single" w:sz="4" w:space="0" w:color="auto"/>
              <w:right w:val="single" w:sz="4" w:space="0" w:color="auto"/>
            </w:tcBorders>
            <w:shd w:val="clear" w:color="auto" w:fill="C2D69B" w:themeFill="accent3" w:themeFillTint="99"/>
            <w:vAlign w:val="center"/>
          </w:tcPr>
          <w:p w14:paraId="04A9C6F4"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p>
        </w:tc>
        <w:tc>
          <w:tcPr>
            <w:tcW w:w="2551" w:type="dxa"/>
            <w:tcBorders>
              <w:top w:val="nil"/>
              <w:left w:val="nil"/>
              <w:bottom w:val="single" w:sz="4" w:space="0" w:color="auto"/>
              <w:right w:val="single" w:sz="4" w:space="0" w:color="auto"/>
            </w:tcBorders>
            <w:shd w:val="clear" w:color="auto" w:fill="FFFFFF"/>
            <w:vAlign w:val="center"/>
          </w:tcPr>
          <w:p w14:paraId="00422396"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p>
        </w:tc>
        <w:tc>
          <w:tcPr>
            <w:tcW w:w="2552" w:type="dxa"/>
            <w:tcBorders>
              <w:top w:val="nil"/>
              <w:left w:val="nil"/>
              <w:bottom w:val="single" w:sz="4" w:space="0" w:color="auto"/>
              <w:right w:val="single" w:sz="8" w:space="0" w:color="auto"/>
            </w:tcBorders>
            <w:shd w:val="clear" w:color="auto" w:fill="FFFFFF"/>
            <w:vAlign w:val="center"/>
            <w:hideMark/>
          </w:tcPr>
          <w:p w14:paraId="045BD3AA"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124,5</w:t>
            </w:r>
          </w:p>
        </w:tc>
      </w:tr>
      <w:tr w:rsidR="00F65234" w:rsidRPr="00F65234" w14:paraId="08C94258" w14:textId="77777777" w:rsidTr="00F65234">
        <w:trPr>
          <w:trHeight w:val="315"/>
        </w:trPr>
        <w:tc>
          <w:tcPr>
            <w:tcW w:w="2170" w:type="dxa"/>
            <w:tcBorders>
              <w:top w:val="nil"/>
              <w:left w:val="single" w:sz="8" w:space="0" w:color="auto"/>
              <w:bottom w:val="nil"/>
              <w:right w:val="single" w:sz="4" w:space="0" w:color="auto"/>
            </w:tcBorders>
            <w:shd w:val="clear" w:color="auto" w:fill="BFBFBF" w:themeFill="background1" w:themeFillShade="BF"/>
            <w:vAlign w:val="center"/>
            <w:hideMark/>
          </w:tcPr>
          <w:p w14:paraId="4584ED39" w14:textId="77777777" w:rsidR="00F65234" w:rsidRPr="00F65234" w:rsidRDefault="00F65234" w:rsidP="00F65234">
            <w:pPr>
              <w:spacing w:after="0" w:line="240" w:lineRule="auto"/>
              <w:rPr>
                <w:rFonts w:ascii="Times New Roman" w:eastAsia="Calibri" w:hAnsi="Times New Roman" w:cs="Times New Roman"/>
                <w:b/>
                <w:bCs/>
                <w:color w:val="000000"/>
                <w:sz w:val="24"/>
                <w:szCs w:val="24"/>
                <w:lang w:eastAsia="bg-BG"/>
              </w:rPr>
            </w:pPr>
            <w:r w:rsidRPr="00F65234">
              <w:rPr>
                <w:rFonts w:ascii="Times New Roman" w:eastAsia="Calibri" w:hAnsi="Times New Roman" w:cs="Times New Roman"/>
                <w:b/>
                <w:bCs/>
                <w:color w:val="000000"/>
                <w:sz w:val="24"/>
                <w:szCs w:val="24"/>
                <w:lang w:eastAsia="bg-BG"/>
              </w:rPr>
              <w:t>Средно за РП</w:t>
            </w:r>
          </w:p>
        </w:tc>
        <w:tc>
          <w:tcPr>
            <w:tcW w:w="2235" w:type="dxa"/>
            <w:tcBorders>
              <w:top w:val="nil"/>
              <w:left w:val="nil"/>
              <w:bottom w:val="nil"/>
              <w:right w:val="single" w:sz="4" w:space="0" w:color="auto"/>
            </w:tcBorders>
            <w:shd w:val="clear" w:color="auto" w:fill="BFBFBF" w:themeFill="background1" w:themeFillShade="BF"/>
            <w:vAlign w:val="center"/>
          </w:tcPr>
          <w:p w14:paraId="178D72D6" w14:textId="77777777" w:rsidR="00F65234" w:rsidRPr="00F65234" w:rsidRDefault="00F65234" w:rsidP="00F65234">
            <w:pPr>
              <w:spacing w:after="0" w:line="240" w:lineRule="auto"/>
              <w:jc w:val="center"/>
              <w:rPr>
                <w:rFonts w:ascii="Times New Roman" w:eastAsia="Calibri" w:hAnsi="Times New Roman" w:cs="Times New Roman"/>
                <w:b/>
                <w:bCs/>
                <w:color w:val="FF0000"/>
                <w:sz w:val="24"/>
                <w:szCs w:val="24"/>
                <w:lang w:eastAsia="bg-BG"/>
              </w:rPr>
            </w:pPr>
          </w:p>
        </w:tc>
        <w:tc>
          <w:tcPr>
            <w:tcW w:w="2551" w:type="dxa"/>
            <w:tcBorders>
              <w:top w:val="nil"/>
              <w:left w:val="nil"/>
              <w:bottom w:val="nil"/>
              <w:right w:val="single" w:sz="4" w:space="0" w:color="auto"/>
            </w:tcBorders>
            <w:shd w:val="clear" w:color="auto" w:fill="BFBFBF" w:themeFill="background1" w:themeFillShade="BF"/>
            <w:vAlign w:val="center"/>
          </w:tcPr>
          <w:p w14:paraId="287B2807" w14:textId="77777777" w:rsidR="00F65234" w:rsidRPr="00F65234" w:rsidRDefault="00F65234" w:rsidP="00F65234">
            <w:pPr>
              <w:spacing w:after="0" w:line="240" w:lineRule="auto"/>
              <w:jc w:val="center"/>
              <w:rPr>
                <w:rFonts w:ascii="Times New Roman" w:eastAsia="Calibri" w:hAnsi="Times New Roman" w:cs="Times New Roman"/>
                <w:bCs/>
                <w:color w:val="FF0000"/>
                <w:sz w:val="24"/>
                <w:szCs w:val="24"/>
                <w:lang w:eastAsia="bg-BG"/>
              </w:rPr>
            </w:pPr>
          </w:p>
        </w:tc>
        <w:tc>
          <w:tcPr>
            <w:tcW w:w="2552" w:type="dxa"/>
            <w:tcBorders>
              <w:top w:val="nil"/>
              <w:left w:val="nil"/>
              <w:bottom w:val="nil"/>
              <w:right w:val="single" w:sz="8" w:space="0" w:color="auto"/>
            </w:tcBorders>
            <w:shd w:val="clear" w:color="auto" w:fill="BFBFBF" w:themeFill="background1" w:themeFillShade="BF"/>
            <w:vAlign w:val="center"/>
            <w:hideMark/>
          </w:tcPr>
          <w:p w14:paraId="17BB556F" w14:textId="77777777" w:rsidR="00F65234" w:rsidRPr="00F65234" w:rsidRDefault="00F65234" w:rsidP="00F65234">
            <w:pPr>
              <w:spacing w:after="0" w:line="240" w:lineRule="auto"/>
              <w:jc w:val="center"/>
              <w:rPr>
                <w:rFonts w:ascii="Times New Roman" w:eastAsia="Calibri" w:hAnsi="Times New Roman" w:cs="Times New Roman"/>
                <w:bCs/>
                <w:color w:val="FF0000"/>
                <w:sz w:val="24"/>
                <w:szCs w:val="24"/>
                <w:lang w:eastAsia="bg-BG"/>
              </w:rPr>
            </w:pPr>
            <w:r w:rsidRPr="00F65234">
              <w:rPr>
                <w:rFonts w:ascii="Times New Roman" w:eastAsia="Calibri" w:hAnsi="Times New Roman" w:cs="Times New Roman"/>
                <w:bCs/>
                <w:sz w:val="24"/>
                <w:szCs w:val="24"/>
                <w:lang w:eastAsia="bg-BG"/>
              </w:rPr>
              <w:t>217,6</w:t>
            </w:r>
          </w:p>
        </w:tc>
      </w:tr>
      <w:tr w:rsidR="00F65234" w:rsidRPr="00F65234" w14:paraId="1DBC7C76" w14:textId="77777777" w:rsidTr="00F65234">
        <w:trPr>
          <w:trHeight w:val="306"/>
        </w:trPr>
        <w:tc>
          <w:tcPr>
            <w:tcW w:w="2170" w:type="dxa"/>
            <w:tcBorders>
              <w:top w:val="single" w:sz="4" w:space="0" w:color="auto"/>
              <w:left w:val="single" w:sz="8" w:space="0" w:color="auto"/>
              <w:bottom w:val="single" w:sz="8" w:space="0" w:color="auto"/>
              <w:right w:val="single" w:sz="4" w:space="0" w:color="auto"/>
            </w:tcBorders>
            <w:vAlign w:val="bottom"/>
            <w:hideMark/>
          </w:tcPr>
          <w:p w14:paraId="2C02D43B"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ОП Монтана</w:t>
            </w:r>
          </w:p>
        </w:tc>
        <w:tc>
          <w:tcPr>
            <w:tcW w:w="2235" w:type="dxa"/>
            <w:tcBorders>
              <w:top w:val="single" w:sz="4" w:space="0" w:color="auto"/>
              <w:left w:val="nil"/>
              <w:bottom w:val="single" w:sz="8" w:space="0" w:color="auto"/>
              <w:right w:val="single" w:sz="4" w:space="0" w:color="auto"/>
            </w:tcBorders>
            <w:shd w:val="clear" w:color="auto" w:fill="C2D69B" w:themeFill="accent3" w:themeFillTint="99"/>
            <w:vAlign w:val="bottom"/>
            <w:hideMark/>
          </w:tcPr>
          <w:p w14:paraId="03949FFF" w14:textId="77777777" w:rsidR="00F65234" w:rsidRPr="00F65234" w:rsidRDefault="00F65234" w:rsidP="00F65234">
            <w:pPr>
              <w:spacing w:after="0" w:line="240" w:lineRule="auto"/>
              <w:jc w:val="center"/>
              <w:rPr>
                <w:rFonts w:ascii="Times New Roman" w:eastAsia="Calibri" w:hAnsi="Times New Roman" w:cs="Times New Roman"/>
                <w:b/>
                <w:color w:val="FF0000"/>
                <w:sz w:val="24"/>
                <w:szCs w:val="24"/>
                <w:lang w:eastAsia="bg-BG"/>
              </w:rPr>
            </w:pPr>
            <w:r w:rsidRPr="00F65234">
              <w:rPr>
                <w:rFonts w:ascii="Times New Roman" w:eastAsia="Calibri" w:hAnsi="Times New Roman" w:cs="Times New Roman"/>
                <w:b/>
                <w:sz w:val="24"/>
                <w:szCs w:val="24"/>
                <w:lang w:eastAsia="bg-BG"/>
              </w:rPr>
              <w:t>75,7</w:t>
            </w:r>
          </w:p>
        </w:tc>
        <w:tc>
          <w:tcPr>
            <w:tcW w:w="2551" w:type="dxa"/>
            <w:tcBorders>
              <w:top w:val="single" w:sz="4" w:space="0" w:color="auto"/>
              <w:left w:val="nil"/>
              <w:bottom w:val="single" w:sz="8" w:space="0" w:color="auto"/>
              <w:right w:val="single" w:sz="4" w:space="0" w:color="auto"/>
            </w:tcBorders>
            <w:vAlign w:val="bottom"/>
            <w:hideMark/>
          </w:tcPr>
          <w:p w14:paraId="77CAB4D4" w14:textId="77777777" w:rsidR="00F65234" w:rsidRPr="00F65234" w:rsidRDefault="00F65234" w:rsidP="00F65234">
            <w:pPr>
              <w:spacing w:after="0" w:line="240" w:lineRule="auto"/>
              <w:jc w:val="center"/>
              <w:rPr>
                <w:rFonts w:ascii="Times New Roman" w:eastAsia="Calibri" w:hAnsi="Times New Roman" w:cs="Times New Roman"/>
                <w:color w:val="FF0000"/>
                <w:sz w:val="24"/>
                <w:szCs w:val="24"/>
                <w:lang w:eastAsia="bg-BG"/>
              </w:rPr>
            </w:pPr>
            <w:r w:rsidRPr="00F65234">
              <w:rPr>
                <w:rFonts w:ascii="Times New Roman" w:eastAsia="Calibri" w:hAnsi="Times New Roman" w:cs="Times New Roman"/>
                <w:sz w:val="24"/>
                <w:szCs w:val="24"/>
                <w:lang w:eastAsia="bg-BG"/>
              </w:rPr>
              <w:t>62,3</w:t>
            </w:r>
          </w:p>
        </w:tc>
        <w:tc>
          <w:tcPr>
            <w:tcW w:w="2552" w:type="dxa"/>
            <w:tcBorders>
              <w:top w:val="single" w:sz="4" w:space="0" w:color="auto"/>
              <w:left w:val="nil"/>
              <w:bottom w:val="single" w:sz="8" w:space="0" w:color="auto"/>
              <w:right w:val="single" w:sz="8" w:space="0" w:color="auto"/>
            </w:tcBorders>
            <w:vAlign w:val="bottom"/>
            <w:hideMark/>
          </w:tcPr>
          <w:p w14:paraId="368815E3" w14:textId="77777777" w:rsidR="00F65234" w:rsidRPr="00F65234" w:rsidRDefault="00F65234" w:rsidP="00F65234">
            <w:pPr>
              <w:spacing w:after="0" w:line="240" w:lineRule="auto"/>
              <w:jc w:val="center"/>
              <w:rPr>
                <w:rFonts w:ascii="Times New Roman" w:eastAsia="Calibri" w:hAnsi="Times New Roman" w:cs="Times New Roman"/>
                <w:color w:val="FF0000"/>
                <w:sz w:val="24"/>
                <w:szCs w:val="24"/>
                <w:lang w:eastAsia="bg-BG"/>
              </w:rPr>
            </w:pPr>
            <w:r w:rsidRPr="00F65234">
              <w:rPr>
                <w:rFonts w:ascii="Times New Roman" w:eastAsia="Calibri" w:hAnsi="Times New Roman" w:cs="Times New Roman"/>
                <w:sz w:val="24"/>
                <w:szCs w:val="24"/>
                <w:lang w:eastAsia="bg-BG"/>
              </w:rPr>
              <w:t>56,3</w:t>
            </w:r>
          </w:p>
        </w:tc>
      </w:tr>
    </w:tbl>
    <w:p w14:paraId="62FF69EC" w14:textId="77777777"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rPr>
      </w:pPr>
    </w:p>
    <w:p w14:paraId="7B8F5F44" w14:textId="77777777"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rPr>
      </w:pPr>
      <w:r w:rsidRPr="00F65234">
        <w:rPr>
          <w:rFonts w:ascii="Times New Roman" w:eastAsia="Calibri" w:hAnsi="Times New Roman" w:cs="Times New Roman"/>
          <w:sz w:val="28"/>
        </w:rPr>
        <w:t xml:space="preserve">От анализа на тези показатели може да се направи извод, че в ОП Монтана се наблюдава увеличение на наблюдаваните досъдебни производства от един прокурор, спрямо предходните 2021 г. и 2020 г., а в РП Монтана са наблюдава намаление спрямо предходната 2021 г. и увеличение спрямо 2020 г. </w:t>
      </w:r>
    </w:p>
    <w:p w14:paraId="4646C06B" w14:textId="77777777"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rPr>
      </w:pPr>
    </w:p>
    <w:p w14:paraId="2350A782" w14:textId="77777777" w:rsidR="00F65234" w:rsidRPr="00F65234" w:rsidRDefault="00F65234" w:rsidP="00F65234">
      <w:pPr>
        <w:ind w:firstLine="708"/>
        <w:jc w:val="both"/>
        <w:rPr>
          <w:rFonts w:ascii="Times New Roman" w:eastAsia="Calibri" w:hAnsi="Times New Roman" w:cs="Times New Roman"/>
          <w:b/>
          <w:i/>
          <w:sz w:val="28"/>
          <w:szCs w:val="28"/>
        </w:rPr>
      </w:pPr>
      <w:r w:rsidRPr="00F65234">
        <w:rPr>
          <w:rFonts w:ascii="Times New Roman" w:eastAsia="Calibri" w:hAnsi="Times New Roman" w:cs="Times New Roman"/>
          <w:b/>
          <w:i/>
          <w:sz w:val="28"/>
          <w:szCs w:val="28"/>
        </w:rPr>
        <w:t>3.2. Средна натовареност по решени досъдебни производства.</w:t>
      </w:r>
    </w:p>
    <w:p w14:paraId="6836E983" w14:textId="77777777"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 xml:space="preserve">През 2022 г. един прокурор от РП Монтана е решил средно 181,8 ДП, а един прокурор от ОП гр. Монтана – 25,4 ДП. </w:t>
      </w:r>
    </w:p>
    <w:p w14:paraId="1DA924C7" w14:textId="77777777"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rPr>
      </w:pPr>
      <w:r w:rsidRPr="00F65234">
        <w:rPr>
          <w:rFonts w:ascii="Times New Roman" w:eastAsia="Calibri" w:hAnsi="Times New Roman" w:cs="Times New Roman"/>
          <w:sz w:val="28"/>
        </w:rPr>
        <w:t xml:space="preserve">В ОП Монтана и </w:t>
      </w:r>
      <w:r w:rsidRPr="00F65234">
        <w:rPr>
          <w:rFonts w:ascii="Times New Roman" w:eastAsia="Calibri" w:hAnsi="Times New Roman" w:cs="Times New Roman"/>
          <w:sz w:val="28"/>
          <w:szCs w:val="28"/>
        </w:rPr>
        <w:t xml:space="preserve">РП Монтана </w:t>
      </w:r>
      <w:r w:rsidRPr="00F65234">
        <w:rPr>
          <w:rFonts w:ascii="Times New Roman" w:eastAsia="Calibri" w:hAnsi="Times New Roman" w:cs="Times New Roman"/>
          <w:sz w:val="28"/>
        </w:rPr>
        <w:t xml:space="preserve">е налице увеличение на средната натовареност по брой решени ДП спрямо предходните две години, което е положителна тенденция по този показател.  </w:t>
      </w:r>
    </w:p>
    <w:p w14:paraId="7CF4A621" w14:textId="77777777"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rPr>
      </w:pPr>
    </w:p>
    <w:tbl>
      <w:tblPr>
        <w:tblW w:w="9508" w:type="dxa"/>
        <w:tblInd w:w="60" w:type="dxa"/>
        <w:tblCellMar>
          <w:left w:w="70" w:type="dxa"/>
          <w:right w:w="70" w:type="dxa"/>
        </w:tblCellMar>
        <w:tblLook w:val="04A0" w:firstRow="1" w:lastRow="0" w:firstColumn="1" w:lastColumn="0" w:noHBand="0" w:noVBand="1"/>
      </w:tblPr>
      <w:tblGrid>
        <w:gridCol w:w="2170"/>
        <w:gridCol w:w="2518"/>
        <w:gridCol w:w="2268"/>
        <w:gridCol w:w="2552"/>
      </w:tblGrid>
      <w:tr w:rsidR="00F65234" w:rsidRPr="00F65234" w14:paraId="78A7B5C6" w14:textId="77777777" w:rsidTr="00F65234">
        <w:trPr>
          <w:trHeight w:val="840"/>
        </w:trPr>
        <w:tc>
          <w:tcPr>
            <w:tcW w:w="2170" w:type="dxa"/>
            <w:vMerge w:val="restart"/>
            <w:tcBorders>
              <w:top w:val="single" w:sz="8" w:space="0" w:color="auto"/>
              <w:left w:val="single" w:sz="8" w:space="0" w:color="auto"/>
              <w:bottom w:val="single" w:sz="4" w:space="0" w:color="000000"/>
              <w:right w:val="single" w:sz="4" w:space="0" w:color="auto"/>
            </w:tcBorders>
            <w:hideMark/>
          </w:tcPr>
          <w:p w14:paraId="509636E6" w14:textId="77777777" w:rsidR="00F65234" w:rsidRPr="00F65234" w:rsidRDefault="00F65234" w:rsidP="00F65234">
            <w:pPr>
              <w:spacing w:after="0" w:line="240" w:lineRule="auto"/>
              <w:ind w:firstLine="709"/>
              <w:jc w:val="center"/>
              <w:rPr>
                <w:rFonts w:ascii="Times New Roman" w:eastAsia="Calibri" w:hAnsi="Times New Roman" w:cs="Times New Roman"/>
                <w:b/>
                <w:bCs/>
                <w:i/>
                <w:sz w:val="24"/>
                <w:szCs w:val="24"/>
                <w:lang w:eastAsia="bg-BG"/>
              </w:rPr>
            </w:pPr>
            <w:r w:rsidRPr="00F65234">
              <w:rPr>
                <w:rFonts w:ascii="Times New Roman" w:eastAsia="Calibri" w:hAnsi="Times New Roman" w:cs="Times New Roman"/>
                <w:b/>
                <w:bCs/>
                <w:i/>
                <w:sz w:val="24"/>
                <w:szCs w:val="24"/>
                <w:lang w:eastAsia="bg-BG"/>
              </w:rPr>
              <w:br/>
            </w:r>
            <w:r w:rsidRPr="00F65234">
              <w:rPr>
                <w:rFonts w:ascii="Times New Roman" w:eastAsia="Calibri" w:hAnsi="Times New Roman" w:cs="Times New Roman"/>
                <w:b/>
                <w:bCs/>
                <w:i/>
                <w:sz w:val="24"/>
                <w:szCs w:val="24"/>
                <w:lang w:eastAsia="bg-BG"/>
              </w:rPr>
              <w:br/>
              <w:t>Прокуратура</w:t>
            </w:r>
          </w:p>
        </w:tc>
        <w:tc>
          <w:tcPr>
            <w:tcW w:w="7338" w:type="dxa"/>
            <w:gridSpan w:val="3"/>
            <w:tcBorders>
              <w:top w:val="single" w:sz="8" w:space="0" w:color="auto"/>
              <w:left w:val="nil"/>
              <w:bottom w:val="single" w:sz="4" w:space="0" w:color="auto"/>
              <w:right w:val="single" w:sz="8" w:space="0" w:color="000000"/>
            </w:tcBorders>
            <w:vAlign w:val="center"/>
            <w:hideMark/>
          </w:tcPr>
          <w:p w14:paraId="2DC4F996" w14:textId="77777777" w:rsidR="00F65234" w:rsidRPr="00F65234" w:rsidRDefault="00F65234" w:rsidP="00F65234">
            <w:pPr>
              <w:spacing w:after="0" w:line="240" w:lineRule="auto"/>
              <w:ind w:firstLine="709"/>
              <w:jc w:val="center"/>
              <w:rPr>
                <w:rFonts w:ascii="Times New Roman" w:eastAsia="Calibri" w:hAnsi="Times New Roman" w:cs="Times New Roman"/>
                <w:b/>
                <w:bCs/>
                <w:i/>
                <w:iCs/>
                <w:color w:val="FF0000"/>
                <w:sz w:val="24"/>
                <w:szCs w:val="24"/>
                <w:lang w:eastAsia="bg-BG"/>
              </w:rPr>
            </w:pPr>
            <w:r w:rsidRPr="00F65234">
              <w:rPr>
                <w:rFonts w:ascii="Times New Roman" w:eastAsia="Calibri" w:hAnsi="Times New Roman" w:cs="Times New Roman"/>
                <w:b/>
                <w:bCs/>
                <w:i/>
                <w:iCs/>
                <w:sz w:val="24"/>
                <w:szCs w:val="24"/>
                <w:lang w:eastAsia="bg-BG"/>
              </w:rPr>
              <w:t xml:space="preserve">Средно решени ДП </w:t>
            </w:r>
          </w:p>
        </w:tc>
      </w:tr>
      <w:tr w:rsidR="00F65234" w:rsidRPr="00F65234" w14:paraId="685BDE51" w14:textId="77777777" w:rsidTr="00F65234">
        <w:trPr>
          <w:trHeight w:val="174"/>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54F5554E" w14:textId="77777777" w:rsidR="00F65234" w:rsidRPr="00F65234" w:rsidRDefault="00F65234" w:rsidP="00F65234">
            <w:pPr>
              <w:spacing w:after="0" w:line="240" w:lineRule="auto"/>
              <w:rPr>
                <w:rFonts w:ascii="Times New Roman" w:eastAsia="Calibri" w:hAnsi="Times New Roman" w:cs="Times New Roman"/>
                <w:b/>
                <w:bCs/>
                <w:i/>
                <w:sz w:val="24"/>
                <w:szCs w:val="24"/>
                <w:lang w:eastAsia="bg-BG"/>
              </w:rPr>
            </w:pPr>
          </w:p>
        </w:tc>
        <w:tc>
          <w:tcPr>
            <w:tcW w:w="2518" w:type="dxa"/>
            <w:tcBorders>
              <w:top w:val="nil"/>
              <w:left w:val="nil"/>
              <w:bottom w:val="single" w:sz="4" w:space="0" w:color="auto"/>
              <w:right w:val="single" w:sz="4" w:space="0" w:color="auto"/>
            </w:tcBorders>
            <w:shd w:val="clear" w:color="auto" w:fill="C2D69B" w:themeFill="accent3" w:themeFillTint="99"/>
            <w:hideMark/>
          </w:tcPr>
          <w:p w14:paraId="62D66C39" w14:textId="77777777" w:rsidR="00F65234" w:rsidRPr="00F65234" w:rsidRDefault="00F65234" w:rsidP="00F65234">
            <w:pPr>
              <w:spacing w:after="0" w:line="240" w:lineRule="auto"/>
              <w:ind w:firstLine="709"/>
              <w:rPr>
                <w:rFonts w:ascii="Times New Roman" w:eastAsia="Calibri" w:hAnsi="Times New Roman" w:cs="Times New Roman"/>
                <w:b/>
                <w:bCs/>
                <w:sz w:val="24"/>
                <w:szCs w:val="24"/>
                <w:lang w:eastAsia="bg-BG"/>
              </w:rPr>
            </w:pPr>
            <w:r w:rsidRPr="00F65234">
              <w:rPr>
                <w:rFonts w:ascii="Times New Roman" w:eastAsia="Calibri" w:hAnsi="Times New Roman" w:cs="Times New Roman"/>
                <w:b/>
                <w:bCs/>
                <w:sz w:val="24"/>
                <w:szCs w:val="24"/>
                <w:lang w:eastAsia="bg-BG"/>
              </w:rPr>
              <w:t>2022 г.</w:t>
            </w:r>
          </w:p>
        </w:tc>
        <w:tc>
          <w:tcPr>
            <w:tcW w:w="2268" w:type="dxa"/>
            <w:tcBorders>
              <w:top w:val="nil"/>
              <w:left w:val="nil"/>
              <w:bottom w:val="single" w:sz="4" w:space="0" w:color="auto"/>
              <w:right w:val="single" w:sz="4" w:space="0" w:color="auto"/>
            </w:tcBorders>
            <w:hideMark/>
          </w:tcPr>
          <w:p w14:paraId="5702AD35" w14:textId="77777777" w:rsidR="00F65234" w:rsidRPr="00F65234" w:rsidRDefault="00F65234" w:rsidP="00F65234">
            <w:pPr>
              <w:spacing w:after="0" w:line="240" w:lineRule="auto"/>
              <w:ind w:firstLine="709"/>
              <w:rPr>
                <w:rFonts w:ascii="Times New Roman" w:eastAsia="Calibri" w:hAnsi="Times New Roman" w:cs="Times New Roman"/>
                <w:bCs/>
                <w:sz w:val="24"/>
                <w:szCs w:val="24"/>
                <w:lang w:eastAsia="bg-BG"/>
              </w:rPr>
            </w:pPr>
            <w:r w:rsidRPr="00F65234">
              <w:rPr>
                <w:rFonts w:ascii="Times New Roman" w:eastAsia="Calibri" w:hAnsi="Times New Roman" w:cs="Times New Roman"/>
                <w:bCs/>
                <w:sz w:val="24"/>
                <w:szCs w:val="24"/>
                <w:lang w:eastAsia="bg-BG"/>
              </w:rPr>
              <w:t>2021 г.</w:t>
            </w:r>
          </w:p>
        </w:tc>
        <w:tc>
          <w:tcPr>
            <w:tcW w:w="2552" w:type="dxa"/>
            <w:tcBorders>
              <w:top w:val="nil"/>
              <w:left w:val="nil"/>
              <w:bottom w:val="single" w:sz="4" w:space="0" w:color="auto"/>
              <w:right w:val="single" w:sz="8" w:space="0" w:color="auto"/>
            </w:tcBorders>
            <w:hideMark/>
          </w:tcPr>
          <w:p w14:paraId="1CBBB6AD" w14:textId="77777777" w:rsidR="00F65234" w:rsidRPr="00F65234" w:rsidRDefault="00F65234" w:rsidP="00F65234">
            <w:pPr>
              <w:spacing w:after="0" w:line="240" w:lineRule="auto"/>
              <w:ind w:firstLine="709"/>
              <w:rPr>
                <w:rFonts w:ascii="Times New Roman" w:eastAsia="Calibri" w:hAnsi="Times New Roman" w:cs="Times New Roman"/>
                <w:bCs/>
                <w:sz w:val="24"/>
                <w:szCs w:val="24"/>
                <w:lang w:eastAsia="bg-BG"/>
              </w:rPr>
            </w:pPr>
            <w:r w:rsidRPr="00F65234">
              <w:rPr>
                <w:rFonts w:ascii="Times New Roman" w:eastAsia="Calibri" w:hAnsi="Times New Roman" w:cs="Times New Roman"/>
                <w:bCs/>
                <w:sz w:val="24"/>
                <w:szCs w:val="24"/>
                <w:lang w:eastAsia="bg-BG"/>
              </w:rPr>
              <w:t>2020 г.</w:t>
            </w:r>
          </w:p>
        </w:tc>
      </w:tr>
      <w:tr w:rsidR="00F65234" w:rsidRPr="00F65234" w14:paraId="0C0BB4E6" w14:textId="77777777" w:rsidTr="00F65234">
        <w:trPr>
          <w:trHeight w:val="315"/>
        </w:trPr>
        <w:tc>
          <w:tcPr>
            <w:tcW w:w="2170" w:type="dxa"/>
            <w:tcBorders>
              <w:top w:val="nil"/>
              <w:left w:val="single" w:sz="8" w:space="0" w:color="auto"/>
              <w:bottom w:val="single" w:sz="4" w:space="0" w:color="auto"/>
              <w:right w:val="single" w:sz="4" w:space="0" w:color="auto"/>
            </w:tcBorders>
            <w:vAlign w:val="center"/>
            <w:hideMark/>
          </w:tcPr>
          <w:p w14:paraId="276CB09B" w14:textId="77777777" w:rsidR="00F65234" w:rsidRPr="00F65234" w:rsidRDefault="00F65234" w:rsidP="00F65234">
            <w:pPr>
              <w:spacing w:after="0" w:line="240" w:lineRule="auto"/>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РП Монтана</w:t>
            </w:r>
          </w:p>
        </w:tc>
        <w:tc>
          <w:tcPr>
            <w:tcW w:w="2518" w:type="dxa"/>
            <w:tcBorders>
              <w:top w:val="nil"/>
              <w:left w:val="nil"/>
              <w:bottom w:val="single" w:sz="4" w:space="0" w:color="auto"/>
              <w:right w:val="single" w:sz="4" w:space="0" w:color="auto"/>
            </w:tcBorders>
            <w:shd w:val="clear" w:color="auto" w:fill="C2D69B" w:themeFill="accent3" w:themeFillTint="99"/>
            <w:vAlign w:val="center"/>
            <w:hideMark/>
          </w:tcPr>
          <w:p w14:paraId="0FBFE25C" w14:textId="77777777" w:rsidR="00F65234" w:rsidRPr="00F65234" w:rsidRDefault="00F65234" w:rsidP="00F65234">
            <w:pPr>
              <w:spacing w:after="0" w:line="240" w:lineRule="auto"/>
              <w:ind w:firstLine="709"/>
              <w:rPr>
                <w:rFonts w:ascii="Times New Roman" w:eastAsia="Calibri" w:hAnsi="Times New Roman" w:cs="Times New Roman"/>
                <w:b/>
                <w:sz w:val="24"/>
                <w:szCs w:val="24"/>
                <w:lang w:eastAsia="bg-BG"/>
              </w:rPr>
            </w:pPr>
            <w:r w:rsidRPr="00F65234">
              <w:rPr>
                <w:rFonts w:ascii="Times New Roman" w:eastAsia="Calibri" w:hAnsi="Times New Roman" w:cs="Times New Roman"/>
                <w:b/>
                <w:sz w:val="24"/>
                <w:szCs w:val="24"/>
                <w:lang w:eastAsia="bg-BG"/>
              </w:rPr>
              <w:t>181,8</w:t>
            </w:r>
          </w:p>
        </w:tc>
        <w:tc>
          <w:tcPr>
            <w:tcW w:w="2268" w:type="dxa"/>
            <w:tcBorders>
              <w:top w:val="nil"/>
              <w:left w:val="nil"/>
              <w:bottom w:val="single" w:sz="4" w:space="0" w:color="auto"/>
              <w:right w:val="single" w:sz="4" w:space="0" w:color="auto"/>
            </w:tcBorders>
            <w:vAlign w:val="center"/>
            <w:hideMark/>
          </w:tcPr>
          <w:p w14:paraId="4F5B91CD" w14:textId="77777777" w:rsidR="00F65234" w:rsidRPr="00F65234" w:rsidRDefault="00F65234" w:rsidP="00F65234">
            <w:pPr>
              <w:spacing w:after="0" w:line="240" w:lineRule="auto"/>
              <w:ind w:firstLine="709"/>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124,5</w:t>
            </w:r>
          </w:p>
        </w:tc>
        <w:tc>
          <w:tcPr>
            <w:tcW w:w="2552" w:type="dxa"/>
            <w:tcBorders>
              <w:top w:val="nil"/>
              <w:left w:val="nil"/>
              <w:bottom w:val="single" w:sz="4" w:space="0" w:color="auto"/>
              <w:right w:val="single" w:sz="8" w:space="0" w:color="auto"/>
            </w:tcBorders>
            <w:vAlign w:val="center"/>
            <w:hideMark/>
          </w:tcPr>
          <w:p w14:paraId="06F55006" w14:textId="77777777" w:rsidR="00F65234" w:rsidRPr="00F65234" w:rsidRDefault="00F65234" w:rsidP="00F65234">
            <w:pPr>
              <w:spacing w:after="0" w:line="240" w:lineRule="auto"/>
              <w:ind w:firstLine="709"/>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114,0</w:t>
            </w:r>
          </w:p>
        </w:tc>
      </w:tr>
      <w:tr w:rsidR="00F65234" w:rsidRPr="00F65234" w14:paraId="78DA9980" w14:textId="77777777" w:rsidTr="00F65234">
        <w:trPr>
          <w:trHeight w:val="315"/>
        </w:trPr>
        <w:tc>
          <w:tcPr>
            <w:tcW w:w="2170" w:type="dxa"/>
            <w:tcBorders>
              <w:top w:val="nil"/>
              <w:left w:val="single" w:sz="8" w:space="0" w:color="auto"/>
              <w:bottom w:val="single" w:sz="4" w:space="0" w:color="auto"/>
              <w:right w:val="single" w:sz="4" w:space="0" w:color="auto"/>
            </w:tcBorders>
            <w:vAlign w:val="center"/>
            <w:hideMark/>
          </w:tcPr>
          <w:p w14:paraId="3827904E" w14:textId="77777777" w:rsidR="00F65234" w:rsidRPr="00F65234" w:rsidRDefault="00F65234" w:rsidP="00F65234">
            <w:pPr>
              <w:spacing w:after="0" w:line="240" w:lineRule="auto"/>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РП Лом</w:t>
            </w:r>
          </w:p>
        </w:tc>
        <w:tc>
          <w:tcPr>
            <w:tcW w:w="2518" w:type="dxa"/>
            <w:tcBorders>
              <w:top w:val="nil"/>
              <w:left w:val="nil"/>
              <w:bottom w:val="single" w:sz="4" w:space="0" w:color="auto"/>
              <w:right w:val="single" w:sz="4" w:space="0" w:color="auto"/>
            </w:tcBorders>
            <w:shd w:val="clear" w:color="auto" w:fill="C2D69B" w:themeFill="accent3" w:themeFillTint="99"/>
            <w:vAlign w:val="center"/>
          </w:tcPr>
          <w:p w14:paraId="60D7D561" w14:textId="77777777" w:rsidR="00F65234" w:rsidRPr="00F65234" w:rsidRDefault="00F65234" w:rsidP="00F65234">
            <w:pPr>
              <w:spacing w:after="0" w:line="240" w:lineRule="auto"/>
              <w:ind w:firstLine="709"/>
              <w:rPr>
                <w:rFonts w:ascii="Times New Roman" w:eastAsia="Calibri" w:hAnsi="Times New Roman" w:cs="Times New Roman"/>
                <w:b/>
                <w:sz w:val="24"/>
                <w:szCs w:val="24"/>
                <w:lang w:eastAsia="bg-BG"/>
              </w:rPr>
            </w:pPr>
          </w:p>
        </w:tc>
        <w:tc>
          <w:tcPr>
            <w:tcW w:w="2268" w:type="dxa"/>
            <w:tcBorders>
              <w:top w:val="nil"/>
              <w:left w:val="nil"/>
              <w:bottom w:val="single" w:sz="4" w:space="0" w:color="auto"/>
              <w:right w:val="single" w:sz="4" w:space="0" w:color="auto"/>
            </w:tcBorders>
            <w:vAlign w:val="center"/>
          </w:tcPr>
          <w:p w14:paraId="5321CA4C" w14:textId="77777777" w:rsidR="00F65234" w:rsidRPr="00F65234" w:rsidRDefault="00F65234" w:rsidP="00F65234">
            <w:pPr>
              <w:spacing w:after="0" w:line="240" w:lineRule="auto"/>
              <w:ind w:firstLine="709"/>
              <w:rPr>
                <w:rFonts w:ascii="Times New Roman" w:eastAsia="Calibri" w:hAnsi="Times New Roman" w:cs="Times New Roman"/>
                <w:sz w:val="24"/>
                <w:szCs w:val="24"/>
                <w:lang w:eastAsia="bg-BG"/>
              </w:rPr>
            </w:pPr>
          </w:p>
        </w:tc>
        <w:tc>
          <w:tcPr>
            <w:tcW w:w="2552" w:type="dxa"/>
            <w:tcBorders>
              <w:top w:val="nil"/>
              <w:left w:val="nil"/>
              <w:bottom w:val="single" w:sz="4" w:space="0" w:color="auto"/>
              <w:right w:val="single" w:sz="8" w:space="0" w:color="auto"/>
            </w:tcBorders>
            <w:vAlign w:val="center"/>
            <w:hideMark/>
          </w:tcPr>
          <w:p w14:paraId="525A9A34" w14:textId="77777777" w:rsidR="00F65234" w:rsidRPr="00F65234" w:rsidRDefault="00F65234" w:rsidP="00F65234">
            <w:pPr>
              <w:spacing w:after="0" w:line="240" w:lineRule="auto"/>
              <w:ind w:firstLine="709"/>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212,6</w:t>
            </w:r>
          </w:p>
        </w:tc>
      </w:tr>
      <w:tr w:rsidR="00F65234" w:rsidRPr="00F65234" w14:paraId="1CDF39E9" w14:textId="77777777" w:rsidTr="00F65234">
        <w:trPr>
          <w:trHeight w:val="315"/>
        </w:trPr>
        <w:tc>
          <w:tcPr>
            <w:tcW w:w="2170" w:type="dxa"/>
            <w:tcBorders>
              <w:top w:val="nil"/>
              <w:left w:val="single" w:sz="8" w:space="0" w:color="auto"/>
              <w:bottom w:val="single" w:sz="4" w:space="0" w:color="auto"/>
              <w:right w:val="single" w:sz="4" w:space="0" w:color="auto"/>
            </w:tcBorders>
            <w:vAlign w:val="center"/>
            <w:hideMark/>
          </w:tcPr>
          <w:p w14:paraId="753FB0D1" w14:textId="77777777" w:rsidR="00F65234" w:rsidRPr="00F65234" w:rsidRDefault="00F65234" w:rsidP="00F65234">
            <w:pPr>
              <w:spacing w:after="0" w:line="240" w:lineRule="auto"/>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РП Берковица</w:t>
            </w:r>
          </w:p>
        </w:tc>
        <w:tc>
          <w:tcPr>
            <w:tcW w:w="2518" w:type="dxa"/>
            <w:tcBorders>
              <w:top w:val="nil"/>
              <w:left w:val="nil"/>
              <w:bottom w:val="single" w:sz="4" w:space="0" w:color="auto"/>
              <w:right w:val="single" w:sz="4" w:space="0" w:color="auto"/>
            </w:tcBorders>
            <w:shd w:val="clear" w:color="auto" w:fill="C2D69B" w:themeFill="accent3" w:themeFillTint="99"/>
            <w:vAlign w:val="center"/>
          </w:tcPr>
          <w:p w14:paraId="276F42BB" w14:textId="77777777" w:rsidR="00F65234" w:rsidRPr="00F65234" w:rsidRDefault="00F65234" w:rsidP="00F65234">
            <w:pPr>
              <w:spacing w:after="0" w:line="240" w:lineRule="auto"/>
              <w:ind w:firstLine="709"/>
              <w:rPr>
                <w:rFonts w:ascii="Times New Roman" w:eastAsia="Calibri" w:hAnsi="Times New Roman" w:cs="Times New Roman"/>
                <w:b/>
                <w:sz w:val="24"/>
                <w:szCs w:val="24"/>
                <w:lang w:eastAsia="bg-BG"/>
              </w:rPr>
            </w:pPr>
          </w:p>
        </w:tc>
        <w:tc>
          <w:tcPr>
            <w:tcW w:w="2268" w:type="dxa"/>
            <w:tcBorders>
              <w:top w:val="nil"/>
              <w:left w:val="nil"/>
              <w:bottom w:val="single" w:sz="4" w:space="0" w:color="auto"/>
              <w:right w:val="single" w:sz="4" w:space="0" w:color="auto"/>
            </w:tcBorders>
            <w:vAlign w:val="center"/>
          </w:tcPr>
          <w:p w14:paraId="725FBCB3" w14:textId="77777777" w:rsidR="00F65234" w:rsidRPr="00F65234" w:rsidRDefault="00F65234" w:rsidP="00F65234">
            <w:pPr>
              <w:spacing w:after="0" w:line="240" w:lineRule="auto"/>
              <w:ind w:firstLine="709"/>
              <w:rPr>
                <w:rFonts w:ascii="Times New Roman" w:eastAsia="Calibri" w:hAnsi="Times New Roman" w:cs="Times New Roman"/>
                <w:sz w:val="24"/>
                <w:szCs w:val="24"/>
                <w:lang w:eastAsia="bg-BG"/>
              </w:rPr>
            </w:pPr>
          </w:p>
        </w:tc>
        <w:tc>
          <w:tcPr>
            <w:tcW w:w="2552" w:type="dxa"/>
            <w:tcBorders>
              <w:top w:val="nil"/>
              <w:left w:val="nil"/>
              <w:bottom w:val="single" w:sz="4" w:space="0" w:color="auto"/>
              <w:right w:val="single" w:sz="8" w:space="0" w:color="auto"/>
            </w:tcBorders>
            <w:vAlign w:val="center"/>
            <w:hideMark/>
          </w:tcPr>
          <w:p w14:paraId="5DD704C7" w14:textId="77777777" w:rsidR="00F65234" w:rsidRPr="00F65234" w:rsidRDefault="00F65234" w:rsidP="00F65234">
            <w:pPr>
              <w:spacing w:after="0" w:line="240" w:lineRule="auto"/>
              <w:ind w:firstLine="709"/>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102,3</w:t>
            </w:r>
          </w:p>
        </w:tc>
      </w:tr>
      <w:tr w:rsidR="00F65234" w:rsidRPr="00F65234" w14:paraId="360B944C" w14:textId="77777777" w:rsidTr="00F65234">
        <w:trPr>
          <w:trHeight w:val="315"/>
        </w:trPr>
        <w:tc>
          <w:tcPr>
            <w:tcW w:w="2170" w:type="dxa"/>
            <w:tcBorders>
              <w:top w:val="nil"/>
              <w:left w:val="single" w:sz="8" w:space="0" w:color="auto"/>
              <w:bottom w:val="nil"/>
              <w:right w:val="single" w:sz="4" w:space="0" w:color="auto"/>
            </w:tcBorders>
            <w:shd w:val="clear" w:color="auto" w:fill="D9D9D9" w:themeFill="background1" w:themeFillShade="D9"/>
            <w:vAlign w:val="center"/>
            <w:hideMark/>
          </w:tcPr>
          <w:p w14:paraId="3ABD5D89" w14:textId="77777777" w:rsidR="00F65234" w:rsidRPr="00F65234" w:rsidRDefault="00F65234" w:rsidP="00F65234">
            <w:pPr>
              <w:spacing w:after="0" w:line="240" w:lineRule="auto"/>
              <w:rPr>
                <w:rFonts w:ascii="Times New Roman" w:eastAsia="Calibri" w:hAnsi="Times New Roman" w:cs="Times New Roman"/>
                <w:b/>
                <w:bCs/>
                <w:sz w:val="24"/>
                <w:szCs w:val="24"/>
                <w:lang w:eastAsia="bg-BG"/>
              </w:rPr>
            </w:pPr>
            <w:r w:rsidRPr="00F65234">
              <w:rPr>
                <w:rFonts w:ascii="Times New Roman" w:eastAsia="Calibri" w:hAnsi="Times New Roman" w:cs="Times New Roman"/>
                <w:b/>
                <w:bCs/>
                <w:sz w:val="24"/>
                <w:szCs w:val="24"/>
                <w:lang w:eastAsia="bg-BG"/>
              </w:rPr>
              <w:t>Средно за РП</w:t>
            </w:r>
          </w:p>
        </w:tc>
        <w:tc>
          <w:tcPr>
            <w:tcW w:w="2518" w:type="dxa"/>
            <w:tcBorders>
              <w:top w:val="nil"/>
              <w:left w:val="nil"/>
              <w:bottom w:val="nil"/>
              <w:right w:val="single" w:sz="4" w:space="0" w:color="auto"/>
            </w:tcBorders>
            <w:shd w:val="clear" w:color="auto" w:fill="D9D9D9" w:themeFill="background1" w:themeFillShade="D9"/>
            <w:vAlign w:val="center"/>
          </w:tcPr>
          <w:p w14:paraId="0DBA2BF6" w14:textId="77777777" w:rsidR="00F65234" w:rsidRPr="00F65234" w:rsidRDefault="00F65234" w:rsidP="00F65234">
            <w:pPr>
              <w:spacing w:after="0" w:line="240" w:lineRule="auto"/>
              <w:ind w:firstLine="709"/>
              <w:rPr>
                <w:rFonts w:ascii="Times New Roman" w:eastAsia="Calibri" w:hAnsi="Times New Roman" w:cs="Times New Roman"/>
                <w:b/>
                <w:bCs/>
                <w:sz w:val="24"/>
                <w:szCs w:val="24"/>
                <w:lang w:eastAsia="bg-BG"/>
              </w:rPr>
            </w:pPr>
          </w:p>
        </w:tc>
        <w:tc>
          <w:tcPr>
            <w:tcW w:w="2268" w:type="dxa"/>
            <w:tcBorders>
              <w:top w:val="nil"/>
              <w:left w:val="nil"/>
              <w:bottom w:val="nil"/>
              <w:right w:val="single" w:sz="4" w:space="0" w:color="auto"/>
            </w:tcBorders>
            <w:shd w:val="clear" w:color="auto" w:fill="D9D9D9" w:themeFill="background1" w:themeFillShade="D9"/>
            <w:vAlign w:val="center"/>
          </w:tcPr>
          <w:p w14:paraId="3A353204" w14:textId="77777777" w:rsidR="00F65234" w:rsidRPr="00F65234" w:rsidRDefault="00F65234" w:rsidP="00F65234">
            <w:pPr>
              <w:spacing w:after="0" w:line="240" w:lineRule="auto"/>
              <w:ind w:firstLine="709"/>
              <w:rPr>
                <w:rFonts w:ascii="Times New Roman" w:eastAsia="Calibri" w:hAnsi="Times New Roman" w:cs="Times New Roman"/>
                <w:bCs/>
                <w:sz w:val="24"/>
                <w:szCs w:val="24"/>
                <w:lang w:eastAsia="bg-BG"/>
              </w:rPr>
            </w:pPr>
          </w:p>
        </w:tc>
        <w:tc>
          <w:tcPr>
            <w:tcW w:w="2552" w:type="dxa"/>
            <w:tcBorders>
              <w:top w:val="nil"/>
              <w:left w:val="nil"/>
              <w:bottom w:val="nil"/>
              <w:right w:val="single" w:sz="8" w:space="0" w:color="auto"/>
            </w:tcBorders>
            <w:shd w:val="clear" w:color="auto" w:fill="D9D9D9" w:themeFill="background1" w:themeFillShade="D9"/>
            <w:vAlign w:val="center"/>
            <w:hideMark/>
          </w:tcPr>
          <w:p w14:paraId="25CC9F64" w14:textId="77777777" w:rsidR="00F65234" w:rsidRPr="00F65234" w:rsidRDefault="00F65234" w:rsidP="00F65234">
            <w:pPr>
              <w:spacing w:after="0" w:line="240" w:lineRule="auto"/>
              <w:ind w:firstLine="709"/>
              <w:rPr>
                <w:rFonts w:ascii="Times New Roman" w:eastAsia="Calibri" w:hAnsi="Times New Roman" w:cs="Times New Roman"/>
                <w:bCs/>
                <w:sz w:val="24"/>
                <w:szCs w:val="24"/>
                <w:lang w:eastAsia="bg-BG"/>
              </w:rPr>
            </w:pPr>
            <w:r w:rsidRPr="00F65234">
              <w:rPr>
                <w:rFonts w:ascii="Times New Roman" w:eastAsia="Calibri" w:hAnsi="Times New Roman" w:cs="Times New Roman"/>
                <w:bCs/>
                <w:sz w:val="24"/>
                <w:szCs w:val="24"/>
                <w:lang w:eastAsia="bg-BG"/>
              </w:rPr>
              <w:t>137,9</w:t>
            </w:r>
          </w:p>
        </w:tc>
      </w:tr>
      <w:tr w:rsidR="00F65234" w:rsidRPr="00F65234" w14:paraId="0EDA38C5" w14:textId="77777777" w:rsidTr="00F65234">
        <w:trPr>
          <w:trHeight w:val="375"/>
        </w:trPr>
        <w:tc>
          <w:tcPr>
            <w:tcW w:w="2170" w:type="dxa"/>
            <w:tcBorders>
              <w:top w:val="single" w:sz="4" w:space="0" w:color="auto"/>
              <w:left w:val="single" w:sz="8" w:space="0" w:color="auto"/>
              <w:bottom w:val="single" w:sz="8" w:space="0" w:color="auto"/>
              <w:right w:val="single" w:sz="4" w:space="0" w:color="auto"/>
            </w:tcBorders>
            <w:vAlign w:val="bottom"/>
            <w:hideMark/>
          </w:tcPr>
          <w:p w14:paraId="754500B2" w14:textId="77777777" w:rsidR="00F65234" w:rsidRPr="00F65234" w:rsidRDefault="00F65234" w:rsidP="00F65234">
            <w:pPr>
              <w:spacing w:after="0" w:line="240" w:lineRule="auto"/>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ОП Монтана</w:t>
            </w:r>
          </w:p>
        </w:tc>
        <w:tc>
          <w:tcPr>
            <w:tcW w:w="2518" w:type="dxa"/>
            <w:tcBorders>
              <w:top w:val="single" w:sz="4" w:space="0" w:color="auto"/>
              <w:left w:val="nil"/>
              <w:bottom w:val="single" w:sz="8" w:space="0" w:color="auto"/>
              <w:right w:val="single" w:sz="4" w:space="0" w:color="auto"/>
            </w:tcBorders>
            <w:shd w:val="clear" w:color="auto" w:fill="C2D69B" w:themeFill="accent3" w:themeFillTint="99"/>
            <w:vAlign w:val="bottom"/>
            <w:hideMark/>
          </w:tcPr>
          <w:p w14:paraId="7338ABBD" w14:textId="77777777" w:rsidR="00F65234" w:rsidRPr="00F65234" w:rsidRDefault="00F65234" w:rsidP="00F65234">
            <w:pPr>
              <w:spacing w:after="0" w:line="240" w:lineRule="auto"/>
              <w:ind w:firstLine="709"/>
              <w:rPr>
                <w:rFonts w:ascii="Times New Roman" w:eastAsia="Calibri" w:hAnsi="Times New Roman" w:cs="Times New Roman"/>
                <w:b/>
                <w:sz w:val="24"/>
                <w:szCs w:val="24"/>
                <w:lang w:eastAsia="bg-BG"/>
              </w:rPr>
            </w:pPr>
            <w:r w:rsidRPr="00F65234">
              <w:rPr>
                <w:rFonts w:ascii="Times New Roman" w:eastAsia="Calibri" w:hAnsi="Times New Roman" w:cs="Times New Roman"/>
                <w:b/>
                <w:sz w:val="24"/>
                <w:szCs w:val="24"/>
                <w:lang w:eastAsia="bg-BG"/>
              </w:rPr>
              <w:t>25,4</w:t>
            </w:r>
          </w:p>
        </w:tc>
        <w:tc>
          <w:tcPr>
            <w:tcW w:w="2268" w:type="dxa"/>
            <w:tcBorders>
              <w:top w:val="single" w:sz="4" w:space="0" w:color="auto"/>
              <w:left w:val="nil"/>
              <w:bottom w:val="single" w:sz="8" w:space="0" w:color="auto"/>
              <w:right w:val="single" w:sz="4" w:space="0" w:color="auto"/>
            </w:tcBorders>
            <w:vAlign w:val="bottom"/>
            <w:hideMark/>
          </w:tcPr>
          <w:p w14:paraId="60217442" w14:textId="77777777" w:rsidR="00F65234" w:rsidRPr="00F65234" w:rsidRDefault="00F65234" w:rsidP="00F65234">
            <w:pPr>
              <w:spacing w:after="0" w:line="240" w:lineRule="auto"/>
              <w:ind w:firstLine="709"/>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23,2</w:t>
            </w:r>
          </w:p>
        </w:tc>
        <w:tc>
          <w:tcPr>
            <w:tcW w:w="2552" w:type="dxa"/>
            <w:tcBorders>
              <w:top w:val="single" w:sz="4" w:space="0" w:color="auto"/>
              <w:left w:val="nil"/>
              <w:bottom w:val="single" w:sz="8" w:space="0" w:color="auto"/>
              <w:right w:val="single" w:sz="8" w:space="0" w:color="auto"/>
            </w:tcBorders>
            <w:vAlign w:val="bottom"/>
            <w:hideMark/>
          </w:tcPr>
          <w:p w14:paraId="7E75F8E4" w14:textId="77777777" w:rsidR="00F65234" w:rsidRPr="00F65234" w:rsidRDefault="00F65234" w:rsidP="00F65234">
            <w:pPr>
              <w:spacing w:after="0" w:line="240" w:lineRule="auto"/>
              <w:ind w:firstLine="709"/>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24,0</w:t>
            </w:r>
          </w:p>
        </w:tc>
      </w:tr>
    </w:tbl>
    <w:p w14:paraId="64C08D72" w14:textId="77777777" w:rsidR="00F65234" w:rsidRPr="00F65234" w:rsidRDefault="00F65234" w:rsidP="00F65234">
      <w:pPr>
        <w:rPr>
          <w:rFonts w:ascii="Calibri" w:eastAsia="Calibri" w:hAnsi="Calibri" w:cs="Times New Roman"/>
        </w:rPr>
      </w:pPr>
    </w:p>
    <w:p w14:paraId="49FF2AE0" w14:textId="77777777" w:rsidR="00F65234" w:rsidRPr="00F65234" w:rsidRDefault="00F65234" w:rsidP="00F65234">
      <w:pPr>
        <w:ind w:firstLine="708"/>
        <w:jc w:val="both"/>
        <w:rPr>
          <w:rFonts w:ascii="Times New Roman" w:eastAsia="Calibri" w:hAnsi="Times New Roman" w:cs="Times New Roman"/>
          <w:b/>
          <w:i/>
          <w:sz w:val="28"/>
          <w:szCs w:val="28"/>
          <w:lang w:val="en-US"/>
        </w:rPr>
      </w:pPr>
      <w:r w:rsidRPr="00F65234">
        <w:rPr>
          <w:rFonts w:ascii="Times New Roman" w:eastAsia="Calibri" w:hAnsi="Times New Roman" w:cs="Times New Roman"/>
          <w:b/>
          <w:i/>
          <w:sz w:val="28"/>
          <w:szCs w:val="28"/>
        </w:rPr>
        <w:t>3.3. Прокурорски актове, внесени в съда.</w:t>
      </w:r>
    </w:p>
    <w:p w14:paraId="5D1CB2C2" w14:textId="77777777"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 xml:space="preserve">През 2022 г. един прокурор от РП Монтана е внесъл в съда средно по 37,54 прокурорски акта срещу 3,3 - на прокурор от ОП Монтана. </w:t>
      </w:r>
    </w:p>
    <w:p w14:paraId="31029F15" w14:textId="77777777"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rPr>
      </w:pPr>
      <w:r w:rsidRPr="00F65234">
        <w:rPr>
          <w:rFonts w:ascii="Times New Roman" w:eastAsia="Calibri" w:hAnsi="Times New Roman" w:cs="Times New Roman"/>
          <w:sz w:val="28"/>
          <w:szCs w:val="28"/>
        </w:rPr>
        <w:t xml:space="preserve">За РП Монтана се наблюдава както намаляване спрямо 2021 г., така и увеличаване броя на внесените в съда прокурорски актове спрямо 2020 г. </w:t>
      </w:r>
      <w:r w:rsidRPr="00F65234">
        <w:rPr>
          <w:rFonts w:ascii="Times New Roman" w:eastAsia="Calibri" w:hAnsi="Times New Roman" w:cs="Times New Roman"/>
          <w:sz w:val="28"/>
        </w:rPr>
        <w:t xml:space="preserve">В ОП Монтана </w:t>
      </w:r>
      <w:r w:rsidRPr="00F65234">
        <w:rPr>
          <w:rFonts w:ascii="Times New Roman" w:eastAsia="Calibri" w:hAnsi="Times New Roman" w:cs="Times New Roman"/>
          <w:sz w:val="28"/>
          <w:szCs w:val="28"/>
        </w:rPr>
        <w:t xml:space="preserve">се наблюдава намаляване </w:t>
      </w:r>
      <w:r w:rsidRPr="00F65234">
        <w:rPr>
          <w:rFonts w:ascii="Times New Roman" w:eastAsia="Calibri" w:hAnsi="Times New Roman" w:cs="Times New Roman"/>
          <w:sz w:val="28"/>
        </w:rPr>
        <w:t xml:space="preserve">на средната натовареност по брой </w:t>
      </w:r>
      <w:r w:rsidRPr="00F65234">
        <w:rPr>
          <w:rFonts w:ascii="Times New Roman" w:eastAsia="Calibri" w:hAnsi="Times New Roman" w:cs="Times New Roman"/>
          <w:sz w:val="28"/>
          <w:szCs w:val="28"/>
        </w:rPr>
        <w:t xml:space="preserve">внесените в съда прокурорски актове </w:t>
      </w:r>
      <w:r w:rsidRPr="00F65234">
        <w:rPr>
          <w:rFonts w:ascii="Times New Roman" w:eastAsia="Calibri" w:hAnsi="Times New Roman" w:cs="Times New Roman"/>
          <w:sz w:val="28"/>
        </w:rPr>
        <w:t xml:space="preserve">спрямо предходните две години, </w:t>
      </w:r>
      <w:r w:rsidRPr="00F65234">
        <w:rPr>
          <w:rFonts w:ascii="Times New Roman" w:eastAsia="Calibri" w:hAnsi="Times New Roman" w:cs="Times New Roman"/>
          <w:sz w:val="28"/>
          <w:szCs w:val="28"/>
        </w:rPr>
        <w:t>което е пряка последица от намаляването на общо наблюдаваните и решените ДП.</w:t>
      </w:r>
    </w:p>
    <w:tbl>
      <w:tblPr>
        <w:tblW w:w="9508" w:type="dxa"/>
        <w:tblInd w:w="60" w:type="dxa"/>
        <w:tblCellMar>
          <w:left w:w="70" w:type="dxa"/>
          <w:right w:w="70" w:type="dxa"/>
        </w:tblCellMar>
        <w:tblLook w:val="04A0" w:firstRow="1" w:lastRow="0" w:firstColumn="1" w:lastColumn="0" w:noHBand="0" w:noVBand="1"/>
      </w:tblPr>
      <w:tblGrid>
        <w:gridCol w:w="2170"/>
        <w:gridCol w:w="2518"/>
        <w:gridCol w:w="2410"/>
        <w:gridCol w:w="2410"/>
      </w:tblGrid>
      <w:tr w:rsidR="00F65234" w:rsidRPr="00F65234" w14:paraId="034D1AE9" w14:textId="77777777" w:rsidTr="00F65234">
        <w:trPr>
          <w:trHeight w:val="765"/>
        </w:trPr>
        <w:tc>
          <w:tcPr>
            <w:tcW w:w="2170" w:type="dxa"/>
            <w:vMerge w:val="restart"/>
            <w:tcBorders>
              <w:top w:val="single" w:sz="8" w:space="0" w:color="auto"/>
              <w:left w:val="single" w:sz="8" w:space="0" w:color="auto"/>
              <w:bottom w:val="single" w:sz="4" w:space="0" w:color="000000"/>
              <w:right w:val="single" w:sz="4" w:space="0" w:color="auto"/>
            </w:tcBorders>
            <w:hideMark/>
          </w:tcPr>
          <w:p w14:paraId="4C9DC3F7" w14:textId="77777777" w:rsidR="00F65234" w:rsidRPr="00F65234" w:rsidRDefault="00F65234" w:rsidP="00F65234">
            <w:pPr>
              <w:spacing w:after="0" w:line="240" w:lineRule="auto"/>
              <w:ind w:firstLine="709"/>
              <w:jc w:val="center"/>
              <w:rPr>
                <w:rFonts w:ascii="Times New Roman" w:eastAsia="Calibri" w:hAnsi="Times New Roman" w:cs="Times New Roman"/>
                <w:b/>
                <w:bCs/>
                <w:i/>
                <w:color w:val="000000"/>
                <w:sz w:val="24"/>
                <w:szCs w:val="24"/>
                <w:lang w:eastAsia="bg-BG"/>
              </w:rPr>
            </w:pPr>
            <w:r w:rsidRPr="00F65234">
              <w:rPr>
                <w:rFonts w:ascii="Times New Roman" w:eastAsia="Calibri" w:hAnsi="Times New Roman" w:cs="Times New Roman"/>
                <w:b/>
                <w:bCs/>
                <w:i/>
                <w:color w:val="000000"/>
                <w:sz w:val="24"/>
                <w:szCs w:val="24"/>
                <w:lang w:eastAsia="bg-BG"/>
              </w:rPr>
              <w:br/>
              <w:t>Прокуратура</w:t>
            </w:r>
            <w:r w:rsidRPr="00F65234">
              <w:rPr>
                <w:rFonts w:ascii="Times New Roman" w:eastAsia="Calibri" w:hAnsi="Times New Roman" w:cs="Times New Roman"/>
                <w:b/>
                <w:bCs/>
                <w:i/>
                <w:color w:val="000000"/>
                <w:sz w:val="24"/>
                <w:szCs w:val="24"/>
                <w:lang w:eastAsia="bg-BG"/>
              </w:rPr>
              <w:br/>
            </w:r>
          </w:p>
        </w:tc>
        <w:tc>
          <w:tcPr>
            <w:tcW w:w="7338" w:type="dxa"/>
            <w:gridSpan w:val="3"/>
            <w:tcBorders>
              <w:top w:val="single" w:sz="8" w:space="0" w:color="auto"/>
              <w:left w:val="nil"/>
              <w:bottom w:val="single" w:sz="4" w:space="0" w:color="auto"/>
              <w:right w:val="single" w:sz="8" w:space="0" w:color="000000"/>
            </w:tcBorders>
            <w:vAlign w:val="center"/>
            <w:hideMark/>
          </w:tcPr>
          <w:p w14:paraId="5B73C4AD" w14:textId="77777777" w:rsidR="00F65234" w:rsidRPr="00F65234" w:rsidRDefault="00F65234" w:rsidP="00F65234">
            <w:pPr>
              <w:spacing w:after="0" w:line="240" w:lineRule="auto"/>
              <w:jc w:val="center"/>
              <w:rPr>
                <w:rFonts w:ascii="Times New Roman" w:eastAsia="Calibri" w:hAnsi="Times New Roman" w:cs="Times New Roman"/>
                <w:b/>
                <w:bCs/>
                <w:i/>
                <w:iCs/>
                <w:color w:val="000000"/>
                <w:sz w:val="24"/>
                <w:szCs w:val="24"/>
                <w:lang w:eastAsia="bg-BG"/>
              </w:rPr>
            </w:pPr>
            <w:r w:rsidRPr="00F65234">
              <w:rPr>
                <w:rFonts w:ascii="Times New Roman" w:eastAsia="Calibri" w:hAnsi="Times New Roman" w:cs="Times New Roman"/>
                <w:b/>
                <w:bCs/>
                <w:i/>
                <w:iCs/>
                <w:color w:val="000000"/>
                <w:sz w:val="24"/>
                <w:szCs w:val="24"/>
                <w:lang w:eastAsia="bg-BG"/>
              </w:rPr>
              <w:t>Средно прокурорски актове, внесени в съда</w:t>
            </w:r>
          </w:p>
        </w:tc>
      </w:tr>
      <w:tr w:rsidR="00F65234" w:rsidRPr="00F65234" w14:paraId="61918817" w14:textId="77777777" w:rsidTr="00F65234">
        <w:trPr>
          <w:trHeight w:val="315"/>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400E0C00" w14:textId="77777777" w:rsidR="00F65234" w:rsidRPr="00F65234" w:rsidRDefault="00F65234" w:rsidP="00F65234">
            <w:pPr>
              <w:spacing w:after="0" w:line="240" w:lineRule="auto"/>
              <w:rPr>
                <w:rFonts w:ascii="Times New Roman" w:eastAsia="Calibri" w:hAnsi="Times New Roman" w:cs="Times New Roman"/>
                <w:b/>
                <w:bCs/>
                <w:i/>
                <w:color w:val="000000"/>
                <w:sz w:val="24"/>
                <w:szCs w:val="24"/>
                <w:lang w:eastAsia="bg-BG"/>
              </w:rPr>
            </w:pPr>
          </w:p>
        </w:tc>
        <w:tc>
          <w:tcPr>
            <w:tcW w:w="2518" w:type="dxa"/>
            <w:tcBorders>
              <w:top w:val="nil"/>
              <w:left w:val="nil"/>
              <w:bottom w:val="single" w:sz="4" w:space="0" w:color="auto"/>
              <w:right w:val="single" w:sz="4" w:space="0" w:color="auto"/>
            </w:tcBorders>
            <w:shd w:val="clear" w:color="auto" w:fill="C2D69B" w:themeFill="accent3" w:themeFillTint="99"/>
            <w:hideMark/>
          </w:tcPr>
          <w:p w14:paraId="75EF2E0C" w14:textId="77777777" w:rsidR="00F65234" w:rsidRPr="00F65234" w:rsidRDefault="00F65234" w:rsidP="00F65234">
            <w:pPr>
              <w:spacing w:after="0" w:line="240" w:lineRule="auto"/>
              <w:jc w:val="center"/>
              <w:rPr>
                <w:rFonts w:ascii="Times New Roman" w:eastAsia="Calibri" w:hAnsi="Times New Roman" w:cs="Times New Roman"/>
                <w:b/>
                <w:bCs/>
                <w:sz w:val="24"/>
                <w:szCs w:val="24"/>
                <w:lang w:eastAsia="bg-BG"/>
              </w:rPr>
            </w:pPr>
            <w:r w:rsidRPr="00F65234">
              <w:rPr>
                <w:rFonts w:ascii="Times New Roman" w:eastAsia="Calibri" w:hAnsi="Times New Roman" w:cs="Times New Roman"/>
                <w:b/>
                <w:bCs/>
                <w:sz w:val="24"/>
                <w:szCs w:val="24"/>
                <w:lang w:eastAsia="bg-BG"/>
              </w:rPr>
              <w:t>2022 г.</w:t>
            </w:r>
          </w:p>
        </w:tc>
        <w:tc>
          <w:tcPr>
            <w:tcW w:w="2410" w:type="dxa"/>
            <w:tcBorders>
              <w:top w:val="nil"/>
              <w:left w:val="nil"/>
              <w:bottom w:val="single" w:sz="4" w:space="0" w:color="auto"/>
              <w:right w:val="single" w:sz="4" w:space="0" w:color="auto"/>
            </w:tcBorders>
            <w:hideMark/>
          </w:tcPr>
          <w:p w14:paraId="73C66F3A" w14:textId="77777777" w:rsidR="00F65234" w:rsidRPr="00F65234" w:rsidRDefault="00F65234" w:rsidP="00F65234">
            <w:pPr>
              <w:spacing w:after="0" w:line="240" w:lineRule="auto"/>
              <w:jc w:val="center"/>
              <w:rPr>
                <w:rFonts w:ascii="Times New Roman" w:eastAsia="Calibri" w:hAnsi="Times New Roman" w:cs="Times New Roman"/>
                <w:bCs/>
                <w:sz w:val="24"/>
                <w:szCs w:val="24"/>
                <w:lang w:eastAsia="bg-BG"/>
              </w:rPr>
            </w:pPr>
            <w:r w:rsidRPr="00F65234">
              <w:rPr>
                <w:rFonts w:ascii="Times New Roman" w:eastAsia="Calibri" w:hAnsi="Times New Roman" w:cs="Times New Roman"/>
                <w:bCs/>
                <w:sz w:val="24"/>
                <w:szCs w:val="24"/>
                <w:lang w:eastAsia="bg-BG"/>
              </w:rPr>
              <w:t>2021 г.</w:t>
            </w:r>
          </w:p>
        </w:tc>
        <w:tc>
          <w:tcPr>
            <w:tcW w:w="2410" w:type="dxa"/>
            <w:tcBorders>
              <w:top w:val="nil"/>
              <w:left w:val="nil"/>
              <w:bottom w:val="single" w:sz="4" w:space="0" w:color="auto"/>
              <w:right w:val="single" w:sz="8" w:space="0" w:color="auto"/>
            </w:tcBorders>
            <w:hideMark/>
          </w:tcPr>
          <w:p w14:paraId="1EA6016D" w14:textId="77777777" w:rsidR="00F65234" w:rsidRPr="00F65234" w:rsidRDefault="00F65234" w:rsidP="00F65234">
            <w:pPr>
              <w:spacing w:after="0" w:line="240" w:lineRule="auto"/>
              <w:jc w:val="center"/>
              <w:rPr>
                <w:rFonts w:ascii="Times New Roman" w:eastAsia="Calibri" w:hAnsi="Times New Roman" w:cs="Times New Roman"/>
                <w:bCs/>
                <w:sz w:val="24"/>
                <w:szCs w:val="24"/>
                <w:lang w:eastAsia="bg-BG"/>
              </w:rPr>
            </w:pPr>
            <w:r w:rsidRPr="00F65234">
              <w:rPr>
                <w:rFonts w:ascii="Times New Roman" w:eastAsia="Calibri" w:hAnsi="Times New Roman" w:cs="Times New Roman"/>
                <w:bCs/>
                <w:sz w:val="24"/>
                <w:szCs w:val="24"/>
                <w:lang w:eastAsia="bg-BG"/>
              </w:rPr>
              <w:t>20120 г.</w:t>
            </w:r>
          </w:p>
        </w:tc>
      </w:tr>
      <w:tr w:rsidR="00F65234" w:rsidRPr="00F65234" w14:paraId="1132101F" w14:textId="77777777" w:rsidTr="00F65234">
        <w:trPr>
          <w:trHeight w:val="315"/>
        </w:trPr>
        <w:tc>
          <w:tcPr>
            <w:tcW w:w="2170" w:type="dxa"/>
            <w:tcBorders>
              <w:top w:val="nil"/>
              <w:left w:val="single" w:sz="8" w:space="0" w:color="auto"/>
              <w:bottom w:val="single" w:sz="4" w:space="0" w:color="auto"/>
              <w:right w:val="single" w:sz="4" w:space="0" w:color="auto"/>
            </w:tcBorders>
            <w:vAlign w:val="center"/>
            <w:hideMark/>
          </w:tcPr>
          <w:p w14:paraId="271EBDDD"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Монтана</w:t>
            </w:r>
          </w:p>
        </w:tc>
        <w:tc>
          <w:tcPr>
            <w:tcW w:w="2518" w:type="dxa"/>
            <w:tcBorders>
              <w:top w:val="nil"/>
              <w:left w:val="nil"/>
              <w:bottom w:val="single" w:sz="4" w:space="0" w:color="auto"/>
              <w:right w:val="single" w:sz="4" w:space="0" w:color="auto"/>
            </w:tcBorders>
            <w:shd w:val="clear" w:color="auto" w:fill="C2D69B" w:themeFill="accent3" w:themeFillTint="99"/>
            <w:vAlign w:val="center"/>
            <w:hideMark/>
          </w:tcPr>
          <w:p w14:paraId="61668327"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r w:rsidRPr="00F65234">
              <w:rPr>
                <w:rFonts w:ascii="Times New Roman" w:eastAsia="Calibri" w:hAnsi="Times New Roman" w:cs="Times New Roman"/>
                <w:b/>
                <w:sz w:val="24"/>
                <w:szCs w:val="24"/>
                <w:lang w:eastAsia="bg-BG"/>
              </w:rPr>
              <w:t>37,54</w:t>
            </w:r>
          </w:p>
        </w:tc>
        <w:tc>
          <w:tcPr>
            <w:tcW w:w="2410" w:type="dxa"/>
            <w:tcBorders>
              <w:top w:val="nil"/>
              <w:left w:val="nil"/>
              <w:bottom w:val="single" w:sz="4" w:space="0" w:color="auto"/>
              <w:right w:val="single" w:sz="4" w:space="0" w:color="auto"/>
            </w:tcBorders>
            <w:vAlign w:val="center"/>
            <w:hideMark/>
          </w:tcPr>
          <w:p w14:paraId="34C24E07"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38,84</w:t>
            </w:r>
          </w:p>
        </w:tc>
        <w:tc>
          <w:tcPr>
            <w:tcW w:w="2410" w:type="dxa"/>
            <w:tcBorders>
              <w:top w:val="nil"/>
              <w:left w:val="nil"/>
              <w:bottom w:val="single" w:sz="4" w:space="0" w:color="auto"/>
              <w:right w:val="single" w:sz="8" w:space="0" w:color="auto"/>
            </w:tcBorders>
            <w:vAlign w:val="center"/>
            <w:hideMark/>
          </w:tcPr>
          <w:p w14:paraId="1D383ABC"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35,6</w:t>
            </w:r>
          </w:p>
        </w:tc>
      </w:tr>
      <w:tr w:rsidR="00F65234" w:rsidRPr="00F65234" w14:paraId="1A84EA5E" w14:textId="77777777" w:rsidTr="00F65234">
        <w:trPr>
          <w:trHeight w:val="315"/>
        </w:trPr>
        <w:tc>
          <w:tcPr>
            <w:tcW w:w="2170" w:type="dxa"/>
            <w:tcBorders>
              <w:top w:val="nil"/>
              <w:left w:val="single" w:sz="8" w:space="0" w:color="auto"/>
              <w:bottom w:val="single" w:sz="4" w:space="0" w:color="auto"/>
              <w:right w:val="single" w:sz="4" w:space="0" w:color="auto"/>
            </w:tcBorders>
            <w:vAlign w:val="center"/>
            <w:hideMark/>
          </w:tcPr>
          <w:p w14:paraId="48A13639"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Лом</w:t>
            </w:r>
          </w:p>
        </w:tc>
        <w:tc>
          <w:tcPr>
            <w:tcW w:w="2518" w:type="dxa"/>
            <w:tcBorders>
              <w:top w:val="nil"/>
              <w:left w:val="nil"/>
              <w:bottom w:val="single" w:sz="4" w:space="0" w:color="auto"/>
              <w:right w:val="single" w:sz="4" w:space="0" w:color="auto"/>
            </w:tcBorders>
            <w:shd w:val="clear" w:color="auto" w:fill="C2D69B" w:themeFill="accent3" w:themeFillTint="99"/>
            <w:vAlign w:val="center"/>
          </w:tcPr>
          <w:p w14:paraId="6BAA150D"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p>
        </w:tc>
        <w:tc>
          <w:tcPr>
            <w:tcW w:w="2410" w:type="dxa"/>
            <w:tcBorders>
              <w:top w:val="nil"/>
              <w:left w:val="nil"/>
              <w:bottom w:val="single" w:sz="4" w:space="0" w:color="auto"/>
              <w:right w:val="single" w:sz="4" w:space="0" w:color="auto"/>
            </w:tcBorders>
            <w:vAlign w:val="center"/>
          </w:tcPr>
          <w:p w14:paraId="76F68696"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p>
        </w:tc>
        <w:tc>
          <w:tcPr>
            <w:tcW w:w="2410" w:type="dxa"/>
            <w:tcBorders>
              <w:top w:val="nil"/>
              <w:left w:val="nil"/>
              <w:bottom w:val="single" w:sz="4" w:space="0" w:color="auto"/>
              <w:right w:val="single" w:sz="8" w:space="0" w:color="auto"/>
            </w:tcBorders>
            <w:vAlign w:val="center"/>
            <w:hideMark/>
          </w:tcPr>
          <w:p w14:paraId="6A9613DD"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57,4</w:t>
            </w:r>
          </w:p>
        </w:tc>
      </w:tr>
      <w:tr w:rsidR="00F65234" w:rsidRPr="00F65234" w14:paraId="202E836F" w14:textId="77777777" w:rsidTr="00F65234">
        <w:trPr>
          <w:trHeight w:val="315"/>
        </w:trPr>
        <w:tc>
          <w:tcPr>
            <w:tcW w:w="2170" w:type="dxa"/>
            <w:tcBorders>
              <w:top w:val="nil"/>
              <w:left w:val="single" w:sz="8" w:space="0" w:color="auto"/>
              <w:bottom w:val="single" w:sz="4" w:space="0" w:color="auto"/>
              <w:right w:val="single" w:sz="4" w:space="0" w:color="auto"/>
            </w:tcBorders>
            <w:vAlign w:val="center"/>
            <w:hideMark/>
          </w:tcPr>
          <w:p w14:paraId="781FCCE5"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Берковица</w:t>
            </w:r>
          </w:p>
        </w:tc>
        <w:tc>
          <w:tcPr>
            <w:tcW w:w="2518" w:type="dxa"/>
            <w:tcBorders>
              <w:top w:val="nil"/>
              <w:left w:val="nil"/>
              <w:bottom w:val="single" w:sz="4" w:space="0" w:color="auto"/>
              <w:right w:val="single" w:sz="4" w:space="0" w:color="auto"/>
            </w:tcBorders>
            <w:shd w:val="clear" w:color="auto" w:fill="C2D69B" w:themeFill="accent3" w:themeFillTint="99"/>
            <w:vAlign w:val="center"/>
          </w:tcPr>
          <w:p w14:paraId="77046898" w14:textId="77777777" w:rsidR="00F65234" w:rsidRPr="00F65234" w:rsidRDefault="00F65234" w:rsidP="00F65234">
            <w:pPr>
              <w:spacing w:after="0" w:line="240" w:lineRule="auto"/>
              <w:jc w:val="center"/>
              <w:rPr>
                <w:rFonts w:ascii="Times New Roman" w:eastAsia="Calibri" w:hAnsi="Times New Roman" w:cs="Times New Roman"/>
                <w:b/>
                <w:bCs/>
                <w:sz w:val="24"/>
                <w:szCs w:val="24"/>
                <w:lang w:eastAsia="bg-BG"/>
              </w:rPr>
            </w:pPr>
          </w:p>
        </w:tc>
        <w:tc>
          <w:tcPr>
            <w:tcW w:w="2410" w:type="dxa"/>
            <w:tcBorders>
              <w:top w:val="nil"/>
              <w:left w:val="nil"/>
              <w:bottom w:val="single" w:sz="4" w:space="0" w:color="auto"/>
              <w:right w:val="single" w:sz="4" w:space="0" w:color="auto"/>
            </w:tcBorders>
            <w:vAlign w:val="center"/>
          </w:tcPr>
          <w:p w14:paraId="7F2D95B6"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p>
        </w:tc>
        <w:tc>
          <w:tcPr>
            <w:tcW w:w="2410" w:type="dxa"/>
            <w:tcBorders>
              <w:top w:val="nil"/>
              <w:left w:val="nil"/>
              <w:bottom w:val="single" w:sz="4" w:space="0" w:color="auto"/>
              <w:right w:val="single" w:sz="8" w:space="0" w:color="auto"/>
            </w:tcBorders>
            <w:vAlign w:val="center"/>
            <w:hideMark/>
          </w:tcPr>
          <w:p w14:paraId="12D5691F"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27,2</w:t>
            </w:r>
          </w:p>
        </w:tc>
      </w:tr>
      <w:tr w:rsidR="00F65234" w:rsidRPr="00F65234" w14:paraId="3E8F05DE" w14:textId="77777777" w:rsidTr="00F65234">
        <w:trPr>
          <w:trHeight w:val="315"/>
        </w:trPr>
        <w:tc>
          <w:tcPr>
            <w:tcW w:w="2170" w:type="dxa"/>
            <w:tcBorders>
              <w:top w:val="nil"/>
              <w:left w:val="single" w:sz="8" w:space="0" w:color="auto"/>
              <w:bottom w:val="nil"/>
              <w:right w:val="single" w:sz="4" w:space="0" w:color="auto"/>
            </w:tcBorders>
            <w:shd w:val="clear" w:color="auto" w:fill="D9D9D9" w:themeFill="background1" w:themeFillShade="D9"/>
            <w:vAlign w:val="center"/>
            <w:hideMark/>
          </w:tcPr>
          <w:p w14:paraId="33750381" w14:textId="77777777" w:rsidR="00F65234" w:rsidRPr="00F65234" w:rsidRDefault="00F65234" w:rsidP="00F65234">
            <w:pPr>
              <w:spacing w:after="0" w:line="240" w:lineRule="auto"/>
              <w:rPr>
                <w:rFonts w:ascii="Times New Roman" w:eastAsia="Calibri" w:hAnsi="Times New Roman" w:cs="Times New Roman"/>
                <w:b/>
                <w:bCs/>
                <w:sz w:val="24"/>
                <w:szCs w:val="24"/>
                <w:lang w:eastAsia="bg-BG"/>
              </w:rPr>
            </w:pPr>
            <w:r w:rsidRPr="00F65234">
              <w:rPr>
                <w:rFonts w:ascii="Times New Roman" w:eastAsia="Calibri" w:hAnsi="Times New Roman" w:cs="Times New Roman"/>
                <w:b/>
                <w:bCs/>
                <w:sz w:val="24"/>
                <w:szCs w:val="24"/>
                <w:lang w:eastAsia="bg-BG"/>
              </w:rPr>
              <w:t>Средно за РП</w:t>
            </w:r>
          </w:p>
        </w:tc>
        <w:tc>
          <w:tcPr>
            <w:tcW w:w="2518" w:type="dxa"/>
            <w:tcBorders>
              <w:top w:val="nil"/>
              <w:left w:val="nil"/>
              <w:bottom w:val="nil"/>
              <w:right w:val="single" w:sz="4" w:space="0" w:color="auto"/>
            </w:tcBorders>
            <w:shd w:val="clear" w:color="auto" w:fill="D9D9D9" w:themeFill="background1" w:themeFillShade="D9"/>
            <w:vAlign w:val="center"/>
          </w:tcPr>
          <w:p w14:paraId="2B143EF6" w14:textId="77777777" w:rsidR="00F65234" w:rsidRPr="00F65234" w:rsidRDefault="00F65234" w:rsidP="00F65234">
            <w:pPr>
              <w:spacing w:after="0" w:line="240" w:lineRule="auto"/>
              <w:jc w:val="center"/>
              <w:rPr>
                <w:rFonts w:ascii="Times New Roman" w:eastAsia="Calibri" w:hAnsi="Times New Roman" w:cs="Times New Roman"/>
                <w:b/>
                <w:bCs/>
                <w:sz w:val="24"/>
                <w:szCs w:val="24"/>
                <w:lang w:eastAsia="bg-BG"/>
              </w:rPr>
            </w:pPr>
          </w:p>
        </w:tc>
        <w:tc>
          <w:tcPr>
            <w:tcW w:w="2410" w:type="dxa"/>
            <w:tcBorders>
              <w:top w:val="nil"/>
              <w:left w:val="nil"/>
              <w:bottom w:val="nil"/>
              <w:right w:val="single" w:sz="4" w:space="0" w:color="auto"/>
            </w:tcBorders>
            <w:shd w:val="clear" w:color="auto" w:fill="D9D9D9" w:themeFill="background1" w:themeFillShade="D9"/>
            <w:vAlign w:val="center"/>
          </w:tcPr>
          <w:p w14:paraId="42C027B4" w14:textId="77777777" w:rsidR="00F65234" w:rsidRPr="00F65234" w:rsidRDefault="00F65234" w:rsidP="00F65234">
            <w:pPr>
              <w:spacing w:after="0" w:line="240" w:lineRule="auto"/>
              <w:jc w:val="center"/>
              <w:rPr>
                <w:rFonts w:ascii="Times New Roman" w:eastAsia="Calibri" w:hAnsi="Times New Roman" w:cs="Times New Roman"/>
                <w:bCs/>
                <w:sz w:val="24"/>
                <w:szCs w:val="24"/>
                <w:lang w:eastAsia="bg-BG"/>
              </w:rPr>
            </w:pPr>
          </w:p>
        </w:tc>
        <w:tc>
          <w:tcPr>
            <w:tcW w:w="2410" w:type="dxa"/>
            <w:tcBorders>
              <w:top w:val="nil"/>
              <w:left w:val="nil"/>
              <w:bottom w:val="nil"/>
              <w:right w:val="single" w:sz="8" w:space="0" w:color="auto"/>
            </w:tcBorders>
            <w:shd w:val="clear" w:color="auto" w:fill="D9D9D9" w:themeFill="background1" w:themeFillShade="D9"/>
            <w:vAlign w:val="center"/>
            <w:hideMark/>
          </w:tcPr>
          <w:p w14:paraId="60BFF10A" w14:textId="77777777" w:rsidR="00F65234" w:rsidRPr="00F65234" w:rsidRDefault="00F65234" w:rsidP="00F65234">
            <w:pPr>
              <w:spacing w:after="0" w:line="240" w:lineRule="auto"/>
              <w:jc w:val="center"/>
              <w:rPr>
                <w:rFonts w:ascii="Times New Roman" w:eastAsia="Calibri" w:hAnsi="Times New Roman" w:cs="Times New Roman"/>
                <w:bCs/>
                <w:sz w:val="24"/>
                <w:szCs w:val="24"/>
                <w:lang w:eastAsia="bg-BG"/>
              </w:rPr>
            </w:pPr>
            <w:r w:rsidRPr="00F65234">
              <w:rPr>
                <w:rFonts w:ascii="Times New Roman" w:eastAsia="Calibri" w:hAnsi="Times New Roman" w:cs="Times New Roman"/>
                <w:bCs/>
                <w:sz w:val="24"/>
                <w:szCs w:val="24"/>
                <w:lang w:eastAsia="bg-BG"/>
              </w:rPr>
              <w:t>39,7</w:t>
            </w:r>
          </w:p>
        </w:tc>
      </w:tr>
      <w:tr w:rsidR="00F65234" w:rsidRPr="00F65234" w14:paraId="1785B0D3" w14:textId="77777777" w:rsidTr="00F65234">
        <w:trPr>
          <w:trHeight w:val="390"/>
        </w:trPr>
        <w:tc>
          <w:tcPr>
            <w:tcW w:w="2170" w:type="dxa"/>
            <w:tcBorders>
              <w:top w:val="single" w:sz="4" w:space="0" w:color="auto"/>
              <w:left w:val="single" w:sz="8" w:space="0" w:color="auto"/>
              <w:bottom w:val="single" w:sz="8" w:space="0" w:color="auto"/>
              <w:right w:val="single" w:sz="4" w:space="0" w:color="auto"/>
            </w:tcBorders>
            <w:vAlign w:val="bottom"/>
            <w:hideMark/>
          </w:tcPr>
          <w:p w14:paraId="0FE0EB72"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ОП Монтана</w:t>
            </w:r>
          </w:p>
        </w:tc>
        <w:tc>
          <w:tcPr>
            <w:tcW w:w="2518" w:type="dxa"/>
            <w:tcBorders>
              <w:top w:val="single" w:sz="4" w:space="0" w:color="auto"/>
              <w:left w:val="nil"/>
              <w:bottom w:val="single" w:sz="8" w:space="0" w:color="auto"/>
              <w:right w:val="single" w:sz="4" w:space="0" w:color="auto"/>
            </w:tcBorders>
            <w:shd w:val="clear" w:color="auto" w:fill="C2D69B" w:themeFill="accent3" w:themeFillTint="99"/>
            <w:vAlign w:val="bottom"/>
            <w:hideMark/>
          </w:tcPr>
          <w:p w14:paraId="42B52711"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r w:rsidRPr="00F65234">
              <w:rPr>
                <w:rFonts w:ascii="Times New Roman" w:eastAsia="Calibri" w:hAnsi="Times New Roman" w:cs="Times New Roman"/>
                <w:b/>
                <w:sz w:val="24"/>
                <w:szCs w:val="24"/>
                <w:lang w:eastAsia="bg-BG"/>
              </w:rPr>
              <w:t>3,3</w:t>
            </w:r>
          </w:p>
        </w:tc>
        <w:tc>
          <w:tcPr>
            <w:tcW w:w="2410" w:type="dxa"/>
            <w:tcBorders>
              <w:top w:val="single" w:sz="4" w:space="0" w:color="auto"/>
              <w:left w:val="nil"/>
              <w:bottom w:val="single" w:sz="8" w:space="0" w:color="auto"/>
              <w:right w:val="single" w:sz="4" w:space="0" w:color="auto"/>
            </w:tcBorders>
            <w:vAlign w:val="bottom"/>
            <w:hideMark/>
          </w:tcPr>
          <w:p w14:paraId="3AA888EC"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4,23</w:t>
            </w:r>
          </w:p>
        </w:tc>
        <w:tc>
          <w:tcPr>
            <w:tcW w:w="2410" w:type="dxa"/>
            <w:tcBorders>
              <w:top w:val="single" w:sz="4" w:space="0" w:color="auto"/>
              <w:left w:val="nil"/>
              <w:bottom w:val="single" w:sz="8" w:space="0" w:color="auto"/>
              <w:right w:val="single" w:sz="8" w:space="0" w:color="auto"/>
            </w:tcBorders>
            <w:vAlign w:val="bottom"/>
            <w:hideMark/>
          </w:tcPr>
          <w:p w14:paraId="6E99A617"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4,23</w:t>
            </w:r>
          </w:p>
        </w:tc>
      </w:tr>
    </w:tbl>
    <w:p w14:paraId="7EDD5ADA"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b/>
          <w:i/>
          <w:color w:val="000000"/>
          <w:sz w:val="28"/>
          <w:szCs w:val="28"/>
        </w:rPr>
      </w:pPr>
      <w:r w:rsidRPr="00F65234">
        <w:rPr>
          <w:rFonts w:ascii="Times New Roman" w:eastAsia="Calibri" w:hAnsi="Times New Roman" w:cs="Times New Roman"/>
          <w:b/>
          <w:i/>
          <w:color w:val="000000"/>
          <w:sz w:val="28"/>
          <w:szCs w:val="28"/>
        </w:rPr>
        <w:tab/>
      </w:r>
    </w:p>
    <w:p w14:paraId="0CF352FC" w14:textId="77777777" w:rsidR="00F65234" w:rsidRPr="00F65234" w:rsidRDefault="00F65234" w:rsidP="00F65234">
      <w:pPr>
        <w:ind w:firstLine="708"/>
        <w:jc w:val="both"/>
        <w:rPr>
          <w:rFonts w:ascii="Times New Roman" w:eastAsia="Calibri" w:hAnsi="Times New Roman" w:cs="Times New Roman"/>
          <w:b/>
          <w:i/>
          <w:sz w:val="28"/>
          <w:szCs w:val="28"/>
        </w:rPr>
      </w:pPr>
      <w:r w:rsidRPr="00F65234">
        <w:rPr>
          <w:rFonts w:ascii="Times New Roman" w:eastAsia="Calibri" w:hAnsi="Times New Roman" w:cs="Times New Roman"/>
          <w:b/>
          <w:i/>
          <w:sz w:val="28"/>
          <w:szCs w:val="28"/>
        </w:rPr>
        <w:t>3.4. Средна натовареност по участия в съдебни заседания.</w:t>
      </w:r>
    </w:p>
    <w:p w14:paraId="6DC355B3" w14:textId="77777777"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 xml:space="preserve">През 2022 г. един прокурор от РП Монтана е участвал средно в 92,3 съдебни заседания, при 98,1 - на прокурор от ОП Монтана. </w:t>
      </w:r>
    </w:p>
    <w:p w14:paraId="79BBB128" w14:textId="77777777"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rPr>
      </w:pPr>
      <w:r w:rsidRPr="00F65234">
        <w:rPr>
          <w:rFonts w:ascii="Times New Roman" w:eastAsia="Calibri" w:hAnsi="Times New Roman" w:cs="Times New Roman"/>
          <w:sz w:val="28"/>
        </w:rPr>
        <w:t>Данните за средното участие в заседания през този тригодишен период по прокуратури са отразени в табличен вид по-долу. При анализа им не може да се изведе конкретна тенденция. При ОП Монтана е налице увеличение на участията в съдебно заседание спрямо предходните 2021 г. и 2020 г., а при РП Монтана е налице намаление спрямо 2021 г. и увеличение спрямо 2020 г.</w:t>
      </w:r>
    </w:p>
    <w:p w14:paraId="3088328F"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9508" w:type="dxa"/>
        <w:tblInd w:w="60" w:type="dxa"/>
        <w:tblCellMar>
          <w:left w:w="70" w:type="dxa"/>
          <w:right w:w="70" w:type="dxa"/>
        </w:tblCellMar>
        <w:tblLook w:val="04A0" w:firstRow="1" w:lastRow="0" w:firstColumn="1" w:lastColumn="0" w:noHBand="0" w:noVBand="1"/>
      </w:tblPr>
      <w:tblGrid>
        <w:gridCol w:w="2170"/>
        <w:gridCol w:w="2376"/>
        <w:gridCol w:w="2268"/>
        <w:gridCol w:w="2694"/>
      </w:tblGrid>
      <w:tr w:rsidR="00F65234" w:rsidRPr="00F65234" w14:paraId="1A12BC30" w14:textId="77777777" w:rsidTr="00F65234">
        <w:trPr>
          <w:trHeight w:val="1095"/>
        </w:trPr>
        <w:tc>
          <w:tcPr>
            <w:tcW w:w="2170" w:type="dxa"/>
            <w:vMerge w:val="restart"/>
            <w:tcBorders>
              <w:top w:val="single" w:sz="8" w:space="0" w:color="auto"/>
              <w:left w:val="single" w:sz="8" w:space="0" w:color="auto"/>
              <w:bottom w:val="single" w:sz="4" w:space="0" w:color="000000"/>
              <w:right w:val="single" w:sz="4" w:space="0" w:color="auto"/>
            </w:tcBorders>
            <w:hideMark/>
          </w:tcPr>
          <w:p w14:paraId="7408687F" w14:textId="77777777" w:rsidR="00F65234" w:rsidRPr="00F65234" w:rsidRDefault="00F65234" w:rsidP="00F65234">
            <w:pPr>
              <w:spacing w:after="0" w:line="240" w:lineRule="auto"/>
              <w:ind w:firstLine="709"/>
              <w:jc w:val="center"/>
              <w:rPr>
                <w:rFonts w:ascii="Times New Roman" w:eastAsia="Calibri" w:hAnsi="Times New Roman" w:cs="Times New Roman"/>
                <w:b/>
                <w:bCs/>
                <w:i/>
                <w:color w:val="000000"/>
                <w:sz w:val="24"/>
                <w:szCs w:val="24"/>
                <w:lang w:eastAsia="bg-BG"/>
              </w:rPr>
            </w:pPr>
            <w:r w:rsidRPr="00F65234">
              <w:rPr>
                <w:rFonts w:ascii="Times New Roman" w:eastAsia="Calibri" w:hAnsi="Times New Roman" w:cs="Times New Roman"/>
                <w:b/>
                <w:bCs/>
                <w:i/>
                <w:color w:val="000000"/>
                <w:sz w:val="24"/>
                <w:szCs w:val="24"/>
                <w:lang w:eastAsia="bg-BG"/>
              </w:rPr>
              <w:br/>
            </w:r>
            <w:r w:rsidRPr="00F65234">
              <w:rPr>
                <w:rFonts w:ascii="Times New Roman" w:eastAsia="Calibri" w:hAnsi="Times New Roman" w:cs="Times New Roman"/>
                <w:b/>
                <w:bCs/>
                <w:i/>
                <w:color w:val="000000"/>
                <w:sz w:val="24"/>
                <w:szCs w:val="24"/>
                <w:lang w:eastAsia="bg-BG"/>
              </w:rPr>
              <w:br/>
              <w:t>Прокуратура</w:t>
            </w:r>
          </w:p>
        </w:tc>
        <w:tc>
          <w:tcPr>
            <w:tcW w:w="7338" w:type="dxa"/>
            <w:gridSpan w:val="3"/>
            <w:tcBorders>
              <w:top w:val="single" w:sz="8" w:space="0" w:color="auto"/>
              <w:left w:val="nil"/>
              <w:bottom w:val="single" w:sz="4" w:space="0" w:color="auto"/>
              <w:right w:val="single" w:sz="8" w:space="0" w:color="000000"/>
            </w:tcBorders>
            <w:vAlign w:val="center"/>
            <w:hideMark/>
          </w:tcPr>
          <w:p w14:paraId="019DB418" w14:textId="77777777" w:rsidR="00F65234" w:rsidRPr="00F65234" w:rsidRDefault="00F65234" w:rsidP="00F65234">
            <w:pPr>
              <w:spacing w:after="0" w:line="240" w:lineRule="auto"/>
              <w:jc w:val="center"/>
              <w:rPr>
                <w:rFonts w:ascii="Times New Roman" w:eastAsia="Calibri" w:hAnsi="Times New Roman" w:cs="Times New Roman"/>
                <w:b/>
                <w:bCs/>
                <w:i/>
                <w:iCs/>
                <w:color w:val="000000"/>
                <w:sz w:val="24"/>
                <w:szCs w:val="24"/>
                <w:lang w:eastAsia="bg-BG"/>
              </w:rPr>
            </w:pPr>
            <w:r w:rsidRPr="00F65234">
              <w:rPr>
                <w:rFonts w:ascii="Times New Roman" w:eastAsia="Calibri" w:hAnsi="Times New Roman" w:cs="Times New Roman"/>
                <w:b/>
                <w:bCs/>
                <w:i/>
                <w:iCs/>
                <w:color w:val="000000"/>
                <w:sz w:val="24"/>
                <w:szCs w:val="24"/>
                <w:lang w:eastAsia="bg-BG"/>
              </w:rPr>
              <w:t>Средно участия в съдебни заседания/дни</w:t>
            </w:r>
          </w:p>
        </w:tc>
      </w:tr>
      <w:tr w:rsidR="00F65234" w:rsidRPr="00F65234" w14:paraId="5F58E865" w14:textId="77777777" w:rsidTr="00F65234">
        <w:trPr>
          <w:trHeight w:val="300"/>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5BCA2B25" w14:textId="77777777" w:rsidR="00F65234" w:rsidRPr="00F65234" w:rsidRDefault="00F65234" w:rsidP="00F65234">
            <w:pPr>
              <w:spacing w:after="0" w:line="240" w:lineRule="auto"/>
              <w:rPr>
                <w:rFonts w:ascii="Times New Roman" w:eastAsia="Calibri" w:hAnsi="Times New Roman" w:cs="Times New Roman"/>
                <w:b/>
                <w:bCs/>
                <w:i/>
                <w:color w:val="000000"/>
                <w:sz w:val="24"/>
                <w:szCs w:val="24"/>
                <w:lang w:eastAsia="bg-BG"/>
              </w:rPr>
            </w:pPr>
          </w:p>
        </w:tc>
        <w:tc>
          <w:tcPr>
            <w:tcW w:w="2376" w:type="dxa"/>
            <w:tcBorders>
              <w:top w:val="nil"/>
              <w:left w:val="nil"/>
              <w:bottom w:val="single" w:sz="4" w:space="0" w:color="auto"/>
              <w:right w:val="single" w:sz="4" w:space="0" w:color="auto"/>
            </w:tcBorders>
            <w:shd w:val="clear" w:color="auto" w:fill="C2D69B" w:themeFill="accent3" w:themeFillTint="99"/>
            <w:hideMark/>
          </w:tcPr>
          <w:p w14:paraId="75E60823" w14:textId="77777777" w:rsidR="00F65234" w:rsidRPr="00F65234" w:rsidRDefault="00F65234" w:rsidP="00F65234">
            <w:pPr>
              <w:spacing w:after="0" w:line="240" w:lineRule="auto"/>
              <w:jc w:val="center"/>
              <w:rPr>
                <w:rFonts w:ascii="Times New Roman" w:eastAsia="Calibri" w:hAnsi="Times New Roman" w:cs="Times New Roman"/>
                <w:b/>
                <w:bCs/>
                <w:color w:val="000000"/>
                <w:sz w:val="24"/>
                <w:szCs w:val="24"/>
                <w:lang w:eastAsia="bg-BG"/>
              </w:rPr>
            </w:pPr>
            <w:r w:rsidRPr="00F65234">
              <w:rPr>
                <w:rFonts w:ascii="Times New Roman" w:eastAsia="Calibri" w:hAnsi="Times New Roman" w:cs="Times New Roman"/>
                <w:b/>
                <w:bCs/>
                <w:color w:val="000000"/>
                <w:sz w:val="24"/>
                <w:szCs w:val="24"/>
                <w:lang w:eastAsia="bg-BG"/>
              </w:rPr>
              <w:t>2022 г.</w:t>
            </w:r>
          </w:p>
        </w:tc>
        <w:tc>
          <w:tcPr>
            <w:tcW w:w="2268" w:type="dxa"/>
            <w:tcBorders>
              <w:top w:val="nil"/>
              <w:left w:val="nil"/>
              <w:bottom w:val="single" w:sz="4" w:space="0" w:color="auto"/>
              <w:right w:val="single" w:sz="4" w:space="0" w:color="auto"/>
            </w:tcBorders>
            <w:hideMark/>
          </w:tcPr>
          <w:p w14:paraId="14D31935" w14:textId="77777777" w:rsidR="00F65234" w:rsidRPr="00F65234" w:rsidRDefault="00F65234" w:rsidP="00F65234">
            <w:pPr>
              <w:spacing w:after="0" w:line="240" w:lineRule="auto"/>
              <w:jc w:val="center"/>
              <w:rPr>
                <w:rFonts w:ascii="Times New Roman" w:eastAsia="Calibri" w:hAnsi="Times New Roman" w:cs="Times New Roman"/>
                <w:bCs/>
                <w:color w:val="000000"/>
                <w:sz w:val="24"/>
                <w:szCs w:val="24"/>
                <w:lang w:eastAsia="bg-BG"/>
              </w:rPr>
            </w:pPr>
            <w:r w:rsidRPr="00F65234">
              <w:rPr>
                <w:rFonts w:ascii="Times New Roman" w:eastAsia="Calibri" w:hAnsi="Times New Roman" w:cs="Times New Roman"/>
                <w:bCs/>
                <w:color w:val="000000"/>
                <w:sz w:val="24"/>
                <w:szCs w:val="24"/>
                <w:lang w:eastAsia="bg-BG"/>
              </w:rPr>
              <w:t>20</w:t>
            </w:r>
            <w:r w:rsidRPr="00F65234">
              <w:rPr>
                <w:rFonts w:ascii="Times New Roman" w:eastAsia="Calibri" w:hAnsi="Times New Roman" w:cs="Times New Roman"/>
                <w:bCs/>
                <w:color w:val="000000"/>
                <w:sz w:val="24"/>
                <w:szCs w:val="24"/>
                <w:lang w:val="en-US" w:eastAsia="bg-BG"/>
              </w:rPr>
              <w:t>2</w:t>
            </w:r>
            <w:r w:rsidRPr="00F65234">
              <w:rPr>
                <w:rFonts w:ascii="Times New Roman" w:eastAsia="Calibri" w:hAnsi="Times New Roman" w:cs="Times New Roman"/>
                <w:bCs/>
                <w:color w:val="000000"/>
                <w:sz w:val="24"/>
                <w:szCs w:val="24"/>
                <w:lang w:eastAsia="bg-BG"/>
              </w:rPr>
              <w:t>1 г.</w:t>
            </w:r>
          </w:p>
        </w:tc>
        <w:tc>
          <w:tcPr>
            <w:tcW w:w="2694" w:type="dxa"/>
            <w:tcBorders>
              <w:top w:val="nil"/>
              <w:left w:val="nil"/>
              <w:bottom w:val="single" w:sz="4" w:space="0" w:color="auto"/>
              <w:right w:val="single" w:sz="8" w:space="0" w:color="auto"/>
            </w:tcBorders>
            <w:hideMark/>
          </w:tcPr>
          <w:p w14:paraId="017ACEB7" w14:textId="77777777" w:rsidR="00F65234" w:rsidRPr="00F65234" w:rsidRDefault="00F65234" w:rsidP="00F65234">
            <w:pPr>
              <w:spacing w:after="0" w:line="240" w:lineRule="auto"/>
              <w:jc w:val="center"/>
              <w:rPr>
                <w:rFonts w:ascii="Times New Roman" w:eastAsia="Calibri" w:hAnsi="Times New Roman" w:cs="Times New Roman"/>
                <w:bCs/>
                <w:color w:val="000000"/>
                <w:sz w:val="24"/>
                <w:szCs w:val="24"/>
                <w:lang w:eastAsia="bg-BG"/>
              </w:rPr>
            </w:pPr>
            <w:r w:rsidRPr="00F65234">
              <w:rPr>
                <w:rFonts w:ascii="Times New Roman" w:eastAsia="Calibri" w:hAnsi="Times New Roman" w:cs="Times New Roman"/>
                <w:bCs/>
                <w:color w:val="000000"/>
                <w:sz w:val="24"/>
                <w:szCs w:val="24"/>
                <w:lang w:eastAsia="bg-BG"/>
              </w:rPr>
              <w:t>2020 г.</w:t>
            </w:r>
          </w:p>
        </w:tc>
      </w:tr>
      <w:tr w:rsidR="00F65234" w:rsidRPr="00F65234" w14:paraId="0F729FAC" w14:textId="77777777" w:rsidTr="00F65234">
        <w:trPr>
          <w:trHeight w:val="315"/>
        </w:trPr>
        <w:tc>
          <w:tcPr>
            <w:tcW w:w="2170" w:type="dxa"/>
            <w:tcBorders>
              <w:top w:val="nil"/>
              <w:left w:val="single" w:sz="8" w:space="0" w:color="auto"/>
              <w:bottom w:val="single" w:sz="4" w:space="0" w:color="auto"/>
              <w:right w:val="single" w:sz="4" w:space="0" w:color="auto"/>
            </w:tcBorders>
            <w:vAlign w:val="center"/>
            <w:hideMark/>
          </w:tcPr>
          <w:p w14:paraId="70D84115"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Монтана</w:t>
            </w:r>
          </w:p>
        </w:tc>
        <w:tc>
          <w:tcPr>
            <w:tcW w:w="2376" w:type="dxa"/>
            <w:tcBorders>
              <w:top w:val="nil"/>
              <w:left w:val="nil"/>
              <w:bottom w:val="single" w:sz="4" w:space="0" w:color="auto"/>
              <w:right w:val="single" w:sz="4" w:space="0" w:color="auto"/>
            </w:tcBorders>
            <w:shd w:val="clear" w:color="auto" w:fill="C2D69B" w:themeFill="accent3" w:themeFillTint="99"/>
            <w:vAlign w:val="center"/>
            <w:hideMark/>
          </w:tcPr>
          <w:p w14:paraId="3345B87E"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r w:rsidRPr="00F65234">
              <w:rPr>
                <w:rFonts w:ascii="Times New Roman" w:eastAsia="Calibri" w:hAnsi="Times New Roman" w:cs="Times New Roman"/>
                <w:b/>
                <w:sz w:val="24"/>
                <w:szCs w:val="24"/>
                <w:lang w:eastAsia="bg-BG"/>
              </w:rPr>
              <w:t>92,3</w:t>
            </w:r>
          </w:p>
        </w:tc>
        <w:tc>
          <w:tcPr>
            <w:tcW w:w="2268" w:type="dxa"/>
            <w:tcBorders>
              <w:top w:val="nil"/>
              <w:left w:val="nil"/>
              <w:bottom w:val="single" w:sz="4" w:space="0" w:color="auto"/>
              <w:right w:val="single" w:sz="4" w:space="0" w:color="auto"/>
            </w:tcBorders>
            <w:shd w:val="clear" w:color="auto" w:fill="FFFFFF"/>
            <w:vAlign w:val="center"/>
            <w:hideMark/>
          </w:tcPr>
          <w:p w14:paraId="14C388FA" w14:textId="77777777" w:rsidR="00F65234" w:rsidRPr="00F65234" w:rsidRDefault="00F65234" w:rsidP="00F65234">
            <w:pPr>
              <w:spacing w:after="0" w:line="240" w:lineRule="auto"/>
              <w:jc w:val="center"/>
              <w:rPr>
                <w:rFonts w:ascii="Times New Roman" w:eastAsia="Calibri" w:hAnsi="Times New Roman" w:cs="Times New Roman"/>
                <w:sz w:val="24"/>
                <w:szCs w:val="24"/>
                <w:lang w:val="en-US" w:eastAsia="bg-BG"/>
              </w:rPr>
            </w:pPr>
            <w:r w:rsidRPr="00F65234">
              <w:rPr>
                <w:rFonts w:ascii="Times New Roman" w:eastAsia="Calibri" w:hAnsi="Times New Roman" w:cs="Times New Roman"/>
                <w:sz w:val="24"/>
                <w:szCs w:val="24"/>
                <w:lang w:eastAsia="bg-BG"/>
              </w:rPr>
              <w:t>103,4</w:t>
            </w:r>
          </w:p>
        </w:tc>
        <w:tc>
          <w:tcPr>
            <w:tcW w:w="2694" w:type="dxa"/>
            <w:tcBorders>
              <w:top w:val="nil"/>
              <w:left w:val="nil"/>
              <w:bottom w:val="single" w:sz="4" w:space="0" w:color="auto"/>
              <w:right w:val="single" w:sz="8" w:space="0" w:color="auto"/>
            </w:tcBorders>
            <w:shd w:val="clear" w:color="auto" w:fill="FFFFFF"/>
            <w:vAlign w:val="center"/>
            <w:hideMark/>
          </w:tcPr>
          <w:p w14:paraId="2C6A9213"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val="en-US" w:eastAsia="bg-BG"/>
              </w:rPr>
              <w:t>68</w:t>
            </w:r>
            <w:r w:rsidRPr="00F65234">
              <w:rPr>
                <w:rFonts w:ascii="Times New Roman" w:eastAsia="Calibri" w:hAnsi="Times New Roman" w:cs="Times New Roman"/>
                <w:sz w:val="24"/>
                <w:szCs w:val="24"/>
                <w:lang w:eastAsia="bg-BG"/>
              </w:rPr>
              <w:t>,</w:t>
            </w:r>
            <w:r w:rsidRPr="00F65234">
              <w:rPr>
                <w:rFonts w:ascii="Times New Roman" w:eastAsia="Calibri" w:hAnsi="Times New Roman" w:cs="Times New Roman"/>
                <w:sz w:val="24"/>
                <w:szCs w:val="24"/>
                <w:lang w:val="en-US" w:eastAsia="bg-BG"/>
              </w:rPr>
              <w:t>6</w:t>
            </w:r>
          </w:p>
        </w:tc>
      </w:tr>
      <w:tr w:rsidR="00F65234" w:rsidRPr="00F65234" w14:paraId="3956D134" w14:textId="77777777" w:rsidTr="00F65234">
        <w:trPr>
          <w:trHeight w:val="315"/>
        </w:trPr>
        <w:tc>
          <w:tcPr>
            <w:tcW w:w="2170" w:type="dxa"/>
            <w:tcBorders>
              <w:top w:val="nil"/>
              <w:left w:val="single" w:sz="8" w:space="0" w:color="auto"/>
              <w:bottom w:val="single" w:sz="4" w:space="0" w:color="auto"/>
              <w:right w:val="single" w:sz="4" w:space="0" w:color="auto"/>
            </w:tcBorders>
            <w:vAlign w:val="center"/>
            <w:hideMark/>
          </w:tcPr>
          <w:p w14:paraId="3B6448E0"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Лом</w:t>
            </w:r>
          </w:p>
        </w:tc>
        <w:tc>
          <w:tcPr>
            <w:tcW w:w="2376" w:type="dxa"/>
            <w:tcBorders>
              <w:top w:val="nil"/>
              <w:left w:val="nil"/>
              <w:bottom w:val="single" w:sz="4" w:space="0" w:color="auto"/>
              <w:right w:val="single" w:sz="4" w:space="0" w:color="auto"/>
            </w:tcBorders>
            <w:shd w:val="clear" w:color="auto" w:fill="C2D69B" w:themeFill="accent3" w:themeFillTint="99"/>
            <w:vAlign w:val="center"/>
          </w:tcPr>
          <w:p w14:paraId="114C867B"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p>
        </w:tc>
        <w:tc>
          <w:tcPr>
            <w:tcW w:w="2268" w:type="dxa"/>
            <w:tcBorders>
              <w:top w:val="nil"/>
              <w:left w:val="nil"/>
              <w:bottom w:val="single" w:sz="4" w:space="0" w:color="auto"/>
              <w:right w:val="single" w:sz="4" w:space="0" w:color="auto"/>
            </w:tcBorders>
            <w:shd w:val="clear" w:color="auto" w:fill="FFFFFF"/>
            <w:vAlign w:val="center"/>
          </w:tcPr>
          <w:p w14:paraId="3FCFCCA3"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p>
        </w:tc>
        <w:tc>
          <w:tcPr>
            <w:tcW w:w="2694" w:type="dxa"/>
            <w:tcBorders>
              <w:top w:val="nil"/>
              <w:left w:val="nil"/>
              <w:bottom w:val="single" w:sz="4" w:space="0" w:color="auto"/>
              <w:right w:val="single" w:sz="8" w:space="0" w:color="auto"/>
            </w:tcBorders>
            <w:shd w:val="clear" w:color="auto" w:fill="FFFFFF"/>
            <w:vAlign w:val="center"/>
            <w:hideMark/>
          </w:tcPr>
          <w:p w14:paraId="21EA6CA6"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130,2</w:t>
            </w:r>
          </w:p>
        </w:tc>
      </w:tr>
      <w:tr w:rsidR="00F65234" w:rsidRPr="00F65234" w14:paraId="14D82863" w14:textId="77777777" w:rsidTr="00F65234">
        <w:trPr>
          <w:trHeight w:val="315"/>
        </w:trPr>
        <w:tc>
          <w:tcPr>
            <w:tcW w:w="2170" w:type="dxa"/>
            <w:tcBorders>
              <w:top w:val="nil"/>
              <w:left w:val="single" w:sz="8" w:space="0" w:color="auto"/>
              <w:bottom w:val="single" w:sz="4" w:space="0" w:color="auto"/>
              <w:right w:val="single" w:sz="4" w:space="0" w:color="auto"/>
            </w:tcBorders>
            <w:vAlign w:val="center"/>
            <w:hideMark/>
          </w:tcPr>
          <w:p w14:paraId="52A49ADF"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lastRenderedPageBreak/>
              <w:t>РП Берковица</w:t>
            </w:r>
          </w:p>
        </w:tc>
        <w:tc>
          <w:tcPr>
            <w:tcW w:w="2376" w:type="dxa"/>
            <w:tcBorders>
              <w:top w:val="nil"/>
              <w:left w:val="nil"/>
              <w:bottom w:val="single" w:sz="4" w:space="0" w:color="auto"/>
              <w:right w:val="single" w:sz="4" w:space="0" w:color="auto"/>
            </w:tcBorders>
            <w:shd w:val="clear" w:color="auto" w:fill="C2D69B" w:themeFill="accent3" w:themeFillTint="99"/>
            <w:vAlign w:val="center"/>
          </w:tcPr>
          <w:p w14:paraId="0FD634D5"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p>
        </w:tc>
        <w:tc>
          <w:tcPr>
            <w:tcW w:w="2268" w:type="dxa"/>
            <w:tcBorders>
              <w:top w:val="nil"/>
              <w:left w:val="nil"/>
              <w:bottom w:val="single" w:sz="4" w:space="0" w:color="auto"/>
              <w:right w:val="single" w:sz="4" w:space="0" w:color="auto"/>
            </w:tcBorders>
            <w:shd w:val="clear" w:color="auto" w:fill="FFFFFF"/>
            <w:vAlign w:val="center"/>
          </w:tcPr>
          <w:p w14:paraId="27B57E5C"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p>
        </w:tc>
        <w:tc>
          <w:tcPr>
            <w:tcW w:w="2694" w:type="dxa"/>
            <w:tcBorders>
              <w:top w:val="nil"/>
              <w:left w:val="nil"/>
              <w:bottom w:val="single" w:sz="4" w:space="0" w:color="auto"/>
              <w:right w:val="single" w:sz="8" w:space="0" w:color="auto"/>
            </w:tcBorders>
            <w:shd w:val="clear" w:color="auto" w:fill="FFFFFF"/>
            <w:vAlign w:val="center"/>
            <w:hideMark/>
          </w:tcPr>
          <w:p w14:paraId="78BD64FD"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54,9</w:t>
            </w:r>
          </w:p>
        </w:tc>
      </w:tr>
      <w:tr w:rsidR="00F65234" w:rsidRPr="00F65234" w14:paraId="0EA9CE82" w14:textId="77777777" w:rsidTr="00F65234">
        <w:trPr>
          <w:trHeight w:val="315"/>
        </w:trPr>
        <w:tc>
          <w:tcPr>
            <w:tcW w:w="2170" w:type="dxa"/>
            <w:tcBorders>
              <w:top w:val="nil"/>
              <w:left w:val="single" w:sz="8" w:space="0" w:color="auto"/>
              <w:bottom w:val="nil"/>
              <w:right w:val="single" w:sz="4" w:space="0" w:color="auto"/>
            </w:tcBorders>
            <w:shd w:val="clear" w:color="auto" w:fill="BFBFBF" w:themeFill="background1" w:themeFillShade="BF"/>
            <w:vAlign w:val="center"/>
            <w:hideMark/>
          </w:tcPr>
          <w:p w14:paraId="439215C9" w14:textId="77777777" w:rsidR="00F65234" w:rsidRPr="00F65234" w:rsidRDefault="00F65234" w:rsidP="00F65234">
            <w:pPr>
              <w:spacing w:after="0" w:line="240" w:lineRule="auto"/>
              <w:rPr>
                <w:rFonts w:ascii="Times New Roman" w:eastAsia="Calibri" w:hAnsi="Times New Roman" w:cs="Times New Roman"/>
                <w:b/>
                <w:bCs/>
                <w:color w:val="000000"/>
                <w:sz w:val="24"/>
                <w:szCs w:val="24"/>
                <w:lang w:eastAsia="bg-BG"/>
              </w:rPr>
            </w:pPr>
            <w:r w:rsidRPr="00F65234">
              <w:rPr>
                <w:rFonts w:ascii="Times New Roman" w:eastAsia="Calibri" w:hAnsi="Times New Roman" w:cs="Times New Roman"/>
                <w:b/>
                <w:bCs/>
                <w:color w:val="000000"/>
                <w:sz w:val="24"/>
                <w:szCs w:val="24"/>
                <w:lang w:eastAsia="bg-BG"/>
              </w:rPr>
              <w:t>Средно за РП</w:t>
            </w:r>
          </w:p>
        </w:tc>
        <w:tc>
          <w:tcPr>
            <w:tcW w:w="2376" w:type="dxa"/>
            <w:tcBorders>
              <w:top w:val="nil"/>
              <w:left w:val="nil"/>
              <w:bottom w:val="nil"/>
              <w:right w:val="single" w:sz="4" w:space="0" w:color="auto"/>
            </w:tcBorders>
            <w:shd w:val="clear" w:color="auto" w:fill="BFBFBF" w:themeFill="background1" w:themeFillShade="BF"/>
            <w:vAlign w:val="center"/>
          </w:tcPr>
          <w:p w14:paraId="565AA638" w14:textId="77777777" w:rsidR="00F65234" w:rsidRPr="00F65234" w:rsidRDefault="00F65234" w:rsidP="00F65234">
            <w:pPr>
              <w:spacing w:after="0" w:line="240" w:lineRule="auto"/>
              <w:jc w:val="center"/>
              <w:rPr>
                <w:rFonts w:ascii="Times New Roman" w:eastAsia="Calibri" w:hAnsi="Times New Roman" w:cs="Times New Roman"/>
                <w:b/>
                <w:bCs/>
                <w:sz w:val="24"/>
                <w:szCs w:val="24"/>
                <w:lang w:eastAsia="bg-BG"/>
              </w:rPr>
            </w:pPr>
          </w:p>
        </w:tc>
        <w:tc>
          <w:tcPr>
            <w:tcW w:w="2268" w:type="dxa"/>
            <w:tcBorders>
              <w:top w:val="nil"/>
              <w:left w:val="nil"/>
              <w:bottom w:val="nil"/>
              <w:right w:val="single" w:sz="4" w:space="0" w:color="auto"/>
            </w:tcBorders>
            <w:shd w:val="clear" w:color="auto" w:fill="BFBFBF" w:themeFill="background1" w:themeFillShade="BF"/>
            <w:vAlign w:val="center"/>
          </w:tcPr>
          <w:p w14:paraId="6EA7A941" w14:textId="77777777" w:rsidR="00F65234" w:rsidRPr="00F65234" w:rsidRDefault="00F65234" w:rsidP="00F65234">
            <w:pPr>
              <w:spacing w:after="0" w:line="240" w:lineRule="auto"/>
              <w:jc w:val="center"/>
              <w:rPr>
                <w:rFonts w:ascii="Times New Roman" w:eastAsia="Calibri" w:hAnsi="Times New Roman" w:cs="Times New Roman"/>
                <w:b/>
                <w:bCs/>
                <w:sz w:val="24"/>
                <w:szCs w:val="24"/>
                <w:lang w:eastAsia="bg-BG"/>
              </w:rPr>
            </w:pPr>
          </w:p>
        </w:tc>
        <w:tc>
          <w:tcPr>
            <w:tcW w:w="2694" w:type="dxa"/>
            <w:tcBorders>
              <w:top w:val="nil"/>
              <w:left w:val="nil"/>
              <w:bottom w:val="nil"/>
              <w:right w:val="single" w:sz="8" w:space="0" w:color="auto"/>
            </w:tcBorders>
            <w:shd w:val="clear" w:color="auto" w:fill="BFBFBF" w:themeFill="background1" w:themeFillShade="BF"/>
            <w:vAlign w:val="center"/>
            <w:hideMark/>
          </w:tcPr>
          <w:p w14:paraId="31150692" w14:textId="77777777" w:rsidR="00F65234" w:rsidRPr="00F65234" w:rsidRDefault="00F65234" w:rsidP="00F65234">
            <w:pPr>
              <w:spacing w:after="0" w:line="240" w:lineRule="auto"/>
              <w:jc w:val="center"/>
              <w:rPr>
                <w:rFonts w:ascii="Times New Roman" w:eastAsia="Calibri" w:hAnsi="Times New Roman" w:cs="Times New Roman"/>
                <w:bCs/>
                <w:sz w:val="24"/>
                <w:szCs w:val="24"/>
                <w:lang w:eastAsia="bg-BG"/>
              </w:rPr>
            </w:pPr>
            <w:r w:rsidRPr="00F65234">
              <w:rPr>
                <w:rFonts w:ascii="Times New Roman" w:eastAsia="Calibri" w:hAnsi="Times New Roman" w:cs="Times New Roman"/>
                <w:bCs/>
                <w:sz w:val="24"/>
                <w:szCs w:val="24"/>
                <w:lang w:eastAsia="bg-BG"/>
              </w:rPr>
              <w:t>82,2</w:t>
            </w:r>
          </w:p>
        </w:tc>
      </w:tr>
      <w:tr w:rsidR="00F65234" w:rsidRPr="00F65234" w14:paraId="14FFCA3E" w14:textId="77777777" w:rsidTr="00F65234">
        <w:trPr>
          <w:trHeight w:val="420"/>
        </w:trPr>
        <w:tc>
          <w:tcPr>
            <w:tcW w:w="2170" w:type="dxa"/>
            <w:tcBorders>
              <w:top w:val="single" w:sz="4" w:space="0" w:color="auto"/>
              <w:left w:val="single" w:sz="8" w:space="0" w:color="auto"/>
              <w:bottom w:val="single" w:sz="8" w:space="0" w:color="auto"/>
              <w:right w:val="single" w:sz="4" w:space="0" w:color="auto"/>
            </w:tcBorders>
            <w:vAlign w:val="bottom"/>
            <w:hideMark/>
          </w:tcPr>
          <w:p w14:paraId="2363FEEF"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ОП Монтана</w:t>
            </w:r>
          </w:p>
        </w:tc>
        <w:tc>
          <w:tcPr>
            <w:tcW w:w="2376" w:type="dxa"/>
            <w:tcBorders>
              <w:top w:val="single" w:sz="4" w:space="0" w:color="auto"/>
              <w:left w:val="nil"/>
              <w:bottom w:val="single" w:sz="8" w:space="0" w:color="auto"/>
              <w:right w:val="single" w:sz="4" w:space="0" w:color="auto"/>
            </w:tcBorders>
            <w:shd w:val="clear" w:color="auto" w:fill="C2D69B" w:themeFill="accent3" w:themeFillTint="99"/>
            <w:vAlign w:val="bottom"/>
            <w:hideMark/>
          </w:tcPr>
          <w:p w14:paraId="4E37E905"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r w:rsidRPr="00F65234">
              <w:rPr>
                <w:rFonts w:ascii="Times New Roman" w:eastAsia="Calibri" w:hAnsi="Times New Roman" w:cs="Times New Roman"/>
                <w:b/>
                <w:sz w:val="24"/>
                <w:szCs w:val="24"/>
                <w:lang w:eastAsia="bg-BG"/>
              </w:rPr>
              <w:t>98,1</w:t>
            </w:r>
          </w:p>
        </w:tc>
        <w:tc>
          <w:tcPr>
            <w:tcW w:w="2268" w:type="dxa"/>
            <w:tcBorders>
              <w:top w:val="single" w:sz="4" w:space="0" w:color="auto"/>
              <w:left w:val="nil"/>
              <w:bottom w:val="single" w:sz="8" w:space="0" w:color="auto"/>
              <w:right w:val="single" w:sz="4" w:space="0" w:color="auto"/>
            </w:tcBorders>
            <w:vAlign w:val="bottom"/>
            <w:hideMark/>
          </w:tcPr>
          <w:p w14:paraId="51F3489F"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86,8</w:t>
            </w:r>
          </w:p>
        </w:tc>
        <w:tc>
          <w:tcPr>
            <w:tcW w:w="2694" w:type="dxa"/>
            <w:tcBorders>
              <w:top w:val="single" w:sz="4" w:space="0" w:color="auto"/>
              <w:left w:val="nil"/>
              <w:bottom w:val="single" w:sz="8" w:space="0" w:color="auto"/>
              <w:right w:val="single" w:sz="8" w:space="0" w:color="auto"/>
            </w:tcBorders>
            <w:vAlign w:val="bottom"/>
            <w:hideMark/>
          </w:tcPr>
          <w:p w14:paraId="7D35D380"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78,2</w:t>
            </w:r>
          </w:p>
        </w:tc>
      </w:tr>
    </w:tbl>
    <w:p w14:paraId="33FE6000"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b/>
          <w:i/>
          <w:iCs/>
          <w:sz w:val="28"/>
          <w:lang w:eastAsia="bg-BG"/>
        </w:rPr>
      </w:pPr>
      <w:bookmarkStart w:id="134" w:name="_Toc380392168"/>
      <w:r w:rsidRPr="00F65234">
        <w:rPr>
          <w:rFonts w:ascii="Times New Roman" w:eastAsia="Calibri" w:hAnsi="Times New Roman" w:cs="Times New Roman"/>
          <w:b/>
          <w:iCs/>
          <w:sz w:val="28"/>
          <w:lang w:eastAsia="bg-BG"/>
        </w:rPr>
        <w:tab/>
      </w:r>
      <w:r w:rsidRPr="00F65234">
        <w:rPr>
          <w:rFonts w:ascii="Times New Roman" w:eastAsia="Calibri" w:hAnsi="Times New Roman" w:cs="Times New Roman"/>
          <w:b/>
          <w:i/>
          <w:iCs/>
          <w:sz w:val="28"/>
          <w:lang w:eastAsia="bg-BG"/>
        </w:rPr>
        <w:tab/>
      </w:r>
    </w:p>
    <w:p w14:paraId="40B5B1AC" w14:textId="77777777" w:rsidR="00F65234" w:rsidRPr="00F65234" w:rsidRDefault="00F65234" w:rsidP="00F65234">
      <w:pPr>
        <w:autoSpaceDE w:val="0"/>
        <w:autoSpaceDN w:val="0"/>
        <w:adjustRightInd w:val="0"/>
        <w:spacing w:after="0" w:line="240" w:lineRule="auto"/>
        <w:jc w:val="both"/>
        <w:rPr>
          <w:rFonts w:ascii="Calibri" w:eastAsia="Calibri" w:hAnsi="Calibri" w:cs="Times New Roman"/>
          <w:color w:val="000000"/>
          <w:sz w:val="28"/>
          <w:lang w:eastAsia="bg-BG"/>
        </w:rPr>
      </w:pPr>
    </w:p>
    <w:p w14:paraId="156DECE0" w14:textId="77777777" w:rsidR="00F65234" w:rsidRPr="00F65234" w:rsidRDefault="00F65234" w:rsidP="00F65234">
      <w:pPr>
        <w:ind w:firstLine="708"/>
        <w:jc w:val="both"/>
        <w:rPr>
          <w:rFonts w:ascii="Times New Roman" w:eastAsia="Calibri" w:hAnsi="Times New Roman" w:cs="Times New Roman"/>
          <w:b/>
          <w:i/>
          <w:sz w:val="28"/>
          <w:szCs w:val="28"/>
          <w:u w:val="single"/>
        </w:rPr>
      </w:pPr>
      <w:bookmarkStart w:id="135" w:name="_Toc411255941"/>
      <w:r w:rsidRPr="00F65234">
        <w:rPr>
          <w:rFonts w:ascii="Times New Roman" w:eastAsia="Calibri" w:hAnsi="Times New Roman" w:cs="Times New Roman"/>
          <w:b/>
          <w:i/>
          <w:sz w:val="28"/>
          <w:szCs w:val="28"/>
          <w:u w:val="single"/>
        </w:rPr>
        <w:t>4. Актуализирана средна натовареност на прокурорите.</w:t>
      </w:r>
    </w:p>
    <w:bookmarkEnd w:id="134"/>
    <w:bookmarkEnd w:id="135"/>
    <w:p w14:paraId="35251B9A" w14:textId="4C75F867"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В абсолютни стойности актуализираната средна натовареност на един прокурор от района на ОП Монтана (за всички прокуратури) през 202</w:t>
      </w:r>
      <w:r w:rsidR="00B077E7">
        <w:rPr>
          <w:rFonts w:ascii="Times New Roman" w:eastAsia="Calibri" w:hAnsi="Times New Roman" w:cs="Times New Roman"/>
          <w:sz w:val="28"/>
          <w:szCs w:val="28"/>
        </w:rPr>
        <w:t>2</w:t>
      </w:r>
      <w:r w:rsidRPr="00F65234">
        <w:rPr>
          <w:rFonts w:ascii="Times New Roman" w:eastAsia="Calibri" w:hAnsi="Times New Roman" w:cs="Times New Roman"/>
          <w:sz w:val="28"/>
          <w:szCs w:val="28"/>
        </w:rPr>
        <w:t xml:space="preserve"> г. възлиза на </w:t>
      </w:r>
      <w:r w:rsidRPr="00F65234">
        <w:rPr>
          <w:rFonts w:ascii="Times New Roman" w:eastAsia="Calibri" w:hAnsi="Times New Roman" w:cs="Times New Roman"/>
          <w:b/>
          <w:bCs/>
          <w:sz w:val="28"/>
          <w:szCs w:val="28"/>
        </w:rPr>
        <w:t>1285,5</w:t>
      </w:r>
      <w:r w:rsidRPr="00F65234">
        <w:rPr>
          <w:rFonts w:ascii="Times New Roman" w:eastAsia="Calibri" w:hAnsi="Times New Roman" w:cs="Times New Roman"/>
          <w:sz w:val="28"/>
          <w:szCs w:val="28"/>
        </w:rPr>
        <w:t xml:space="preserve"> срещу </w:t>
      </w:r>
      <w:r w:rsidRPr="00F65234">
        <w:rPr>
          <w:rFonts w:ascii="Times New Roman" w:eastAsia="Calibri" w:hAnsi="Times New Roman" w:cs="Times New Roman"/>
          <w:bCs/>
          <w:sz w:val="28"/>
          <w:szCs w:val="28"/>
        </w:rPr>
        <w:t>1364</w:t>
      </w:r>
      <w:r w:rsidRPr="00F65234">
        <w:rPr>
          <w:rFonts w:ascii="Times New Roman" w:eastAsia="Calibri" w:hAnsi="Times New Roman" w:cs="Times New Roman"/>
          <w:sz w:val="28"/>
          <w:szCs w:val="28"/>
        </w:rPr>
        <w:t xml:space="preserve"> за 2021 г. и </w:t>
      </w:r>
      <w:r w:rsidRPr="00F65234">
        <w:rPr>
          <w:rFonts w:ascii="Times New Roman" w:eastAsia="Calibri" w:hAnsi="Times New Roman" w:cs="Times New Roman"/>
          <w:bCs/>
          <w:sz w:val="28"/>
          <w:szCs w:val="28"/>
        </w:rPr>
        <w:t>1346,6</w:t>
      </w:r>
      <w:r w:rsidRPr="00F65234">
        <w:rPr>
          <w:rFonts w:ascii="Times New Roman" w:eastAsia="Calibri" w:hAnsi="Times New Roman" w:cs="Times New Roman"/>
          <w:sz w:val="28"/>
          <w:szCs w:val="28"/>
        </w:rPr>
        <w:t xml:space="preserve"> за 2020 г. Като процентно съотношение актуализираната средна натовареност е намалена спрямо 2021 г. с 5,8%, а спрямо 2020 г. с 4,5%, следователно по този показател може да се изведе тенденция за макар и слабо намаляване на средната натовареност на районните прокуратури през целия сравнителен период.</w:t>
      </w:r>
    </w:p>
    <w:p w14:paraId="6BA0AEB2"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 xml:space="preserve">За по-коректно представяне и сравняване на данните този показател е разглеждан по-долу чрез средна стойност за РП Монтана и ОП Монтана. </w:t>
      </w:r>
    </w:p>
    <w:p w14:paraId="0E5AD502" w14:textId="77777777" w:rsidR="00F65234" w:rsidRPr="00F65234" w:rsidRDefault="00F65234" w:rsidP="00F652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 xml:space="preserve">През 2021 г. един прокурор от РП Монтана има актуализирана средна натовареност 1536,8 прокурорски актове, участия в съдебни заседания и други дейности срещу 915,9 - на прокурор от ОП Монтана. </w:t>
      </w:r>
    </w:p>
    <w:p w14:paraId="4DAA6865"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 xml:space="preserve"> За РП Монтана намаляването на актуализираната средна натовареност спрямо 2021 г. е незначително – 9,5%, а спрямо 2020 г. този показател е намалял с 9%.</w:t>
      </w:r>
    </w:p>
    <w:p w14:paraId="1D73CD26" w14:textId="5343FA3B"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За ОП Монтана повишението на актуализираната средна натовареност спрямо 202</w:t>
      </w:r>
      <w:r w:rsidR="00F54D4F">
        <w:rPr>
          <w:rFonts w:ascii="Times New Roman" w:eastAsia="Calibri" w:hAnsi="Times New Roman" w:cs="Times New Roman"/>
          <w:sz w:val="28"/>
          <w:szCs w:val="28"/>
        </w:rPr>
        <w:t>1</w:t>
      </w:r>
      <w:r w:rsidRPr="00F65234">
        <w:rPr>
          <w:rFonts w:ascii="Times New Roman" w:eastAsia="Calibri" w:hAnsi="Times New Roman" w:cs="Times New Roman"/>
          <w:sz w:val="28"/>
          <w:szCs w:val="28"/>
        </w:rPr>
        <w:t xml:space="preserve"> г. е 8%, а спрямо 20</w:t>
      </w:r>
      <w:r w:rsidR="00F54D4F">
        <w:rPr>
          <w:rFonts w:ascii="Times New Roman" w:eastAsia="Calibri" w:hAnsi="Times New Roman" w:cs="Times New Roman"/>
          <w:sz w:val="28"/>
          <w:szCs w:val="28"/>
        </w:rPr>
        <w:t>20</w:t>
      </w:r>
      <w:r w:rsidRPr="00F65234">
        <w:rPr>
          <w:rFonts w:ascii="Times New Roman" w:eastAsia="Calibri" w:hAnsi="Times New Roman" w:cs="Times New Roman"/>
          <w:sz w:val="28"/>
          <w:szCs w:val="28"/>
        </w:rPr>
        <w:t xml:space="preserve"> г. с 12%.</w:t>
      </w:r>
    </w:p>
    <w:p w14:paraId="7E91F834"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Налага се тенденция за намаляване на средната актуализирана натовареност при РП Монтана, докато за ОП Монтана може да се изведе тенденция за трайно увеличаване.</w:t>
      </w:r>
    </w:p>
    <w:p w14:paraId="40EBD515"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rPr>
      </w:pPr>
      <w:r w:rsidRPr="00F65234">
        <w:rPr>
          <w:rFonts w:ascii="Times New Roman" w:eastAsia="Calibri" w:hAnsi="Times New Roman" w:cs="Times New Roman"/>
          <w:sz w:val="28"/>
        </w:rPr>
        <w:t xml:space="preserve">Данните за тригодишния период по прокуратури са отразени в следващата таблица: </w:t>
      </w:r>
    </w:p>
    <w:p w14:paraId="325A5993" w14:textId="77777777" w:rsidR="00F65234" w:rsidRPr="00F65234" w:rsidRDefault="00F65234" w:rsidP="00F65234">
      <w:pPr>
        <w:tabs>
          <w:tab w:val="left" w:pos="826"/>
        </w:tabs>
        <w:autoSpaceDE w:val="0"/>
        <w:autoSpaceDN w:val="0"/>
        <w:adjustRightInd w:val="0"/>
        <w:spacing w:after="0" w:line="240" w:lineRule="auto"/>
        <w:ind w:firstLine="709"/>
        <w:jc w:val="both"/>
        <w:rPr>
          <w:rFonts w:ascii="Times New Roman" w:eastAsia="Calibri" w:hAnsi="Times New Roman" w:cs="Times New Roman"/>
          <w:sz w:val="28"/>
        </w:rPr>
      </w:pPr>
    </w:p>
    <w:tbl>
      <w:tblPr>
        <w:tblW w:w="9791" w:type="dxa"/>
        <w:tblInd w:w="60" w:type="dxa"/>
        <w:tblCellMar>
          <w:left w:w="70" w:type="dxa"/>
          <w:right w:w="70" w:type="dxa"/>
        </w:tblCellMar>
        <w:tblLook w:val="04A0" w:firstRow="1" w:lastRow="0" w:firstColumn="1" w:lastColumn="0" w:noHBand="0" w:noVBand="1"/>
      </w:tblPr>
      <w:tblGrid>
        <w:gridCol w:w="2138"/>
        <w:gridCol w:w="2267"/>
        <w:gridCol w:w="2835"/>
        <w:gridCol w:w="2551"/>
      </w:tblGrid>
      <w:tr w:rsidR="00F65234" w:rsidRPr="00F65234" w14:paraId="60CA0B4A" w14:textId="77777777" w:rsidTr="00F65234">
        <w:trPr>
          <w:trHeight w:val="585"/>
        </w:trPr>
        <w:tc>
          <w:tcPr>
            <w:tcW w:w="2138" w:type="dxa"/>
            <w:vMerge w:val="restart"/>
            <w:tcBorders>
              <w:top w:val="single" w:sz="8" w:space="0" w:color="auto"/>
              <w:left w:val="single" w:sz="8" w:space="0" w:color="auto"/>
              <w:bottom w:val="single" w:sz="4" w:space="0" w:color="000000"/>
              <w:right w:val="single" w:sz="4" w:space="0" w:color="auto"/>
            </w:tcBorders>
            <w:hideMark/>
          </w:tcPr>
          <w:p w14:paraId="4F2B392A" w14:textId="77777777" w:rsidR="00F65234" w:rsidRPr="00F65234" w:rsidRDefault="00F65234" w:rsidP="00F65234">
            <w:pPr>
              <w:spacing w:after="0" w:line="240" w:lineRule="auto"/>
              <w:rPr>
                <w:rFonts w:ascii="Times New Roman" w:eastAsia="Calibri" w:hAnsi="Times New Roman" w:cs="Times New Roman"/>
                <w:b/>
                <w:bCs/>
                <w:i/>
                <w:color w:val="000000"/>
                <w:sz w:val="24"/>
                <w:szCs w:val="24"/>
                <w:lang w:eastAsia="bg-BG"/>
              </w:rPr>
            </w:pPr>
            <w:r w:rsidRPr="00F65234">
              <w:rPr>
                <w:rFonts w:ascii="Times New Roman" w:eastAsia="Calibri" w:hAnsi="Times New Roman" w:cs="Times New Roman"/>
                <w:b/>
                <w:bCs/>
                <w:i/>
                <w:color w:val="000000"/>
                <w:sz w:val="24"/>
                <w:szCs w:val="24"/>
                <w:lang w:eastAsia="bg-BG"/>
              </w:rPr>
              <w:t>Прокуратура</w:t>
            </w:r>
          </w:p>
        </w:tc>
        <w:tc>
          <w:tcPr>
            <w:tcW w:w="7653" w:type="dxa"/>
            <w:gridSpan w:val="3"/>
            <w:tcBorders>
              <w:top w:val="single" w:sz="8" w:space="0" w:color="auto"/>
              <w:left w:val="nil"/>
              <w:bottom w:val="single" w:sz="4" w:space="0" w:color="auto"/>
              <w:right w:val="single" w:sz="8" w:space="0" w:color="000000"/>
            </w:tcBorders>
            <w:vAlign w:val="center"/>
            <w:hideMark/>
          </w:tcPr>
          <w:p w14:paraId="483CD527" w14:textId="77777777" w:rsidR="00F65234" w:rsidRPr="00F65234" w:rsidRDefault="00F65234" w:rsidP="00F65234">
            <w:pPr>
              <w:spacing w:after="0" w:line="240" w:lineRule="auto"/>
              <w:jc w:val="center"/>
              <w:rPr>
                <w:rFonts w:ascii="Times New Roman" w:eastAsia="Calibri" w:hAnsi="Times New Roman" w:cs="Times New Roman"/>
                <w:b/>
                <w:bCs/>
                <w:i/>
                <w:iCs/>
                <w:color w:val="000000"/>
                <w:sz w:val="24"/>
                <w:szCs w:val="24"/>
                <w:lang w:eastAsia="bg-BG"/>
              </w:rPr>
            </w:pPr>
            <w:r w:rsidRPr="00F65234">
              <w:rPr>
                <w:rFonts w:ascii="Times New Roman" w:eastAsia="Calibri" w:hAnsi="Times New Roman" w:cs="Times New Roman"/>
                <w:b/>
                <w:bCs/>
                <w:i/>
                <w:iCs/>
                <w:color w:val="000000"/>
                <w:sz w:val="24"/>
                <w:szCs w:val="24"/>
                <w:lang w:eastAsia="bg-BG"/>
              </w:rPr>
              <w:t>Актуализирана средна натовареност</w:t>
            </w:r>
          </w:p>
        </w:tc>
      </w:tr>
      <w:tr w:rsidR="00F65234" w:rsidRPr="00F65234" w14:paraId="2A9C1A7F" w14:textId="77777777" w:rsidTr="00F65234">
        <w:trPr>
          <w:trHeight w:val="390"/>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421FF2B8" w14:textId="77777777" w:rsidR="00F65234" w:rsidRPr="00F65234" w:rsidRDefault="00F65234" w:rsidP="00F65234">
            <w:pPr>
              <w:spacing w:after="0" w:line="240" w:lineRule="auto"/>
              <w:rPr>
                <w:rFonts w:ascii="Times New Roman" w:eastAsia="Calibri" w:hAnsi="Times New Roman" w:cs="Times New Roman"/>
                <w:b/>
                <w:bCs/>
                <w:i/>
                <w:color w:val="000000"/>
                <w:sz w:val="24"/>
                <w:szCs w:val="24"/>
                <w:lang w:eastAsia="bg-BG"/>
              </w:rPr>
            </w:pPr>
          </w:p>
        </w:tc>
        <w:tc>
          <w:tcPr>
            <w:tcW w:w="2267" w:type="dxa"/>
            <w:tcBorders>
              <w:top w:val="nil"/>
              <w:left w:val="nil"/>
              <w:bottom w:val="single" w:sz="4" w:space="0" w:color="auto"/>
              <w:right w:val="single" w:sz="4" w:space="0" w:color="auto"/>
            </w:tcBorders>
            <w:shd w:val="clear" w:color="auto" w:fill="C2D69B" w:themeFill="accent3" w:themeFillTint="99"/>
            <w:hideMark/>
          </w:tcPr>
          <w:p w14:paraId="5EAF58B4" w14:textId="77777777" w:rsidR="00F65234" w:rsidRPr="00F65234" w:rsidRDefault="00F65234" w:rsidP="00F65234">
            <w:pPr>
              <w:spacing w:after="0" w:line="240" w:lineRule="auto"/>
              <w:jc w:val="center"/>
              <w:rPr>
                <w:rFonts w:ascii="Times New Roman" w:eastAsia="Calibri" w:hAnsi="Times New Roman" w:cs="Times New Roman"/>
                <w:b/>
                <w:bCs/>
                <w:color w:val="000000"/>
                <w:sz w:val="24"/>
                <w:szCs w:val="24"/>
                <w:lang w:eastAsia="bg-BG"/>
              </w:rPr>
            </w:pPr>
            <w:r w:rsidRPr="00F65234">
              <w:rPr>
                <w:rFonts w:ascii="Times New Roman" w:eastAsia="Calibri" w:hAnsi="Times New Roman" w:cs="Times New Roman"/>
                <w:b/>
                <w:bCs/>
                <w:color w:val="000000"/>
                <w:sz w:val="24"/>
                <w:szCs w:val="24"/>
                <w:lang w:eastAsia="bg-BG"/>
              </w:rPr>
              <w:t>2022 г.</w:t>
            </w:r>
          </w:p>
        </w:tc>
        <w:tc>
          <w:tcPr>
            <w:tcW w:w="2835" w:type="dxa"/>
            <w:tcBorders>
              <w:top w:val="nil"/>
              <w:left w:val="nil"/>
              <w:bottom w:val="single" w:sz="4" w:space="0" w:color="auto"/>
              <w:right w:val="single" w:sz="4" w:space="0" w:color="auto"/>
            </w:tcBorders>
            <w:hideMark/>
          </w:tcPr>
          <w:p w14:paraId="07EAE5C2" w14:textId="77777777" w:rsidR="00F65234" w:rsidRPr="00F65234" w:rsidRDefault="00F65234" w:rsidP="00F65234">
            <w:pPr>
              <w:spacing w:after="0" w:line="240" w:lineRule="auto"/>
              <w:jc w:val="center"/>
              <w:rPr>
                <w:rFonts w:ascii="Times New Roman" w:eastAsia="Calibri" w:hAnsi="Times New Roman" w:cs="Times New Roman"/>
                <w:bCs/>
                <w:color w:val="000000"/>
                <w:sz w:val="24"/>
                <w:szCs w:val="24"/>
                <w:lang w:eastAsia="bg-BG"/>
              </w:rPr>
            </w:pPr>
            <w:r w:rsidRPr="00F65234">
              <w:rPr>
                <w:rFonts w:ascii="Times New Roman" w:eastAsia="Calibri" w:hAnsi="Times New Roman" w:cs="Times New Roman"/>
                <w:bCs/>
                <w:color w:val="000000"/>
                <w:sz w:val="24"/>
                <w:szCs w:val="24"/>
                <w:lang w:eastAsia="bg-BG"/>
              </w:rPr>
              <w:t>2021 г.</w:t>
            </w:r>
          </w:p>
        </w:tc>
        <w:tc>
          <w:tcPr>
            <w:tcW w:w="2551" w:type="dxa"/>
            <w:tcBorders>
              <w:top w:val="nil"/>
              <w:left w:val="nil"/>
              <w:bottom w:val="single" w:sz="4" w:space="0" w:color="auto"/>
              <w:right w:val="single" w:sz="8" w:space="0" w:color="auto"/>
            </w:tcBorders>
            <w:hideMark/>
          </w:tcPr>
          <w:p w14:paraId="597CFA53" w14:textId="77777777" w:rsidR="00F65234" w:rsidRPr="00F65234" w:rsidRDefault="00F65234" w:rsidP="00F65234">
            <w:pPr>
              <w:spacing w:after="0" w:line="240" w:lineRule="auto"/>
              <w:jc w:val="center"/>
              <w:rPr>
                <w:rFonts w:ascii="Times New Roman" w:eastAsia="Calibri" w:hAnsi="Times New Roman" w:cs="Times New Roman"/>
                <w:bCs/>
                <w:color w:val="000000"/>
                <w:sz w:val="24"/>
                <w:szCs w:val="24"/>
                <w:lang w:eastAsia="bg-BG"/>
              </w:rPr>
            </w:pPr>
            <w:r w:rsidRPr="00F65234">
              <w:rPr>
                <w:rFonts w:ascii="Times New Roman" w:eastAsia="Calibri" w:hAnsi="Times New Roman" w:cs="Times New Roman"/>
                <w:bCs/>
                <w:color w:val="000000"/>
                <w:sz w:val="24"/>
                <w:szCs w:val="24"/>
                <w:lang w:eastAsia="bg-BG"/>
              </w:rPr>
              <w:t>2020 г.</w:t>
            </w:r>
          </w:p>
        </w:tc>
      </w:tr>
      <w:tr w:rsidR="00F65234" w:rsidRPr="00F65234" w14:paraId="51172D06" w14:textId="77777777" w:rsidTr="00F65234">
        <w:trPr>
          <w:trHeight w:val="315"/>
        </w:trPr>
        <w:tc>
          <w:tcPr>
            <w:tcW w:w="2138" w:type="dxa"/>
            <w:tcBorders>
              <w:top w:val="nil"/>
              <w:left w:val="single" w:sz="8" w:space="0" w:color="auto"/>
              <w:bottom w:val="single" w:sz="4" w:space="0" w:color="auto"/>
              <w:right w:val="single" w:sz="4" w:space="0" w:color="auto"/>
            </w:tcBorders>
            <w:vAlign w:val="center"/>
            <w:hideMark/>
          </w:tcPr>
          <w:p w14:paraId="41B13388"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Монтана</w:t>
            </w:r>
          </w:p>
        </w:tc>
        <w:tc>
          <w:tcPr>
            <w:tcW w:w="2267" w:type="dxa"/>
            <w:tcBorders>
              <w:top w:val="nil"/>
              <w:left w:val="nil"/>
              <w:bottom w:val="single" w:sz="4" w:space="0" w:color="auto"/>
              <w:right w:val="single" w:sz="4" w:space="0" w:color="auto"/>
            </w:tcBorders>
            <w:shd w:val="clear" w:color="auto" w:fill="C2D69B" w:themeFill="accent3" w:themeFillTint="99"/>
            <w:vAlign w:val="center"/>
            <w:hideMark/>
          </w:tcPr>
          <w:p w14:paraId="4612C77D"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r w:rsidRPr="00F65234">
              <w:rPr>
                <w:rFonts w:ascii="Times New Roman" w:eastAsia="Calibri" w:hAnsi="Times New Roman" w:cs="Times New Roman"/>
                <w:b/>
                <w:sz w:val="24"/>
                <w:szCs w:val="24"/>
                <w:lang w:eastAsia="bg-BG"/>
              </w:rPr>
              <w:t>1391,6</w:t>
            </w:r>
          </w:p>
        </w:tc>
        <w:tc>
          <w:tcPr>
            <w:tcW w:w="2835" w:type="dxa"/>
            <w:tcBorders>
              <w:top w:val="nil"/>
              <w:left w:val="nil"/>
              <w:bottom w:val="single" w:sz="4" w:space="0" w:color="auto"/>
              <w:right w:val="single" w:sz="4" w:space="0" w:color="auto"/>
            </w:tcBorders>
            <w:shd w:val="clear" w:color="auto" w:fill="FFFFFF"/>
            <w:vAlign w:val="center"/>
            <w:hideMark/>
          </w:tcPr>
          <w:p w14:paraId="597BF381"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1536,8</w:t>
            </w:r>
          </w:p>
        </w:tc>
        <w:tc>
          <w:tcPr>
            <w:tcW w:w="2551" w:type="dxa"/>
            <w:tcBorders>
              <w:top w:val="nil"/>
              <w:left w:val="nil"/>
              <w:bottom w:val="single" w:sz="4" w:space="0" w:color="auto"/>
              <w:right w:val="single" w:sz="8" w:space="0" w:color="auto"/>
            </w:tcBorders>
            <w:shd w:val="clear" w:color="auto" w:fill="FFFFFF"/>
            <w:vAlign w:val="center"/>
            <w:hideMark/>
          </w:tcPr>
          <w:p w14:paraId="033987B0"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1530,9</w:t>
            </w:r>
          </w:p>
        </w:tc>
      </w:tr>
      <w:tr w:rsidR="00F65234" w:rsidRPr="00F65234" w14:paraId="1C45E65C" w14:textId="77777777" w:rsidTr="00F65234">
        <w:trPr>
          <w:trHeight w:val="315"/>
        </w:trPr>
        <w:tc>
          <w:tcPr>
            <w:tcW w:w="2138" w:type="dxa"/>
            <w:tcBorders>
              <w:top w:val="nil"/>
              <w:left w:val="single" w:sz="8" w:space="0" w:color="auto"/>
              <w:bottom w:val="single" w:sz="4" w:space="0" w:color="auto"/>
              <w:right w:val="single" w:sz="4" w:space="0" w:color="auto"/>
            </w:tcBorders>
            <w:vAlign w:val="center"/>
            <w:hideMark/>
          </w:tcPr>
          <w:p w14:paraId="012720F8"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Лом</w:t>
            </w:r>
          </w:p>
        </w:tc>
        <w:tc>
          <w:tcPr>
            <w:tcW w:w="2267" w:type="dxa"/>
            <w:tcBorders>
              <w:top w:val="nil"/>
              <w:left w:val="nil"/>
              <w:bottom w:val="single" w:sz="4" w:space="0" w:color="auto"/>
              <w:right w:val="single" w:sz="4" w:space="0" w:color="auto"/>
            </w:tcBorders>
            <w:shd w:val="clear" w:color="auto" w:fill="C2D69B" w:themeFill="accent3" w:themeFillTint="99"/>
            <w:vAlign w:val="center"/>
          </w:tcPr>
          <w:p w14:paraId="55286FC8"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p>
        </w:tc>
        <w:tc>
          <w:tcPr>
            <w:tcW w:w="2835" w:type="dxa"/>
            <w:tcBorders>
              <w:top w:val="nil"/>
              <w:left w:val="nil"/>
              <w:bottom w:val="single" w:sz="4" w:space="0" w:color="auto"/>
              <w:right w:val="single" w:sz="4" w:space="0" w:color="auto"/>
            </w:tcBorders>
            <w:shd w:val="clear" w:color="auto" w:fill="FFFFFF"/>
            <w:vAlign w:val="center"/>
          </w:tcPr>
          <w:p w14:paraId="0B553383"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p>
        </w:tc>
        <w:tc>
          <w:tcPr>
            <w:tcW w:w="2551" w:type="dxa"/>
            <w:tcBorders>
              <w:top w:val="nil"/>
              <w:left w:val="nil"/>
              <w:bottom w:val="single" w:sz="4" w:space="0" w:color="auto"/>
              <w:right w:val="single" w:sz="8" w:space="0" w:color="auto"/>
            </w:tcBorders>
            <w:shd w:val="clear" w:color="auto" w:fill="FFFFFF"/>
            <w:vAlign w:val="center"/>
            <w:hideMark/>
          </w:tcPr>
          <w:p w14:paraId="5EA5DE16"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2071,2</w:t>
            </w:r>
          </w:p>
        </w:tc>
      </w:tr>
      <w:tr w:rsidR="00F65234" w:rsidRPr="00F65234" w14:paraId="08D89A28" w14:textId="77777777" w:rsidTr="00F65234">
        <w:trPr>
          <w:trHeight w:val="315"/>
        </w:trPr>
        <w:tc>
          <w:tcPr>
            <w:tcW w:w="2138" w:type="dxa"/>
            <w:tcBorders>
              <w:top w:val="nil"/>
              <w:left w:val="single" w:sz="8" w:space="0" w:color="auto"/>
              <w:bottom w:val="single" w:sz="4" w:space="0" w:color="auto"/>
              <w:right w:val="single" w:sz="4" w:space="0" w:color="auto"/>
            </w:tcBorders>
            <w:vAlign w:val="center"/>
            <w:hideMark/>
          </w:tcPr>
          <w:p w14:paraId="40A30E45"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РП Берковица</w:t>
            </w:r>
          </w:p>
        </w:tc>
        <w:tc>
          <w:tcPr>
            <w:tcW w:w="2267" w:type="dxa"/>
            <w:tcBorders>
              <w:top w:val="nil"/>
              <w:left w:val="nil"/>
              <w:bottom w:val="single" w:sz="4" w:space="0" w:color="auto"/>
              <w:right w:val="single" w:sz="4" w:space="0" w:color="auto"/>
            </w:tcBorders>
            <w:shd w:val="clear" w:color="auto" w:fill="C2D69B" w:themeFill="accent3" w:themeFillTint="99"/>
            <w:vAlign w:val="center"/>
          </w:tcPr>
          <w:p w14:paraId="4A674568"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p>
        </w:tc>
        <w:tc>
          <w:tcPr>
            <w:tcW w:w="2835" w:type="dxa"/>
            <w:tcBorders>
              <w:top w:val="nil"/>
              <w:left w:val="nil"/>
              <w:bottom w:val="single" w:sz="4" w:space="0" w:color="auto"/>
              <w:right w:val="single" w:sz="4" w:space="0" w:color="auto"/>
            </w:tcBorders>
            <w:shd w:val="clear" w:color="auto" w:fill="FFFFFF"/>
            <w:vAlign w:val="center"/>
          </w:tcPr>
          <w:p w14:paraId="76DE8689"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p>
        </w:tc>
        <w:tc>
          <w:tcPr>
            <w:tcW w:w="2551" w:type="dxa"/>
            <w:tcBorders>
              <w:top w:val="nil"/>
              <w:left w:val="nil"/>
              <w:bottom w:val="single" w:sz="4" w:space="0" w:color="auto"/>
              <w:right w:val="single" w:sz="8" w:space="0" w:color="auto"/>
            </w:tcBorders>
            <w:shd w:val="clear" w:color="auto" w:fill="FFFFFF"/>
            <w:vAlign w:val="center"/>
            <w:hideMark/>
          </w:tcPr>
          <w:p w14:paraId="51DC3B37"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970,4</w:t>
            </w:r>
          </w:p>
        </w:tc>
      </w:tr>
      <w:tr w:rsidR="00F65234" w:rsidRPr="00F65234" w14:paraId="6AE7B51D" w14:textId="77777777" w:rsidTr="00F65234">
        <w:trPr>
          <w:trHeight w:val="315"/>
        </w:trPr>
        <w:tc>
          <w:tcPr>
            <w:tcW w:w="2138" w:type="dxa"/>
            <w:tcBorders>
              <w:top w:val="nil"/>
              <w:left w:val="single" w:sz="8" w:space="0" w:color="auto"/>
              <w:bottom w:val="nil"/>
              <w:right w:val="single" w:sz="4" w:space="0" w:color="auto"/>
            </w:tcBorders>
            <w:shd w:val="clear" w:color="auto" w:fill="BFBFBF" w:themeFill="background1" w:themeFillShade="BF"/>
            <w:vAlign w:val="center"/>
            <w:hideMark/>
          </w:tcPr>
          <w:p w14:paraId="789E9697" w14:textId="77777777" w:rsidR="00F65234" w:rsidRPr="00F65234" w:rsidRDefault="00F65234" w:rsidP="00F65234">
            <w:pPr>
              <w:spacing w:after="0" w:line="240" w:lineRule="auto"/>
              <w:rPr>
                <w:rFonts w:ascii="Times New Roman" w:eastAsia="Calibri" w:hAnsi="Times New Roman" w:cs="Times New Roman"/>
                <w:b/>
                <w:bCs/>
                <w:color w:val="000000"/>
                <w:sz w:val="24"/>
                <w:szCs w:val="24"/>
                <w:lang w:eastAsia="bg-BG"/>
              </w:rPr>
            </w:pPr>
            <w:r w:rsidRPr="00F65234">
              <w:rPr>
                <w:rFonts w:ascii="Times New Roman" w:eastAsia="Calibri" w:hAnsi="Times New Roman" w:cs="Times New Roman"/>
                <w:b/>
                <w:bCs/>
                <w:color w:val="000000"/>
                <w:sz w:val="24"/>
                <w:szCs w:val="24"/>
                <w:lang w:eastAsia="bg-BG"/>
              </w:rPr>
              <w:t>Средно за РП</w:t>
            </w:r>
          </w:p>
        </w:tc>
        <w:tc>
          <w:tcPr>
            <w:tcW w:w="2267" w:type="dxa"/>
            <w:tcBorders>
              <w:top w:val="nil"/>
              <w:left w:val="nil"/>
              <w:bottom w:val="nil"/>
              <w:right w:val="single" w:sz="4" w:space="0" w:color="auto"/>
            </w:tcBorders>
            <w:shd w:val="clear" w:color="auto" w:fill="BFBFBF" w:themeFill="background1" w:themeFillShade="BF"/>
            <w:vAlign w:val="center"/>
          </w:tcPr>
          <w:p w14:paraId="7704298B" w14:textId="77777777" w:rsidR="00F65234" w:rsidRPr="00F65234" w:rsidRDefault="00F65234" w:rsidP="00F65234">
            <w:pPr>
              <w:spacing w:after="0" w:line="240" w:lineRule="auto"/>
              <w:jc w:val="center"/>
              <w:rPr>
                <w:rFonts w:ascii="Times New Roman" w:eastAsia="Calibri" w:hAnsi="Times New Roman" w:cs="Times New Roman"/>
                <w:b/>
                <w:bCs/>
                <w:sz w:val="24"/>
                <w:szCs w:val="24"/>
                <w:lang w:eastAsia="bg-BG"/>
              </w:rPr>
            </w:pPr>
          </w:p>
        </w:tc>
        <w:tc>
          <w:tcPr>
            <w:tcW w:w="2835" w:type="dxa"/>
            <w:tcBorders>
              <w:top w:val="nil"/>
              <w:left w:val="nil"/>
              <w:bottom w:val="nil"/>
              <w:right w:val="single" w:sz="4" w:space="0" w:color="auto"/>
            </w:tcBorders>
            <w:shd w:val="clear" w:color="auto" w:fill="BFBFBF" w:themeFill="background1" w:themeFillShade="BF"/>
            <w:vAlign w:val="center"/>
          </w:tcPr>
          <w:p w14:paraId="75BAC216" w14:textId="77777777" w:rsidR="00F65234" w:rsidRPr="00F65234" w:rsidRDefault="00F65234" w:rsidP="00F65234">
            <w:pPr>
              <w:spacing w:after="0" w:line="240" w:lineRule="auto"/>
              <w:jc w:val="center"/>
              <w:rPr>
                <w:rFonts w:ascii="Times New Roman" w:eastAsia="Calibri" w:hAnsi="Times New Roman" w:cs="Times New Roman"/>
                <w:b/>
                <w:bCs/>
                <w:sz w:val="24"/>
                <w:szCs w:val="24"/>
                <w:lang w:eastAsia="bg-BG"/>
              </w:rPr>
            </w:pPr>
          </w:p>
        </w:tc>
        <w:tc>
          <w:tcPr>
            <w:tcW w:w="2551" w:type="dxa"/>
            <w:tcBorders>
              <w:top w:val="nil"/>
              <w:left w:val="nil"/>
              <w:bottom w:val="nil"/>
              <w:right w:val="single" w:sz="8" w:space="0" w:color="auto"/>
            </w:tcBorders>
            <w:shd w:val="clear" w:color="auto" w:fill="BFBFBF" w:themeFill="background1" w:themeFillShade="BF"/>
            <w:vAlign w:val="center"/>
            <w:hideMark/>
          </w:tcPr>
          <w:p w14:paraId="18B4CB4B" w14:textId="77777777" w:rsidR="00F65234" w:rsidRPr="00F65234" w:rsidRDefault="00F65234" w:rsidP="00F65234">
            <w:pPr>
              <w:spacing w:after="0" w:line="240" w:lineRule="auto"/>
              <w:jc w:val="center"/>
              <w:rPr>
                <w:rFonts w:ascii="Times New Roman" w:eastAsia="Calibri" w:hAnsi="Times New Roman" w:cs="Times New Roman"/>
                <w:bCs/>
                <w:sz w:val="24"/>
                <w:szCs w:val="24"/>
                <w:lang w:eastAsia="bg-BG"/>
              </w:rPr>
            </w:pPr>
            <w:r w:rsidRPr="00F65234">
              <w:rPr>
                <w:rFonts w:ascii="Times New Roman" w:eastAsia="Calibri" w:hAnsi="Times New Roman" w:cs="Times New Roman"/>
                <w:bCs/>
                <w:sz w:val="24"/>
                <w:szCs w:val="24"/>
                <w:lang w:eastAsia="bg-BG"/>
              </w:rPr>
              <w:t>1561,6</w:t>
            </w:r>
          </w:p>
        </w:tc>
      </w:tr>
      <w:tr w:rsidR="00F65234" w:rsidRPr="00F65234" w14:paraId="46FEF0F1" w14:textId="77777777" w:rsidTr="00F65234">
        <w:trPr>
          <w:trHeight w:val="360"/>
        </w:trPr>
        <w:tc>
          <w:tcPr>
            <w:tcW w:w="2138" w:type="dxa"/>
            <w:tcBorders>
              <w:top w:val="single" w:sz="4" w:space="0" w:color="auto"/>
              <w:left w:val="single" w:sz="8" w:space="0" w:color="auto"/>
              <w:bottom w:val="single" w:sz="8" w:space="0" w:color="auto"/>
              <w:right w:val="single" w:sz="4" w:space="0" w:color="auto"/>
            </w:tcBorders>
            <w:vAlign w:val="bottom"/>
            <w:hideMark/>
          </w:tcPr>
          <w:p w14:paraId="561C1491" w14:textId="77777777" w:rsidR="00F65234" w:rsidRPr="00F65234" w:rsidRDefault="00F65234" w:rsidP="00F65234">
            <w:pPr>
              <w:spacing w:after="0" w:line="240" w:lineRule="auto"/>
              <w:rPr>
                <w:rFonts w:ascii="Times New Roman" w:eastAsia="Calibri" w:hAnsi="Times New Roman" w:cs="Times New Roman"/>
                <w:color w:val="000000"/>
                <w:sz w:val="24"/>
                <w:szCs w:val="24"/>
                <w:lang w:eastAsia="bg-BG"/>
              </w:rPr>
            </w:pPr>
            <w:r w:rsidRPr="00F65234">
              <w:rPr>
                <w:rFonts w:ascii="Times New Roman" w:eastAsia="Calibri" w:hAnsi="Times New Roman" w:cs="Times New Roman"/>
                <w:color w:val="000000"/>
                <w:sz w:val="24"/>
                <w:szCs w:val="24"/>
                <w:lang w:eastAsia="bg-BG"/>
              </w:rPr>
              <w:t>ОП Монтана</w:t>
            </w:r>
          </w:p>
        </w:tc>
        <w:tc>
          <w:tcPr>
            <w:tcW w:w="2267" w:type="dxa"/>
            <w:tcBorders>
              <w:top w:val="single" w:sz="4" w:space="0" w:color="auto"/>
              <w:left w:val="nil"/>
              <w:bottom w:val="single" w:sz="8" w:space="0" w:color="auto"/>
              <w:right w:val="single" w:sz="4" w:space="0" w:color="auto"/>
            </w:tcBorders>
            <w:shd w:val="clear" w:color="auto" w:fill="C2D69B" w:themeFill="accent3" w:themeFillTint="99"/>
            <w:vAlign w:val="bottom"/>
            <w:hideMark/>
          </w:tcPr>
          <w:p w14:paraId="0E4DE269" w14:textId="77777777" w:rsidR="00F65234" w:rsidRPr="00F65234" w:rsidRDefault="00F65234" w:rsidP="00F65234">
            <w:pPr>
              <w:spacing w:after="0" w:line="240" w:lineRule="auto"/>
              <w:jc w:val="center"/>
              <w:rPr>
                <w:rFonts w:ascii="Times New Roman" w:eastAsia="Calibri" w:hAnsi="Times New Roman" w:cs="Times New Roman"/>
                <w:b/>
                <w:sz w:val="24"/>
                <w:szCs w:val="24"/>
                <w:lang w:eastAsia="bg-BG"/>
              </w:rPr>
            </w:pPr>
            <w:r w:rsidRPr="00F65234">
              <w:rPr>
                <w:rFonts w:ascii="Times New Roman" w:eastAsia="Calibri" w:hAnsi="Times New Roman" w:cs="Times New Roman"/>
                <w:b/>
                <w:sz w:val="24"/>
                <w:szCs w:val="24"/>
                <w:lang w:eastAsia="bg-BG"/>
              </w:rPr>
              <w:t>990,3</w:t>
            </w:r>
          </w:p>
        </w:tc>
        <w:tc>
          <w:tcPr>
            <w:tcW w:w="2835" w:type="dxa"/>
            <w:tcBorders>
              <w:top w:val="single" w:sz="4" w:space="0" w:color="auto"/>
              <w:left w:val="nil"/>
              <w:bottom w:val="single" w:sz="8" w:space="0" w:color="auto"/>
              <w:right w:val="single" w:sz="4" w:space="0" w:color="auto"/>
            </w:tcBorders>
            <w:vAlign w:val="bottom"/>
            <w:hideMark/>
          </w:tcPr>
          <w:p w14:paraId="5CF3808D"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915,9</w:t>
            </w:r>
          </w:p>
        </w:tc>
        <w:tc>
          <w:tcPr>
            <w:tcW w:w="2551" w:type="dxa"/>
            <w:tcBorders>
              <w:top w:val="single" w:sz="4" w:space="0" w:color="auto"/>
              <w:left w:val="nil"/>
              <w:bottom w:val="single" w:sz="8" w:space="0" w:color="auto"/>
              <w:right w:val="single" w:sz="8" w:space="0" w:color="auto"/>
            </w:tcBorders>
            <w:vAlign w:val="bottom"/>
            <w:hideMark/>
          </w:tcPr>
          <w:p w14:paraId="04979A16" w14:textId="77777777" w:rsidR="00F65234" w:rsidRPr="00F65234" w:rsidRDefault="00F65234" w:rsidP="00F65234">
            <w:pPr>
              <w:spacing w:after="0" w:line="240" w:lineRule="auto"/>
              <w:jc w:val="center"/>
              <w:rPr>
                <w:rFonts w:ascii="Times New Roman" w:eastAsia="Calibri" w:hAnsi="Times New Roman" w:cs="Times New Roman"/>
                <w:sz w:val="24"/>
                <w:szCs w:val="24"/>
                <w:lang w:eastAsia="bg-BG"/>
              </w:rPr>
            </w:pPr>
            <w:r w:rsidRPr="00F65234">
              <w:rPr>
                <w:rFonts w:ascii="Times New Roman" w:eastAsia="Calibri" w:hAnsi="Times New Roman" w:cs="Times New Roman"/>
                <w:sz w:val="24"/>
                <w:szCs w:val="24"/>
                <w:lang w:eastAsia="bg-BG"/>
              </w:rPr>
              <w:t>775,2</w:t>
            </w:r>
          </w:p>
        </w:tc>
      </w:tr>
    </w:tbl>
    <w:p w14:paraId="17DBFC97" w14:textId="77777777" w:rsidR="00897C29" w:rsidRPr="0049713A" w:rsidRDefault="00897C29" w:rsidP="0020794F">
      <w:pPr>
        <w:tabs>
          <w:tab w:val="left" w:pos="826"/>
        </w:tabs>
        <w:autoSpaceDE w:val="0"/>
        <w:autoSpaceDN w:val="0"/>
        <w:adjustRightInd w:val="0"/>
        <w:spacing w:after="0" w:line="240" w:lineRule="auto"/>
        <w:ind w:firstLine="709"/>
        <w:jc w:val="both"/>
        <w:rPr>
          <w:rFonts w:ascii="Times New Roman" w:hAnsi="Times New Roman"/>
          <w:color w:val="000000"/>
          <w:sz w:val="28"/>
        </w:rPr>
      </w:pPr>
    </w:p>
    <w:p w14:paraId="6D75E0DA" w14:textId="77777777" w:rsidR="00897C29" w:rsidRPr="00DF3EE4" w:rsidRDefault="00897C29" w:rsidP="00C83687">
      <w:pPr>
        <w:autoSpaceDE w:val="0"/>
        <w:autoSpaceDN w:val="0"/>
        <w:adjustRightInd w:val="0"/>
        <w:spacing w:after="0" w:line="240" w:lineRule="auto"/>
        <w:jc w:val="both"/>
        <w:rPr>
          <w:rFonts w:ascii="Times New Roman" w:hAnsi="Times New Roman"/>
          <w:color w:val="C00000"/>
          <w:sz w:val="28"/>
        </w:rPr>
      </w:pPr>
    </w:p>
    <w:p w14:paraId="5E400DA5" w14:textId="77777777" w:rsidR="00897C29" w:rsidRPr="00320815" w:rsidRDefault="00897C29" w:rsidP="0095482A">
      <w:pPr>
        <w:ind w:firstLine="708"/>
        <w:rPr>
          <w:rFonts w:ascii="Times New Roman" w:hAnsi="Times New Roman" w:cs="Times New Roman"/>
          <w:b/>
          <w:sz w:val="28"/>
          <w:szCs w:val="28"/>
          <w:u w:val="single"/>
        </w:rPr>
      </w:pPr>
      <w:bookmarkStart w:id="136" w:name="_Toc380392169"/>
      <w:bookmarkStart w:id="137" w:name="_Toc411255942"/>
      <w:r w:rsidRPr="00320815">
        <w:rPr>
          <w:rFonts w:ascii="Times New Roman" w:hAnsi="Times New Roman" w:cs="Times New Roman"/>
          <w:b/>
          <w:sz w:val="28"/>
          <w:szCs w:val="28"/>
          <w:u w:val="single"/>
        </w:rPr>
        <w:t>5. Натовареност на следователите от ОСлО-ОП Монтана:</w:t>
      </w:r>
    </w:p>
    <w:bookmarkEnd w:id="136"/>
    <w:bookmarkEnd w:id="137"/>
    <w:p w14:paraId="5A5855EC" w14:textId="77777777" w:rsidR="00897C29" w:rsidRPr="00320815" w:rsidRDefault="00897C29" w:rsidP="0095482A">
      <w:pPr>
        <w:ind w:firstLine="708"/>
        <w:rPr>
          <w:rFonts w:ascii="Times New Roman" w:hAnsi="Times New Roman" w:cs="Times New Roman"/>
          <w:b/>
          <w:i/>
          <w:sz w:val="28"/>
          <w:szCs w:val="28"/>
        </w:rPr>
      </w:pPr>
      <w:r w:rsidRPr="00320815">
        <w:rPr>
          <w:rFonts w:ascii="Times New Roman" w:hAnsi="Times New Roman" w:cs="Times New Roman"/>
          <w:b/>
          <w:i/>
          <w:sz w:val="28"/>
          <w:szCs w:val="28"/>
        </w:rPr>
        <w:t>5.1. Актуализиран общ обем на натовареност:</w:t>
      </w:r>
    </w:p>
    <w:p w14:paraId="09E5168E" w14:textId="1379AD11" w:rsidR="00897C29" w:rsidRPr="00320815" w:rsidRDefault="00897C29" w:rsidP="00DB21A8">
      <w:pPr>
        <w:spacing w:after="0" w:line="240" w:lineRule="auto"/>
        <w:ind w:firstLine="709"/>
        <w:jc w:val="both"/>
        <w:rPr>
          <w:rFonts w:ascii="Times New Roman" w:hAnsi="Times New Roman"/>
          <w:sz w:val="28"/>
          <w:szCs w:val="28"/>
        </w:rPr>
      </w:pPr>
      <w:r w:rsidRPr="00320815">
        <w:rPr>
          <w:rFonts w:ascii="Times New Roman" w:hAnsi="Times New Roman"/>
          <w:sz w:val="28"/>
          <w:szCs w:val="28"/>
        </w:rPr>
        <w:lastRenderedPageBreak/>
        <w:t>Общият обем на натоваре</w:t>
      </w:r>
      <w:r w:rsidR="009A3159" w:rsidRPr="00320815">
        <w:rPr>
          <w:rFonts w:ascii="Times New Roman" w:hAnsi="Times New Roman"/>
          <w:sz w:val="28"/>
          <w:szCs w:val="28"/>
        </w:rPr>
        <w:t>ност в ОСлО-ОП Монтана през 20</w:t>
      </w:r>
      <w:r w:rsidR="0020794F" w:rsidRPr="00320815">
        <w:rPr>
          <w:rFonts w:ascii="Times New Roman" w:hAnsi="Times New Roman"/>
          <w:sz w:val="28"/>
          <w:szCs w:val="28"/>
        </w:rPr>
        <w:t>2</w:t>
      </w:r>
      <w:r w:rsidR="002F0696">
        <w:rPr>
          <w:rFonts w:ascii="Times New Roman" w:hAnsi="Times New Roman"/>
          <w:sz w:val="28"/>
          <w:szCs w:val="28"/>
        </w:rPr>
        <w:t>2</w:t>
      </w:r>
      <w:r w:rsidRPr="00320815">
        <w:rPr>
          <w:rFonts w:ascii="Times New Roman" w:hAnsi="Times New Roman"/>
          <w:sz w:val="28"/>
          <w:szCs w:val="28"/>
        </w:rPr>
        <w:t xml:space="preserve"> г. е </w:t>
      </w:r>
      <w:r w:rsidR="00320815" w:rsidRPr="00320815">
        <w:rPr>
          <w:rFonts w:ascii="Times New Roman" w:hAnsi="Times New Roman"/>
          <w:sz w:val="28"/>
          <w:szCs w:val="28"/>
        </w:rPr>
        <w:t>37</w:t>
      </w:r>
      <w:r w:rsidR="002F0696">
        <w:rPr>
          <w:rFonts w:ascii="Times New Roman" w:hAnsi="Times New Roman"/>
          <w:sz w:val="28"/>
          <w:szCs w:val="28"/>
        </w:rPr>
        <w:t>4</w:t>
      </w:r>
      <w:r w:rsidR="00320815" w:rsidRPr="00320815">
        <w:rPr>
          <w:rFonts w:ascii="Times New Roman" w:hAnsi="Times New Roman"/>
          <w:sz w:val="28"/>
          <w:szCs w:val="28"/>
        </w:rPr>
        <w:t xml:space="preserve"> бр.</w:t>
      </w:r>
      <w:r w:rsidR="009A3159" w:rsidRPr="00320815">
        <w:rPr>
          <w:rFonts w:ascii="Times New Roman" w:hAnsi="Times New Roman"/>
          <w:sz w:val="28"/>
          <w:szCs w:val="28"/>
        </w:rPr>
        <w:t xml:space="preserve"> (</w:t>
      </w:r>
      <w:r w:rsidR="00320815" w:rsidRPr="00320815">
        <w:rPr>
          <w:rFonts w:ascii="Times New Roman" w:hAnsi="Times New Roman"/>
          <w:sz w:val="28"/>
          <w:szCs w:val="28"/>
        </w:rPr>
        <w:t xml:space="preserve">при </w:t>
      </w:r>
      <w:r w:rsidR="009A3159" w:rsidRPr="00320815">
        <w:rPr>
          <w:rFonts w:ascii="Times New Roman" w:hAnsi="Times New Roman"/>
          <w:sz w:val="28"/>
          <w:szCs w:val="28"/>
        </w:rPr>
        <w:t>3</w:t>
      </w:r>
      <w:r w:rsidR="002F0696">
        <w:rPr>
          <w:rFonts w:ascii="Times New Roman" w:hAnsi="Times New Roman"/>
          <w:sz w:val="28"/>
          <w:szCs w:val="28"/>
        </w:rPr>
        <w:t>79</w:t>
      </w:r>
      <w:r w:rsidR="00320815" w:rsidRPr="00320815">
        <w:rPr>
          <w:rFonts w:ascii="Times New Roman" w:hAnsi="Times New Roman"/>
          <w:sz w:val="28"/>
          <w:szCs w:val="28"/>
        </w:rPr>
        <w:t xml:space="preserve"> бр.</w:t>
      </w:r>
      <w:r w:rsidR="009A3159" w:rsidRPr="00320815">
        <w:rPr>
          <w:rFonts w:ascii="Times New Roman" w:hAnsi="Times New Roman"/>
          <w:sz w:val="28"/>
          <w:szCs w:val="28"/>
        </w:rPr>
        <w:t xml:space="preserve"> за 20</w:t>
      </w:r>
      <w:r w:rsidR="00422CB7" w:rsidRPr="00320815">
        <w:rPr>
          <w:rFonts w:ascii="Times New Roman" w:hAnsi="Times New Roman"/>
          <w:sz w:val="28"/>
          <w:szCs w:val="28"/>
        </w:rPr>
        <w:t>2</w:t>
      </w:r>
      <w:r w:rsidR="002F0696">
        <w:rPr>
          <w:rFonts w:ascii="Times New Roman" w:hAnsi="Times New Roman"/>
          <w:sz w:val="28"/>
          <w:szCs w:val="28"/>
        </w:rPr>
        <w:t>1</w:t>
      </w:r>
      <w:r w:rsidR="009A3159" w:rsidRPr="00320815">
        <w:rPr>
          <w:rFonts w:ascii="Times New Roman" w:hAnsi="Times New Roman"/>
          <w:sz w:val="28"/>
          <w:szCs w:val="28"/>
        </w:rPr>
        <w:t xml:space="preserve"> г. и </w:t>
      </w:r>
      <w:r w:rsidRPr="00320815">
        <w:rPr>
          <w:rFonts w:ascii="Times New Roman" w:hAnsi="Times New Roman"/>
          <w:sz w:val="28"/>
          <w:szCs w:val="28"/>
        </w:rPr>
        <w:t>3</w:t>
      </w:r>
      <w:r w:rsidR="002F0696">
        <w:rPr>
          <w:rFonts w:ascii="Times New Roman" w:hAnsi="Times New Roman"/>
          <w:sz w:val="28"/>
          <w:szCs w:val="28"/>
        </w:rPr>
        <w:t>64</w:t>
      </w:r>
      <w:r w:rsidR="00320815" w:rsidRPr="00320815">
        <w:rPr>
          <w:rFonts w:ascii="Times New Roman" w:hAnsi="Times New Roman"/>
          <w:sz w:val="28"/>
          <w:szCs w:val="28"/>
        </w:rPr>
        <w:t xml:space="preserve"> бр.</w:t>
      </w:r>
      <w:r w:rsidRPr="00320815">
        <w:rPr>
          <w:rFonts w:ascii="Times New Roman" w:hAnsi="Times New Roman"/>
          <w:sz w:val="28"/>
          <w:szCs w:val="28"/>
        </w:rPr>
        <w:t xml:space="preserve"> за 20</w:t>
      </w:r>
      <w:r w:rsidR="002F0696">
        <w:rPr>
          <w:rFonts w:ascii="Times New Roman" w:hAnsi="Times New Roman"/>
          <w:sz w:val="28"/>
          <w:szCs w:val="28"/>
        </w:rPr>
        <w:t>20</w:t>
      </w:r>
      <w:r w:rsidRPr="00320815">
        <w:rPr>
          <w:rFonts w:ascii="Times New Roman" w:hAnsi="Times New Roman"/>
          <w:sz w:val="28"/>
          <w:szCs w:val="28"/>
        </w:rPr>
        <w:t xml:space="preserve"> г.), като може да бъде представен чрез следните показатели:</w:t>
      </w:r>
    </w:p>
    <w:p w14:paraId="349EF491" w14:textId="77777777" w:rsidR="00897C29" w:rsidRPr="008B000A" w:rsidRDefault="00897C29" w:rsidP="00DB21A8">
      <w:pPr>
        <w:spacing w:after="0" w:line="240" w:lineRule="auto"/>
        <w:ind w:firstLine="709"/>
        <w:jc w:val="both"/>
        <w:rPr>
          <w:rFonts w:ascii="Times New Roman" w:hAnsi="Times New Roman"/>
          <w:b/>
          <w:i/>
          <w:sz w:val="28"/>
          <w:szCs w:val="28"/>
          <w:highlight w:val="green"/>
        </w:rPr>
      </w:pPr>
    </w:p>
    <w:p w14:paraId="5119343E" w14:textId="77777777" w:rsidR="00897C29" w:rsidRPr="00422CB7" w:rsidRDefault="00897C29" w:rsidP="00DB21A8">
      <w:pPr>
        <w:spacing w:after="0" w:line="240" w:lineRule="auto"/>
        <w:ind w:firstLine="709"/>
        <w:jc w:val="both"/>
        <w:rPr>
          <w:rFonts w:ascii="Times New Roman" w:hAnsi="Times New Roman"/>
          <w:b/>
          <w:i/>
          <w:sz w:val="28"/>
          <w:szCs w:val="28"/>
        </w:rPr>
      </w:pPr>
      <w:r w:rsidRPr="00422CB7">
        <w:rPr>
          <w:rFonts w:ascii="Times New Roman" w:hAnsi="Times New Roman"/>
          <w:b/>
          <w:i/>
          <w:sz w:val="28"/>
          <w:szCs w:val="28"/>
        </w:rPr>
        <w:t>5.1.1. Обем по разследвани досъдебни производства:</w:t>
      </w:r>
    </w:p>
    <w:p w14:paraId="4EF618FF" w14:textId="68E42564" w:rsidR="00DF2AAA" w:rsidRPr="00422CB7" w:rsidRDefault="00E92F8A" w:rsidP="00DB21A8">
      <w:pPr>
        <w:spacing w:after="0" w:line="240" w:lineRule="auto"/>
        <w:ind w:firstLine="720"/>
        <w:jc w:val="both"/>
        <w:rPr>
          <w:rFonts w:ascii="Times New Roman" w:eastAsia="Times New Roman" w:hAnsi="Times New Roman" w:cs="Times New Roman"/>
          <w:sz w:val="28"/>
          <w:szCs w:val="28"/>
        </w:rPr>
      </w:pPr>
      <w:r w:rsidRPr="00422CB7">
        <w:rPr>
          <w:rFonts w:ascii="Times New Roman" w:eastAsia="Times New Roman" w:hAnsi="Times New Roman" w:cs="Times New Roman"/>
          <w:sz w:val="28"/>
          <w:szCs w:val="28"/>
        </w:rPr>
        <w:t>През отчетната 20</w:t>
      </w:r>
      <w:r w:rsidR="003A1ACD" w:rsidRPr="00422CB7">
        <w:rPr>
          <w:rFonts w:ascii="Times New Roman" w:eastAsia="Times New Roman" w:hAnsi="Times New Roman" w:cs="Times New Roman"/>
          <w:sz w:val="28"/>
          <w:szCs w:val="28"/>
        </w:rPr>
        <w:t>2</w:t>
      </w:r>
      <w:r w:rsidR="00422CB7" w:rsidRPr="00422CB7">
        <w:rPr>
          <w:rFonts w:ascii="Times New Roman" w:eastAsia="Times New Roman" w:hAnsi="Times New Roman" w:cs="Times New Roman"/>
          <w:sz w:val="28"/>
          <w:szCs w:val="28"/>
        </w:rPr>
        <w:t>1</w:t>
      </w:r>
      <w:r w:rsidR="00897C29" w:rsidRPr="00422CB7">
        <w:rPr>
          <w:rFonts w:ascii="Times New Roman" w:eastAsia="Times New Roman" w:hAnsi="Times New Roman" w:cs="Times New Roman"/>
          <w:sz w:val="28"/>
          <w:szCs w:val="28"/>
        </w:rPr>
        <w:t xml:space="preserve"> година  са разследвани общо</w:t>
      </w:r>
      <w:r w:rsidR="00897C29" w:rsidRPr="00422CB7">
        <w:rPr>
          <w:rFonts w:ascii="Times New Roman" w:eastAsia="Times New Roman" w:hAnsi="Times New Roman" w:cs="Times New Roman"/>
          <w:b/>
          <w:sz w:val="28"/>
          <w:szCs w:val="28"/>
        </w:rPr>
        <w:t xml:space="preserve"> </w:t>
      </w:r>
      <w:r w:rsidR="002F0696">
        <w:rPr>
          <w:rFonts w:ascii="Times New Roman" w:eastAsia="Times New Roman" w:hAnsi="Times New Roman" w:cs="Times New Roman"/>
          <w:b/>
          <w:sz w:val="28"/>
          <w:szCs w:val="28"/>
        </w:rPr>
        <w:t>148</w:t>
      </w:r>
      <w:r w:rsidR="009A3159" w:rsidRPr="00422CB7">
        <w:rPr>
          <w:rFonts w:ascii="Times New Roman" w:eastAsia="Times New Roman" w:hAnsi="Times New Roman" w:cs="Times New Roman"/>
          <w:b/>
          <w:sz w:val="28"/>
          <w:szCs w:val="28"/>
        </w:rPr>
        <w:t xml:space="preserve"> </w:t>
      </w:r>
      <w:r w:rsidR="00897C29" w:rsidRPr="00422CB7">
        <w:rPr>
          <w:rFonts w:ascii="Times New Roman" w:eastAsia="Times New Roman" w:hAnsi="Times New Roman" w:cs="Times New Roman"/>
          <w:sz w:val="28"/>
          <w:szCs w:val="28"/>
        </w:rPr>
        <w:t xml:space="preserve">ДП, от които </w:t>
      </w:r>
      <w:r w:rsidR="003A1ACD" w:rsidRPr="00422CB7">
        <w:rPr>
          <w:rFonts w:ascii="Times New Roman" w:hAnsi="Times New Roman" w:cs="Times New Roman"/>
          <w:b/>
          <w:sz w:val="28"/>
          <w:szCs w:val="28"/>
        </w:rPr>
        <w:t>6</w:t>
      </w:r>
      <w:r w:rsidR="002F0696">
        <w:rPr>
          <w:rFonts w:ascii="Times New Roman" w:hAnsi="Times New Roman" w:cs="Times New Roman"/>
          <w:b/>
          <w:sz w:val="28"/>
          <w:szCs w:val="28"/>
        </w:rPr>
        <w:t>5</w:t>
      </w:r>
      <w:r w:rsidR="00897C29" w:rsidRPr="00422CB7">
        <w:rPr>
          <w:rFonts w:ascii="Times New Roman" w:hAnsi="Times New Roman" w:cs="Times New Roman"/>
          <w:b/>
          <w:sz w:val="28"/>
          <w:szCs w:val="28"/>
        </w:rPr>
        <w:t xml:space="preserve"> бр.</w:t>
      </w:r>
      <w:r w:rsidR="00897C29" w:rsidRPr="00422CB7">
        <w:rPr>
          <w:rFonts w:ascii="Times New Roman" w:hAnsi="Times New Roman" w:cs="Times New Roman"/>
          <w:sz w:val="28"/>
          <w:szCs w:val="28"/>
        </w:rPr>
        <w:t xml:space="preserve"> са останали от минали периоди и </w:t>
      </w:r>
      <w:r w:rsidR="002F0696">
        <w:rPr>
          <w:rFonts w:ascii="Times New Roman" w:hAnsi="Times New Roman" w:cs="Times New Roman"/>
          <w:b/>
          <w:sz w:val="28"/>
          <w:szCs w:val="28"/>
        </w:rPr>
        <w:t>83</w:t>
      </w:r>
      <w:r w:rsidR="00897C29" w:rsidRPr="00422CB7">
        <w:rPr>
          <w:rFonts w:ascii="Times New Roman" w:hAnsi="Times New Roman" w:cs="Times New Roman"/>
          <w:b/>
          <w:sz w:val="28"/>
          <w:szCs w:val="28"/>
        </w:rPr>
        <w:t xml:space="preserve"> броя </w:t>
      </w:r>
      <w:r w:rsidR="00897C29" w:rsidRPr="00422CB7">
        <w:rPr>
          <w:rFonts w:ascii="Times New Roman" w:hAnsi="Times New Roman" w:cs="Times New Roman"/>
          <w:sz w:val="28"/>
          <w:szCs w:val="28"/>
        </w:rPr>
        <w:t>са новообразувани и продължени.</w:t>
      </w:r>
      <w:r w:rsidR="00897C29" w:rsidRPr="00422CB7">
        <w:rPr>
          <w:rFonts w:ascii="Times New Roman" w:eastAsia="Times New Roman" w:hAnsi="Times New Roman" w:cs="Times New Roman"/>
          <w:sz w:val="28"/>
          <w:szCs w:val="28"/>
        </w:rPr>
        <w:t xml:space="preserve"> </w:t>
      </w:r>
    </w:p>
    <w:p w14:paraId="5229CCBF" w14:textId="77777777" w:rsidR="00897C29" w:rsidRPr="00422CB7" w:rsidRDefault="00897C29" w:rsidP="00DB21A8">
      <w:pPr>
        <w:spacing w:after="0" w:line="240" w:lineRule="auto"/>
        <w:ind w:firstLine="720"/>
        <w:jc w:val="both"/>
        <w:rPr>
          <w:rFonts w:ascii="Times New Roman" w:eastAsia="Times New Roman" w:hAnsi="Times New Roman" w:cs="Times New Roman"/>
          <w:sz w:val="28"/>
          <w:szCs w:val="28"/>
        </w:rPr>
      </w:pPr>
      <w:r w:rsidRPr="00422CB7">
        <w:rPr>
          <w:rFonts w:ascii="Times New Roman" w:eastAsia="Times New Roman" w:hAnsi="Times New Roman" w:cs="Times New Roman"/>
          <w:sz w:val="28"/>
          <w:szCs w:val="28"/>
        </w:rPr>
        <w:t xml:space="preserve">Съпоставени с броя от  предходните две години е, както следва: </w:t>
      </w:r>
    </w:p>
    <w:p w14:paraId="28A09A9F" w14:textId="77777777" w:rsidR="00897C29" w:rsidRPr="00422CB7" w:rsidRDefault="00897C29" w:rsidP="00DB21A8">
      <w:pPr>
        <w:spacing w:after="0" w:line="240" w:lineRule="auto"/>
        <w:jc w:val="both"/>
        <w:rPr>
          <w:rFonts w:ascii="Times New Roman" w:eastAsia="Times New Roman" w:hAnsi="Times New Roman"/>
          <w:sz w:val="28"/>
          <w:szCs w:val="28"/>
        </w:rPr>
      </w:pPr>
    </w:p>
    <w:p w14:paraId="34589A6F" w14:textId="77777777" w:rsidR="00897C29" w:rsidRPr="00422CB7" w:rsidRDefault="00897C29" w:rsidP="00DB21A8">
      <w:pPr>
        <w:spacing w:after="0" w:line="240" w:lineRule="auto"/>
        <w:jc w:val="both"/>
        <w:rPr>
          <w:rFonts w:ascii="Times New Roman" w:eastAsia="Times New Roman" w:hAnsi="Times New Roman"/>
          <w:i/>
          <w:sz w:val="28"/>
          <w:szCs w:val="28"/>
          <w:u w:val="single"/>
        </w:rPr>
      </w:pPr>
      <w:r w:rsidRPr="00422CB7">
        <w:rPr>
          <w:rFonts w:ascii="Times New Roman" w:eastAsia="Times New Roman" w:hAnsi="Times New Roman"/>
          <w:i/>
          <w:sz w:val="28"/>
          <w:szCs w:val="28"/>
          <w:u w:val="single"/>
        </w:rPr>
        <w:t>общо разследвани ДП:</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2835"/>
        <w:gridCol w:w="2835"/>
      </w:tblGrid>
      <w:tr w:rsidR="002002E9" w:rsidRPr="00422CB7" w14:paraId="6BCB84F6" w14:textId="77777777" w:rsidTr="002002E9">
        <w:trPr>
          <w:jc w:val="center"/>
        </w:trPr>
        <w:tc>
          <w:tcPr>
            <w:tcW w:w="2835"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4629518A" w14:textId="7C93E0B6" w:rsidR="002002E9" w:rsidRPr="00422CB7" w:rsidRDefault="002002E9" w:rsidP="002F0696">
            <w:pPr>
              <w:spacing w:after="0" w:line="240" w:lineRule="auto"/>
              <w:jc w:val="center"/>
              <w:rPr>
                <w:rFonts w:ascii="Times New Roman" w:eastAsia="Times New Roman" w:hAnsi="Times New Roman"/>
                <w:b/>
                <w:bCs/>
                <w:sz w:val="28"/>
                <w:szCs w:val="28"/>
              </w:rPr>
            </w:pPr>
            <w:r w:rsidRPr="00422CB7">
              <w:rPr>
                <w:rFonts w:ascii="Times New Roman" w:eastAsia="Times New Roman" w:hAnsi="Times New Roman"/>
                <w:b/>
                <w:bCs/>
                <w:sz w:val="28"/>
                <w:szCs w:val="28"/>
              </w:rPr>
              <w:t>20</w:t>
            </w:r>
            <w:r w:rsidR="00407B7F" w:rsidRPr="00422CB7">
              <w:rPr>
                <w:rFonts w:ascii="Times New Roman" w:eastAsia="Times New Roman" w:hAnsi="Times New Roman"/>
                <w:b/>
                <w:bCs/>
                <w:sz w:val="28"/>
                <w:szCs w:val="28"/>
              </w:rPr>
              <w:t>2</w:t>
            </w:r>
            <w:r w:rsidR="002F0696">
              <w:rPr>
                <w:rFonts w:ascii="Times New Roman" w:eastAsia="Times New Roman" w:hAnsi="Times New Roman"/>
                <w:b/>
                <w:bCs/>
                <w:sz w:val="28"/>
                <w:szCs w:val="28"/>
              </w:rPr>
              <w:t>2</w:t>
            </w:r>
            <w:r w:rsidRPr="00422CB7">
              <w:rPr>
                <w:rFonts w:ascii="Times New Roman" w:eastAsia="Times New Roman" w:hAnsi="Times New Roman"/>
                <w:b/>
                <w:bCs/>
                <w:sz w:val="28"/>
                <w:szCs w:val="28"/>
              </w:rPr>
              <w:t xml:space="preserve"> г.</w:t>
            </w:r>
          </w:p>
        </w:tc>
        <w:tc>
          <w:tcPr>
            <w:tcW w:w="2835" w:type="dxa"/>
            <w:tcBorders>
              <w:top w:val="single" w:sz="4" w:space="0" w:color="000000"/>
              <w:left w:val="single" w:sz="4" w:space="0" w:color="auto"/>
              <w:bottom w:val="single" w:sz="4" w:space="0" w:color="000000"/>
              <w:right w:val="single" w:sz="4" w:space="0" w:color="auto"/>
            </w:tcBorders>
          </w:tcPr>
          <w:p w14:paraId="3A2A0455" w14:textId="0DED1CE2" w:rsidR="002002E9" w:rsidRPr="00422CB7" w:rsidRDefault="002002E9" w:rsidP="002F0696">
            <w:pPr>
              <w:spacing w:after="0" w:line="240" w:lineRule="auto"/>
              <w:jc w:val="center"/>
              <w:rPr>
                <w:rFonts w:ascii="Times New Roman" w:eastAsia="Times New Roman" w:hAnsi="Times New Roman"/>
                <w:bCs/>
                <w:sz w:val="28"/>
                <w:szCs w:val="28"/>
              </w:rPr>
            </w:pPr>
            <w:r w:rsidRPr="00422CB7">
              <w:rPr>
                <w:rFonts w:ascii="Times New Roman" w:eastAsia="Times New Roman" w:hAnsi="Times New Roman"/>
                <w:bCs/>
                <w:sz w:val="28"/>
                <w:szCs w:val="28"/>
              </w:rPr>
              <w:t>20</w:t>
            </w:r>
            <w:r w:rsidR="00422CB7" w:rsidRPr="00422CB7">
              <w:rPr>
                <w:rFonts w:ascii="Times New Roman" w:eastAsia="Times New Roman" w:hAnsi="Times New Roman"/>
                <w:bCs/>
                <w:sz w:val="28"/>
                <w:szCs w:val="28"/>
              </w:rPr>
              <w:t>2</w:t>
            </w:r>
            <w:r w:rsidR="002F0696">
              <w:rPr>
                <w:rFonts w:ascii="Times New Roman" w:eastAsia="Times New Roman" w:hAnsi="Times New Roman"/>
                <w:bCs/>
                <w:sz w:val="28"/>
                <w:szCs w:val="28"/>
              </w:rPr>
              <w:t>1</w:t>
            </w:r>
            <w:r w:rsidRPr="00422CB7">
              <w:rPr>
                <w:rFonts w:ascii="Times New Roman" w:eastAsia="Times New Roman" w:hAnsi="Times New Roman"/>
                <w:bCs/>
                <w:sz w:val="28"/>
                <w:szCs w:val="28"/>
              </w:rPr>
              <w:t xml:space="preserve"> г.</w:t>
            </w:r>
          </w:p>
        </w:tc>
        <w:tc>
          <w:tcPr>
            <w:tcW w:w="2835" w:type="dxa"/>
            <w:tcBorders>
              <w:top w:val="single" w:sz="4" w:space="0" w:color="000000"/>
              <w:left w:val="single" w:sz="4" w:space="0" w:color="auto"/>
              <w:bottom w:val="single" w:sz="4" w:space="0" w:color="000000"/>
              <w:right w:val="single" w:sz="4" w:space="0" w:color="000000"/>
            </w:tcBorders>
          </w:tcPr>
          <w:p w14:paraId="78F50B9D" w14:textId="7C225C11" w:rsidR="002002E9" w:rsidRPr="00422CB7" w:rsidRDefault="002002E9" w:rsidP="002F0696">
            <w:pPr>
              <w:spacing w:after="0" w:line="240" w:lineRule="auto"/>
              <w:jc w:val="center"/>
              <w:rPr>
                <w:rFonts w:ascii="Times New Roman" w:eastAsia="Times New Roman" w:hAnsi="Times New Roman"/>
                <w:bCs/>
                <w:sz w:val="28"/>
                <w:szCs w:val="28"/>
              </w:rPr>
            </w:pPr>
            <w:r w:rsidRPr="00422CB7">
              <w:rPr>
                <w:rFonts w:ascii="Times New Roman" w:eastAsia="Times New Roman" w:hAnsi="Times New Roman"/>
                <w:bCs/>
                <w:sz w:val="28"/>
                <w:szCs w:val="28"/>
              </w:rPr>
              <w:t>20</w:t>
            </w:r>
            <w:r w:rsidR="002F0696">
              <w:rPr>
                <w:rFonts w:ascii="Times New Roman" w:eastAsia="Times New Roman" w:hAnsi="Times New Roman"/>
                <w:bCs/>
                <w:sz w:val="28"/>
                <w:szCs w:val="28"/>
              </w:rPr>
              <w:t>20</w:t>
            </w:r>
            <w:r w:rsidRPr="00422CB7">
              <w:rPr>
                <w:rFonts w:ascii="Times New Roman" w:eastAsia="Times New Roman" w:hAnsi="Times New Roman"/>
                <w:bCs/>
                <w:sz w:val="28"/>
                <w:szCs w:val="28"/>
              </w:rPr>
              <w:t xml:space="preserve"> г.</w:t>
            </w:r>
          </w:p>
        </w:tc>
      </w:tr>
      <w:tr w:rsidR="002002E9" w:rsidRPr="00422CB7" w14:paraId="26D30E65" w14:textId="77777777" w:rsidTr="002002E9">
        <w:trPr>
          <w:jc w:val="center"/>
        </w:trPr>
        <w:tc>
          <w:tcPr>
            <w:tcW w:w="2835"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79B8C62D" w14:textId="75BE91DA" w:rsidR="002002E9" w:rsidRPr="00422CB7" w:rsidRDefault="00407B7F" w:rsidP="00422CB7">
            <w:pPr>
              <w:spacing w:after="0" w:line="240" w:lineRule="auto"/>
              <w:jc w:val="center"/>
              <w:rPr>
                <w:rFonts w:ascii="Times New Roman" w:eastAsia="Times New Roman" w:hAnsi="Times New Roman"/>
                <w:b/>
                <w:sz w:val="28"/>
                <w:szCs w:val="28"/>
              </w:rPr>
            </w:pPr>
            <w:r w:rsidRPr="00422CB7">
              <w:rPr>
                <w:rFonts w:ascii="Times New Roman" w:eastAsia="Times New Roman" w:hAnsi="Times New Roman"/>
                <w:b/>
                <w:sz w:val="28"/>
                <w:szCs w:val="28"/>
              </w:rPr>
              <w:t>1</w:t>
            </w:r>
            <w:r w:rsidR="00422CB7" w:rsidRPr="00422CB7">
              <w:rPr>
                <w:rFonts w:ascii="Times New Roman" w:eastAsia="Times New Roman" w:hAnsi="Times New Roman"/>
                <w:b/>
                <w:sz w:val="28"/>
                <w:szCs w:val="28"/>
              </w:rPr>
              <w:t>4</w:t>
            </w:r>
            <w:r w:rsidR="002F0696">
              <w:rPr>
                <w:rFonts w:ascii="Times New Roman" w:eastAsia="Times New Roman" w:hAnsi="Times New Roman"/>
                <w:b/>
                <w:sz w:val="28"/>
                <w:szCs w:val="28"/>
              </w:rPr>
              <w:t>8</w:t>
            </w:r>
            <w:r w:rsidR="00422CB7" w:rsidRPr="00422CB7">
              <w:rPr>
                <w:rFonts w:ascii="Times New Roman" w:eastAsia="Times New Roman" w:hAnsi="Times New Roman"/>
                <w:b/>
                <w:sz w:val="28"/>
                <w:szCs w:val="28"/>
              </w:rPr>
              <w:t>4</w:t>
            </w:r>
          </w:p>
        </w:tc>
        <w:tc>
          <w:tcPr>
            <w:tcW w:w="2835" w:type="dxa"/>
            <w:tcBorders>
              <w:top w:val="single" w:sz="4" w:space="0" w:color="000000"/>
              <w:left w:val="single" w:sz="4" w:space="0" w:color="auto"/>
              <w:bottom w:val="single" w:sz="4" w:space="0" w:color="000000"/>
              <w:right w:val="single" w:sz="4" w:space="0" w:color="auto"/>
            </w:tcBorders>
          </w:tcPr>
          <w:p w14:paraId="4097B372" w14:textId="10FDDAC6" w:rsidR="002002E9" w:rsidRPr="00422CB7" w:rsidRDefault="002F0696" w:rsidP="00422CB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144</w:t>
            </w:r>
            <w:r w:rsidR="00407B7F" w:rsidRPr="00422CB7">
              <w:rPr>
                <w:rFonts w:ascii="Times New Roman" w:eastAsia="Times New Roman" w:hAnsi="Times New Roman"/>
                <w:sz w:val="28"/>
                <w:szCs w:val="28"/>
              </w:rPr>
              <w:t>1</w:t>
            </w:r>
            <w:r w:rsidR="00422CB7" w:rsidRPr="00422CB7">
              <w:rPr>
                <w:rFonts w:ascii="Times New Roman" w:eastAsia="Times New Roman" w:hAnsi="Times New Roman"/>
                <w:sz w:val="28"/>
                <w:szCs w:val="28"/>
              </w:rPr>
              <w:t>59</w:t>
            </w:r>
          </w:p>
        </w:tc>
        <w:tc>
          <w:tcPr>
            <w:tcW w:w="2835" w:type="dxa"/>
            <w:tcBorders>
              <w:top w:val="single" w:sz="4" w:space="0" w:color="000000"/>
              <w:left w:val="single" w:sz="4" w:space="0" w:color="auto"/>
              <w:bottom w:val="single" w:sz="4" w:space="0" w:color="000000"/>
              <w:right w:val="single" w:sz="4" w:space="0" w:color="000000"/>
            </w:tcBorders>
          </w:tcPr>
          <w:p w14:paraId="16CBE313" w14:textId="34789521" w:rsidR="002002E9" w:rsidRPr="00422CB7" w:rsidRDefault="002F0696" w:rsidP="00DB21A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159</w:t>
            </w:r>
          </w:p>
        </w:tc>
      </w:tr>
    </w:tbl>
    <w:p w14:paraId="09DBFEE7" w14:textId="77777777" w:rsidR="00897C29" w:rsidRPr="00422CB7" w:rsidRDefault="00897C29" w:rsidP="00DB21A8">
      <w:pPr>
        <w:spacing w:after="0" w:line="240" w:lineRule="auto"/>
        <w:jc w:val="center"/>
        <w:rPr>
          <w:rFonts w:ascii="Times New Roman" w:eastAsia="Times New Roman" w:hAnsi="Times New Roman"/>
          <w:sz w:val="28"/>
          <w:szCs w:val="28"/>
        </w:rPr>
      </w:pPr>
    </w:p>
    <w:p w14:paraId="57CE9EF6" w14:textId="77777777" w:rsidR="00897C29" w:rsidRPr="00422CB7" w:rsidRDefault="00897C29" w:rsidP="00DB21A8">
      <w:pPr>
        <w:spacing w:after="0" w:line="240" w:lineRule="auto"/>
        <w:jc w:val="both"/>
        <w:rPr>
          <w:rFonts w:ascii="Times New Roman" w:eastAsia="Times New Roman" w:hAnsi="Times New Roman"/>
          <w:i/>
          <w:sz w:val="28"/>
          <w:szCs w:val="28"/>
          <w:u w:val="single"/>
        </w:rPr>
      </w:pPr>
      <w:r w:rsidRPr="00422CB7">
        <w:rPr>
          <w:rFonts w:ascii="Times New Roman" w:eastAsia="Times New Roman" w:hAnsi="Times New Roman"/>
          <w:i/>
          <w:sz w:val="28"/>
          <w:szCs w:val="28"/>
          <w:u w:val="single"/>
        </w:rPr>
        <w:t>криминални: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2835"/>
        <w:gridCol w:w="2835"/>
      </w:tblGrid>
      <w:tr w:rsidR="002002E9" w:rsidRPr="00422CB7" w14:paraId="237C836D" w14:textId="77777777" w:rsidTr="002002E9">
        <w:trPr>
          <w:jc w:val="center"/>
        </w:trPr>
        <w:tc>
          <w:tcPr>
            <w:tcW w:w="2835"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2CB5224E" w14:textId="140CFAE1" w:rsidR="002002E9" w:rsidRPr="00422CB7" w:rsidRDefault="002002E9" w:rsidP="002F0696">
            <w:pPr>
              <w:spacing w:after="0" w:line="240" w:lineRule="auto"/>
              <w:jc w:val="center"/>
              <w:rPr>
                <w:rFonts w:ascii="Times New Roman" w:eastAsia="Times New Roman" w:hAnsi="Times New Roman"/>
                <w:b/>
                <w:bCs/>
                <w:sz w:val="28"/>
                <w:szCs w:val="28"/>
              </w:rPr>
            </w:pPr>
            <w:r w:rsidRPr="00422CB7">
              <w:rPr>
                <w:rFonts w:ascii="Times New Roman" w:eastAsia="Times New Roman" w:hAnsi="Times New Roman"/>
                <w:b/>
                <w:bCs/>
                <w:sz w:val="28"/>
                <w:szCs w:val="28"/>
              </w:rPr>
              <w:t>20</w:t>
            </w:r>
            <w:r w:rsidR="00407B7F" w:rsidRPr="00422CB7">
              <w:rPr>
                <w:rFonts w:ascii="Times New Roman" w:eastAsia="Times New Roman" w:hAnsi="Times New Roman"/>
                <w:b/>
                <w:bCs/>
                <w:sz w:val="28"/>
                <w:szCs w:val="28"/>
              </w:rPr>
              <w:t>2</w:t>
            </w:r>
            <w:r w:rsidR="002F0696">
              <w:rPr>
                <w:rFonts w:ascii="Times New Roman" w:eastAsia="Times New Roman" w:hAnsi="Times New Roman"/>
                <w:b/>
                <w:bCs/>
                <w:sz w:val="28"/>
                <w:szCs w:val="28"/>
              </w:rPr>
              <w:t>2</w:t>
            </w:r>
            <w:r w:rsidRPr="00422CB7">
              <w:rPr>
                <w:rFonts w:ascii="Times New Roman" w:eastAsia="Times New Roman" w:hAnsi="Times New Roman"/>
                <w:b/>
                <w:bCs/>
                <w:sz w:val="28"/>
                <w:szCs w:val="28"/>
              </w:rPr>
              <w:t xml:space="preserve"> г.</w:t>
            </w:r>
          </w:p>
        </w:tc>
        <w:tc>
          <w:tcPr>
            <w:tcW w:w="2835" w:type="dxa"/>
            <w:tcBorders>
              <w:top w:val="single" w:sz="4" w:space="0" w:color="000000"/>
              <w:left w:val="single" w:sz="4" w:space="0" w:color="auto"/>
              <w:bottom w:val="single" w:sz="4" w:space="0" w:color="000000"/>
              <w:right w:val="single" w:sz="4" w:space="0" w:color="auto"/>
            </w:tcBorders>
          </w:tcPr>
          <w:p w14:paraId="3BF1C322" w14:textId="362EE8D2" w:rsidR="002002E9" w:rsidRPr="00422CB7" w:rsidRDefault="002002E9" w:rsidP="002F0696">
            <w:pPr>
              <w:spacing w:after="0" w:line="240" w:lineRule="auto"/>
              <w:jc w:val="center"/>
              <w:rPr>
                <w:rFonts w:ascii="Times New Roman" w:eastAsia="Times New Roman" w:hAnsi="Times New Roman"/>
                <w:bCs/>
                <w:sz w:val="28"/>
                <w:szCs w:val="28"/>
              </w:rPr>
            </w:pPr>
            <w:r w:rsidRPr="00422CB7">
              <w:rPr>
                <w:rFonts w:ascii="Times New Roman" w:eastAsia="Times New Roman" w:hAnsi="Times New Roman"/>
                <w:bCs/>
                <w:sz w:val="28"/>
                <w:szCs w:val="28"/>
              </w:rPr>
              <w:t>20</w:t>
            </w:r>
            <w:r w:rsidR="00422CB7" w:rsidRPr="00422CB7">
              <w:rPr>
                <w:rFonts w:ascii="Times New Roman" w:eastAsia="Times New Roman" w:hAnsi="Times New Roman"/>
                <w:bCs/>
                <w:sz w:val="28"/>
                <w:szCs w:val="28"/>
              </w:rPr>
              <w:t>2</w:t>
            </w:r>
            <w:r w:rsidR="002F0696">
              <w:rPr>
                <w:rFonts w:ascii="Times New Roman" w:eastAsia="Times New Roman" w:hAnsi="Times New Roman"/>
                <w:bCs/>
                <w:sz w:val="28"/>
                <w:szCs w:val="28"/>
              </w:rPr>
              <w:t>1</w:t>
            </w:r>
            <w:r w:rsidRPr="00422CB7">
              <w:rPr>
                <w:rFonts w:ascii="Times New Roman" w:eastAsia="Times New Roman" w:hAnsi="Times New Roman"/>
                <w:bCs/>
                <w:sz w:val="28"/>
                <w:szCs w:val="28"/>
              </w:rPr>
              <w:t xml:space="preserve"> г.</w:t>
            </w:r>
          </w:p>
        </w:tc>
        <w:tc>
          <w:tcPr>
            <w:tcW w:w="2835" w:type="dxa"/>
            <w:tcBorders>
              <w:top w:val="single" w:sz="4" w:space="0" w:color="000000"/>
              <w:left w:val="single" w:sz="4" w:space="0" w:color="auto"/>
              <w:bottom w:val="single" w:sz="4" w:space="0" w:color="000000"/>
              <w:right w:val="single" w:sz="4" w:space="0" w:color="000000"/>
            </w:tcBorders>
          </w:tcPr>
          <w:p w14:paraId="44D7BD0D" w14:textId="6FCF4079" w:rsidR="002002E9" w:rsidRPr="00422CB7" w:rsidRDefault="002002E9" w:rsidP="002F0696">
            <w:pPr>
              <w:spacing w:after="0" w:line="240" w:lineRule="auto"/>
              <w:jc w:val="center"/>
              <w:rPr>
                <w:rFonts w:ascii="Times New Roman" w:eastAsia="Times New Roman" w:hAnsi="Times New Roman"/>
                <w:bCs/>
                <w:sz w:val="28"/>
                <w:szCs w:val="28"/>
              </w:rPr>
            </w:pPr>
            <w:r w:rsidRPr="00422CB7">
              <w:rPr>
                <w:rFonts w:ascii="Times New Roman" w:eastAsia="Times New Roman" w:hAnsi="Times New Roman"/>
                <w:bCs/>
                <w:sz w:val="28"/>
                <w:szCs w:val="28"/>
              </w:rPr>
              <w:t>20</w:t>
            </w:r>
            <w:r w:rsidR="002F0696">
              <w:rPr>
                <w:rFonts w:ascii="Times New Roman" w:eastAsia="Times New Roman" w:hAnsi="Times New Roman"/>
                <w:bCs/>
                <w:sz w:val="28"/>
                <w:szCs w:val="28"/>
              </w:rPr>
              <w:t>20</w:t>
            </w:r>
            <w:r w:rsidRPr="00422CB7">
              <w:rPr>
                <w:rFonts w:ascii="Times New Roman" w:eastAsia="Times New Roman" w:hAnsi="Times New Roman"/>
                <w:bCs/>
                <w:sz w:val="28"/>
                <w:szCs w:val="28"/>
              </w:rPr>
              <w:t xml:space="preserve"> г.</w:t>
            </w:r>
          </w:p>
        </w:tc>
      </w:tr>
      <w:tr w:rsidR="002002E9" w:rsidRPr="00422CB7" w14:paraId="707E9C43" w14:textId="77777777" w:rsidTr="002002E9">
        <w:trPr>
          <w:jc w:val="center"/>
        </w:trPr>
        <w:tc>
          <w:tcPr>
            <w:tcW w:w="2835"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7ACAAF0E" w14:textId="30EEC333" w:rsidR="002002E9" w:rsidRPr="00422CB7" w:rsidRDefault="002F0696" w:rsidP="002F069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66</w:t>
            </w:r>
          </w:p>
        </w:tc>
        <w:tc>
          <w:tcPr>
            <w:tcW w:w="2835" w:type="dxa"/>
            <w:tcBorders>
              <w:top w:val="single" w:sz="4" w:space="0" w:color="000000"/>
              <w:left w:val="single" w:sz="4" w:space="0" w:color="auto"/>
              <w:bottom w:val="single" w:sz="4" w:space="0" w:color="000000"/>
              <w:right w:val="single" w:sz="4" w:space="0" w:color="auto"/>
            </w:tcBorders>
          </w:tcPr>
          <w:p w14:paraId="4CAAB0B5" w14:textId="1F1FDF63" w:rsidR="002002E9" w:rsidRPr="00422CB7" w:rsidRDefault="002F0696" w:rsidP="00DB21A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58</w:t>
            </w:r>
          </w:p>
        </w:tc>
        <w:tc>
          <w:tcPr>
            <w:tcW w:w="2835" w:type="dxa"/>
            <w:tcBorders>
              <w:top w:val="single" w:sz="4" w:space="0" w:color="000000"/>
              <w:left w:val="single" w:sz="4" w:space="0" w:color="auto"/>
              <w:bottom w:val="single" w:sz="4" w:space="0" w:color="000000"/>
              <w:right w:val="single" w:sz="4" w:space="0" w:color="000000"/>
            </w:tcBorders>
          </w:tcPr>
          <w:p w14:paraId="4B49FD13" w14:textId="7D6556BC" w:rsidR="002002E9" w:rsidRPr="00422CB7" w:rsidRDefault="00422CB7" w:rsidP="00DB21A8">
            <w:pPr>
              <w:spacing w:after="0" w:line="240" w:lineRule="auto"/>
              <w:jc w:val="center"/>
              <w:rPr>
                <w:rFonts w:ascii="Times New Roman" w:eastAsia="Times New Roman" w:hAnsi="Times New Roman"/>
                <w:sz w:val="28"/>
                <w:szCs w:val="28"/>
              </w:rPr>
            </w:pPr>
            <w:r w:rsidRPr="00422CB7">
              <w:rPr>
                <w:rFonts w:ascii="Times New Roman" w:eastAsia="Times New Roman" w:hAnsi="Times New Roman"/>
                <w:sz w:val="28"/>
                <w:szCs w:val="28"/>
              </w:rPr>
              <w:t>65</w:t>
            </w:r>
            <w:r w:rsidR="002002E9" w:rsidRPr="00422CB7">
              <w:rPr>
                <w:rFonts w:ascii="Times New Roman" w:eastAsia="Times New Roman" w:hAnsi="Times New Roman"/>
                <w:sz w:val="28"/>
                <w:szCs w:val="28"/>
              </w:rPr>
              <w:t xml:space="preserve"> </w:t>
            </w:r>
          </w:p>
        </w:tc>
      </w:tr>
    </w:tbl>
    <w:p w14:paraId="443DB8CA" w14:textId="77777777" w:rsidR="00897C29" w:rsidRPr="00422CB7" w:rsidRDefault="00897C29" w:rsidP="00DB21A8">
      <w:pPr>
        <w:spacing w:after="0" w:line="240" w:lineRule="auto"/>
        <w:jc w:val="both"/>
        <w:rPr>
          <w:rFonts w:ascii="Times New Roman" w:eastAsia="Times New Roman" w:hAnsi="Times New Roman"/>
          <w:sz w:val="28"/>
          <w:szCs w:val="28"/>
        </w:rPr>
      </w:pPr>
      <w:r w:rsidRPr="00422CB7">
        <w:rPr>
          <w:rFonts w:ascii="Times New Roman" w:eastAsia="Times New Roman" w:hAnsi="Times New Roman"/>
          <w:sz w:val="28"/>
          <w:szCs w:val="28"/>
        </w:rPr>
        <w:t xml:space="preserve"> </w:t>
      </w:r>
    </w:p>
    <w:p w14:paraId="0EE7005E" w14:textId="77777777" w:rsidR="00897C29" w:rsidRPr="00422CB7" w:rsidRDefault="00897C29" w:rsidP="00DB21A8">
      <w:pPr>
        <w:spacing w:after="0" w:line="240" w:lineRule="auto"/>
        <w:jc w:val="both"/>
        <w:rPr>
          <w:rFonts w:ascii="Times New Roman" w:eastAsia="Times New Roman" w:hAnsi="Times New Roman"/>
          <w:i/>
          <w:sz w:val="28"/>
          <w:szCs w:val="28"/>
          <w:u w:val="single"/>
        </w:rPr>
      </w:pPr>
      <w:r w:rsidRPr="00422CB7">
        <w:rPr>
          <w:rFonts w:ascii="Times New Roman" w:eastAsia="Times New Roman" w:hAnsi="Times New Roman"/>
          <w:i/>
          <w:sz w:val="28"/>
          <w:szCs w:val="28"/>
          <w:u w:val="single"/>
        </w:rPr>
        <w:t xml:space="preserve">икономически: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2835"/>
        <w:gridCol w:w="2835"/>
      </w:tblGrid>
      <w:tr w:rsidR="002002E9" w:rsidRPr="008B000A" w14:paraId="3CA2B640" w14:textId="77777777" w:rsidTr="002002E9">
        <w:trPr>
          <w:jc w:val="center"/>
        </w:trPr>
        <w:tc>
          <w:tcPr>
            <w:tcW w:w="2835"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4F05C79A" w14:textId="297576EB" w:rsidR="002002E9" w:rsidRPr="00422CB7" w:rsidRDefault="002F0696" w:rsidP="00422CB7">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2022</w:t>
            </w:r>
            <w:r w:rsidR="002002E9" w:rsidRPr="00422CB7">
              <w:rPr>
                <w:rFonts w:ascii="Times New Roman" w:eastAsia="Times New Roman" w:hAnsi="Times New Roman"/>
                <w:b/>
                <w:bCs/>
                <w:sz w:val="28"/>
                <w:szCs w:val="28"/>
              </w:rPr>
              <w:t xml:space="preserve"> г.</w:t>
            </w:r>
          </w:p>
        </w:tc>
        <w:tc>
          <w:tcPr>
            <w:tcW w:w="2835" w:type="dxa"/>
            <w:tcBorders>
              <w:top w:val="single" w:sz="4" w:space="0" w:color="000000"/>
              <w:left w:val="single" w:sz="4" w:space="0" w:color="auto"/>
              <w:bottom w:val="single" w:sz="4" w:space="0" w:color="000000"/>
              <w:right w:val="single" w:sz="4" w:space="0" w:color="auto"/>
            </w:tcBorders>
          </w:tcPr>
          <w:p w14:paraId="2BC7344A" w14:textId="6BAB3055" w:rsidR="002002E9" w:rsidRPr="00422CB7" w:rsidRDefault="002002E9" w:rsidP="002F0696">
            <w:pPr>
              <w:tabs>
                <w:tab w:val="center" w:pos="1309"/>
              </w:tabs>
              <w:spacing w:after="0" w:line="240" w:lineRule="auto"/>
              <w:jc w:val="center"/>
              <w:rPr>
                <w:rFonts w:ascii="Times New Roman" w:eastAsia="Times New Roman" w:hAnsi="Times New Roman"/>
                <w:bCs/>
                <w:sz w:val="28"/>
                <w:szCs w:val="28"/>
              </w:rPr>
            </w:pPr>
            <w:r w:rsidRPr="00422CB7">
              <w:rPr>
                <w:rFonts w:ascii="Times New Roman" w:eastAsia="Times New Roman" w:hAnsi="Times New Roman"/>
                <w:bCs/>
                <w:sz w:val="28"/>
                <w:szCs w:val="28"/>
              </w:rPr>
              <w:t>20</w:t>
            </w:r>
            <w:r w:rsidR="00422CB7" w:rsidRPr="00422CB7">
              <w:rPr>
                <w:rFonts w:ascii="Times New Roman" w:eastAsia="Times New Roman" w:hAnsi="Times New Roman"/>
                <w:bCs/>
                <w:sz w:val="28"/>
                <w:szCs w:val="28"/>
              </w:rPr>
              <w:t>2</w:t>
            </w:r>
            <w:r w:rsidR="002F0696">
              <w:rPr>
                <w:rFonts w:ascii="Times New Roman" w:eastAsia="Times New Roman" w:hAnsi="Times New Roman"/>
                <w:bCs/>
                <w:sz w:val="28"/>
                <w:szCs w:val="28"/>
              </w:rPr>
              <w:t>1</w:t>
            </w:r>
            <w:r w:rsidRPr="00422CB7">
              <w:rPr>
                <w:rFonts w:ascii="Times New Roman" w:eastAsia="Times New Roman" w:hAnsi="Times New Roman"/>
                <w:bCs/>
                <w:sz w:val="28"/>
                <w:szCs w:val="28"/>
              </w:rPr>
              <w:t xml:space="preserve"> г.</w:t>
            </w:r>
          </w:p>
        </w:tc>
        <w:tc>
          <w:tcPr>
            <w:tcW w:w="2835" w:type="dxa"/>
            <w:tcBorders>
              <w:top w:val="single" w:sz="4" w:space="0" w:color="000000"/>
              <w:left w:val="single" w:sz="4" w:space="0" w:color="auto"/>
              <w:bottom w:val="single" w:sz="4" w:space="0" w:color="000000"/>
              <w:right w:val="single" w:sz="4" w:space="0" w:color="000000"/>
            </w:tcBorders>
          </w:tcPr>
          <w:p w14:paraId="142DD074" w14:textId="5048AD55" w:rsidR="002002E9" w:rsidRPr="00422CB7" w:rsidRDefault="00407B7F" w:rsidP="002F0696">
            <w:pPr>
              <w:spacing w:after="0" w:line="240" w:lineRule="auto"/>
              <w:jc w:val="center"/>
              <w:rPr>
                <w:rFonts w:ascii="Times New Roman" w:eastAsia="Times New Roman" w:hAnsi="Times New Roman"/>
                <w:bCs/>
                <w:sz w:val="28"/>
                <w:szCs w:val="28"/>
              </w:rPr>
            </w:pPr>
            <w:r w:rsidRPr="00422CB7">
              <w:rPr>
                <w:rFonts w:ascii="Times New Roman" w:eastAsia="Times New Roman" w:hAnsi="Times New Roman"/>
                <w:bCs/>
                <w:sz w:val="28"/>
                <w:szCs w:val="28"/>
              </w:rPr>
              <w:t>20</w:t>
            </w:r>
            <w:r w:rsidR="002F0696">
              <w:rPr>
                <w:rFonts w:ascii="Times New Roman" w:eastAsia="Times New Roman" w:hAnsi="Times New Roman"/>
                <w:bCs/>
                <w:sz w:val="28"/>
                <w:szCs w:val="28"/>
              </w:rPr>
              <w:t>20</w:t>
            </w:r>
            <w:r w:rsidR="002002E9" w:rsidRPr="00422CB7">
              <w:rPr>
                <w:rFonts w:ascii="Times New Roman" w:eastAsia="Times New Roman" w:hAnsi="Times New Roman"/>
                <w:bCs/>
                <w:sz w:val="28"/>
                <w:szCs w:val="28"/>
              </w:rPr>
              <w:t xml:space="preserve"> г.</w:t>
            </w:r>
          </w:p>
        </w:tc>
      </w:tr>
      <w:tr w:rsidR="002002E9" w:rsidRPr="008B000A" w14:paraId="23FADA9C" w14:textId="77777777" w:rsidTr="002002E9">
        <w:trPr>
          <w:jc w:val="center"/>
        </w:trPr>
        <w:tc>
          <w:tcPr>
            <w:tcW w:w="2835"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4936935C" w14:textId="1B83ACA9" w:rsidR="002002E9" w:rsidRPr="00422CB7" w:rsidRDefault="002F0696" w:rsidP="002F069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79</w:t>
            </w:r>
          </w:p>
        </w:tc>
        <w:tc>
          <w:tcPr>
            <w:tcW w:w="2835" w:type="dxa"/>
            <w:tcBorders>
              <w:top w:val="single" w:sz="4" w:space="0" w:color="000000"/>
              <w:left w:val="single" w:sz="4" w:space="0" w:color="auto"/>
              <w:bottom w:val="single" w:sz="4" w:space="0" w:color="000000"/>
              <w:right w:val="single" w:sz="4" w:space="0" w:color="auto"/>
            </w:tcBorders>
          </w:tcPr>
          <w:p w14:paraId="4DC00FA8" w14:textId="0121C8F2" w:rsidR="002002E9" w:rsidRPr="00422CB7" w:rsidRDefault="002F0696" w:rsidP="00422CB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83</w:t>
            </w:r>
          </w:p>
        </w:tc>
        <w:tc>
          <w:tcPr>
            <w:tcW w:w="2835" w:type="dxa"/>
            <w:tcBorders>
              <w:top w:val="single" w:sz="4" w:space="0" w:color="000000"/>
              <w:left w:val="single" w:sz="4" w:space="0" w:color="auto"/>
              <w:bottom w:val="single" w:sz="4" w:space="0" w:color="000000"/>
              <w:right w:val="single" w:sz="4" w:space="0" w:color="000000"/>
            </w:tcBorders>
          </w:tcPr>
          <w:p w14:paraId="5C2574B3" w14:textId="01A94CBB" w:rsidR="002002E9" w:rsidRPr="00422CB7" w:rsidRDefault="002F0696" w:rsidP="00DB21A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90</w:t>
            </w:r>
          </w:p>
        </w:tc>
      </w:tr>
    </w:tbl>
    <w:p w14:paraId="69A15581" w14:textId="77777777" w:rsidR="00897C29" w:rsidRPr="008B000A" w:rsidRDefault="00897C29" w:rsidP="00DB21A8">
      <w:pPr>
        <w:spacing w:after="0" w:line="240" w:lineRule="auto"/>
        <w:jc w:val="both"/>
        <w:rPr>
          <w:rFonts w:ascii="Times New Roman" w:eastAsia="Times New Roman" w:hAnsi="Times New Roman"/>
          <w:sz w:val="28"/>
          <w:szCs w:val="28"/>
          <w:highlight w:val="green"/>
        </w:rPr>
      </w:pPr>
    </w:p>
    <w:p w14:paraId="6D5A36F6" w14:textId="77777777" w:rsidR="00897C29" w:rsidRPr="00422CB7" w:rsidRDefault="00897C29" w:rsidP="00DB21A8">
      <w:pPr>
        <w:spacing w:after="0" w:line="240" w:lineRule="auto"/>
        <w:jc w:val="both"/>
        <w:rPr>
          <w:rFonts w:ascii="Times New Roman" w:eastAsia="Times New Roman" w:hAnsi="Times New Roman"/>
          <w:i/>
          <w:sz w:val="28"/>
          <w:szCs w:val="28"/>
          <w:u w:val="single"/>
        </w:rPr>
      </w:pPr>
      <w:r w:rsidRPr="00422CB7">
        <w:rPr>
          <w:rFonts w:ascii="Times New Roman" w:eastAsia="Times New Roman" w:hAnsi="Times New Roman"/>
          <w:i/>
          <w:sz w:val="28"/>
          <w:szCs w:val="28"/>
          <w:u w:val="single"/>
        </w:rPr>
        <w:t xml:space="preserve"> транспортни: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2835"/>
        <w:gridCol w:w="2835"/>
      </w:tblGrid>
      <w:tr w:rsidR="002002E9" w:rsidRPr="00422CB7" w14:paraId="417235C9" w14:textId="77777777" w:rsidTr="002002E9">
        <w:trPr>
          <w:jc w:val="center"/>
        </w:trPr>
        <w:tc>
          <w:tcPr>
            <w:tcW w:w="2835"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38FB7A4C" w14:textId="414ED60A" w:rsidR="002002E9" w:rsidRPr="00422CB7" w:rsidRDefault="002002E9" w:rsidP="002F0696">
            <w:pPr>
              <w:spacing w:after="0" w:line="240" w:lineRule="auto"/>
              <w:jc w:val="center"/>
              <w:rPr>
                <w:rFonts w:ascii="Times New Roman" w:eastAsia="Times New Roman" w:hAnsi="Times New Roman"/>
                <w:b/>
                <w:bCs/>
                <w:sz w:val="28"/>
                <w:szCs w:val="28"/>
              </w:rPr>
            </w:pPr>
            <w:r w:rsidRPr="00422CB7">
              <w:rPr>
                <w:rFonts w:ascii="Times New Roman" w:eastAsia="Times New Roman" w:hAnsi="Times New Roman"/>
                <w:b/>
                <w:bCs/>
                <w:sz w:val="28"/>
                <w:szCs w:val="28"/>
              </w:rPr>
              <w:t>20</w:t>
            </w:r>
            <w:r w:rsidR="008267BA" w:rsidRPr="00422CB7">
              <w:rPr>
                <w:rFonts w:ascii="Times New Roman" w:eastAsia="Times New Roman" w:hAnsi="Times New Roman"/>
                <w:b/>
                <w:bCs/>
                <w:sz w:val="28"/>
                <w:szCs w:val="28"/>
              </w:rPr>
              <w:t>2</w:t>
            </w:r>
            <w:r w:rsidR="002F0696">
              <w:rPr>
                <w:rFonts w:ascii="Times New Roman" w:eastAsia="Times New Roman" w:hAnsi="Times New Roman"/>
                <w:b/>
                <w:bCs/>
                <w:sz w:val="28"/>
                <w:szCs w:val="28"/>
              </w:rPr>
              <w:t>2</w:t>
            </w:r>
            <w:r w:rsidRPr="00422CB7">
              <w:rPr>
                <w:rFonts w:ascii="Times New Roman" w:eastAsia="Times New Roman" w:hAnsi="Times New Roman"/>
                <w:b/>
                <w:bCs/>
                <w:sz w:val="28"/>
                <w:szCs w:val="28"/>
              </w:rPr>
              <w:t xml:space="preserve"> г.</w:t>
            </w:r>
          </w:p>
        </w:tc>
        <w:tc>
          <w:tcPr>
            <w:tcW w:w="2835" w:type="dxa"/>
            <w:tcBorders>
              <w:top w:val="single" w:sz="4" w:space="0" w:color="000000"/>
              <w:left w:val="single" w:sz="4" w:space="0" w:color="auto"/>
              <w:bottom w:val="single" w:sz="4" w:space="0" w:color="000000"/>
              <w:right w:val="single" w:sz="4" w:space="0" w:color="auto"/>
            </w:tcBorders>
          </w:tcPr>
          <w:p w14:paraId="228F8410" w14:textId="324792F8" w:rsidR="002002E9" w:rsidRPr="00422CB7" w:rsidRDefault="002002E9" w:rsidP="002F0696">
            <w:pPr>
              <w:spacing w:after="0" w:line="240" w:lineRule="auto"/>
              <w:jc w:val="center"/>
              <w:rPr>
                <w:rFonts w:ascii="Times New Roman" w:eastAsia="Times New Roman" w:hAnsi="Times New Roman"/>
                <w:bCs/>
                <w:sz w:val="28"/>
                <w:szCs w:val="28"/>
              </w:rPr>
            </w:pPr>
            <w:r w:rsidRPr="00422CB7">
              <w:rPr>
                <w:rFonts w:ascii="Times New Roman" w:eastAsia="Times New Roman" w:hAnsi="Times New Roman"/>
                <w:bCs/>
                <w:sz w:val="28"/>
                <w:szCs w:val="28"/>
              </w:rPr>
              <w:t>20</w:t>
            </w:r>
            <w:r w:rsidR="00422CB7" w:rsidRPr="00422CB7">
              <w:rPr>
                <w:rFonts w:ascii="Times New Roman" w:eastAsia="Times New Roman" w:hAnsi="Times New Roman"/>
                <w:bCs/>
                <w:sz w:val="28"/>
                <w:szCs w:val="28"/>
              </w:rPr>
              <w:t>2</w:t>
            </w:r>
            <w:r w:rsidR="002F0696">
              <w:rPr>
                <w:rFonts w:ascii="Times New Roman" w:eastAsia="Times New Roman" w:hAnsi="Times New Roman"/>
                <w:bCs/>
                <w:sz w:val="28"/>
                <w:szCs w:val="28"/>
              </w:rPr>
              <w:t>1</w:t>
            </w:r>
            <w:r w:rsidRPr="00422CB7">
              <w:rPr>
                <w:rFonts w:ascii="Times New Roman" w:eastAsia="Times New Roman" w:hAnsi="Times New Roman"/>
                <w:bCs/>
                <w:sz w:val="28"/>
                <w:szCs w:val="28"/>
              </w:rPr>
              <w:t xml:space="preserve"> г.</w:t>
            </w:r>
          </w:p>
        </w:tc>
        <w:tc>
          <w:tcPr>
            <w:tcW w:w="2835" w:type="dxa"/>
            <w:tcBorders>
              <w:top w:val="single" w:sz="4" w:space="0" w:color="000000"/>
              <w:left w:val="single" w:sz="4" w:space="0" w:color="auto"/>
              <w:bottom w:val="single" w:sz="4" w:space="0" w:color="000000"/>
              <w:right w:val="single" w:sz="4" w:space="0" w:color="000000"/>
            </w:tcBorders>
          </w:tcPr>
          <w:p w14:paraId="76CA141B" w14:textId="4942C0DF" w:rsidR="002002E9" w:rsidRPr="00422CB7" w:rsidRDefault="002002E9" w:rsidP="002F0696">
            <w:pPr>
              <w:spacing w:after="0" w:line="240" w:lineRule="auto"/>
              <w:jc w:val="center"/>
              <w:rPr>
                <w:rFonts w:ascii="Times New Roman" w:eastAsia="Times New Roman" w:hAnsi="Times New Roman"/>
                <w:bCs/>
                <w:sz w:val="28"/>
                <w:szCs w:val="28"/>
              </w:rPr>
            </w:pPr>
            <w:r w:rsidRPr="00422CB7">
              <w:rPr>
                <w:rFonts w:ascii="Times New Roman" w:eastAsia="Times New Roman" w:hAnsi="Times New Roman"/>
                <w:bCs/>
                <w:sz w:val="28"/>
                <w:szCs w:val="28"/>
              </w:rPr>
              <w:t>20</w:t>
            </w:r>
            <w:r w:rsidR="002F0696">
              <w:rPr>
                <w:rFonts w:ascii="Times New Roman" w:eastAsia="Times New Roman" w:hAnsi="Times New Roman"/>
                <w:bCs/>
                <w:sz w:val="28"/>
                <w:szCs w:val="28"/>
              </w:rPr>
              <w:t>20</w:t>
            </w:r>
            <w:r w:rsidRPr="00422CB7">
              <w:rPr>
                <w:rFonts w:ascii="Times New Roman" w:eastAsia="Times New Roman" w:hAnsi="Times New Roman"/>
                <w:bCs/>
                <w:sz w:val="28"/>
                <w:szCs w:val="28"/>
              </w:rPr>
              <w:t xml:space="preserve"> г.</w:t>
            </w:r>
          </w:p>
        </w:tc>
      </w:tr>
      <w:tr w:rsidR="002002E9" w:rsidRPr="00422CB7" w14:paraId="4A1EB333" w14:textId="77777777" w:rsidTr="002002E9">
        <w:trPr>
          <w:jc w:val="center"/>
        </w:trPr>
        <w:tc>
          <w:tcPr>
            <w:tcW w:w="2835"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5586421A" w14:textId="2F2348E3" w:rsidR="002002E9" w:rsidRPr="00422CB7" w:rsidRDefault="00422CB7" w:rsidP="00DB21A8">
            <w:pPr>
              <w:spacing w:after="0" w:line="240" w:lineRule="auto"/>
              <w:jc w:val="center"/>
              <w:rPr>
                <w:rFonts w:ascii="Times New Roman" w:eastAsia="Times New Roman" w:hAnsi="Times New Roman"/>
                <w:b/>
                <w:sz w:val="28"/>
                <w:szCs w:val="28"/>
              </w:rPr>
            </w:pPr>
            <w:r w:rsidRPr="00422CB7">
              <w:rPr>
                <w:rFonts w:ascii="Times New Roman" w:eastAsia="Times New Roman" w:hAnsi="Times New Roman"/>
                <w:b/>
                <w:sz w:val="28"/>
                <w:szCs w:val="28"/>
              </w:rPr>
              <w:t>3</w:t>
            </w:r>
          </w:p>
        </w:tc>
        <w:tc>
          <w:tcPr>
            <w:tcW w:w="2835" w:type="dxa"/>
            <w:tcBorders>
              <w:top w:val="single" w:sz="4" w:space="0" w:color="000000"/>
              <w:left w:val="single" w:sz="4" w:space="0" w:color="auto"/>
              <w:bottom w:val="single" w:sz="4" w:space="0" w:color="000000"/>
              <w:right w:val="single" w:sz="4" w:space="0" w:color="auto"/>
            </w:tcBorders>
          </w:tcPr>
          <w:p w14:paraId="1AA2B05F" w14:textId="64CA218C" w:rsidR="002002E9" w:rsidRPr="00422CB7" w:rsidRDefault="002F0696" w:rsidP="002F069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2835" w:type="dxa"/>
            <w:tcBorders>
              <w:top w:val="single" w:sz="4" w:space="0" w:color="000000"/>
              <w:left w:val="single" w:sz="4" w:space="0" w:color="auto"/>
              <w:bottom w:val="single" w:sz="4" w:space="0" w:color="000000"/>
              <w:right w:val="single" w:sz="4" w:space="0" w:color="000000"/>
            </w:tcBorders>
          </w:tcPr>
          <w:p w14:paraId="6E54E694" w14:textId="7CD739B3" w:rsidR="002002E9" w:rsidRPr="00422CB7" w:rsidRDefault="002F0696" w:rsidP="002F069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r w:rsidR="002002E9" w:rsidRPr="00422CB7">
              <w:rPr>
                <w:rFonts w:ascii="Times New Roman" w:eastAsia="Times New Roman" w:hAnsi="Times New Roman"/>
                <w:sz w:val="28"/>
                <w:szCs w:val="28"/>
              </w:rPr>
              <w:t xml:space="preserve"> </w:t>
            </w:r>
          </w:p>
        </w:tc>
      </w:tr>
    </w:tbl>
    <w:p w14:paraId="16CD9A0D" w14:textId="77777777" w:rsidR="00897C29" w:rsidRPr="00422CB7" w:rsidRDefault="00897C29" w:rsidP="00DB21A8">
      <w:pPr>
        <w:spacing w:after="0" w:line="240" w:lineRule="auto"/>
        <w:jc w:val="center"/>
        <w:rPr>
          <w:rFonts w:ascii="Times New Roman" w:eastAsia="Times New Roman" w:hAnsi="Times New Roman"/>
          <w:sz w:val="28"/>
          <w:szCs w:val="28"/>
        </w:rPr>
      </w:pPr>
    </w:p>
    <w:p w14:paraId="689B9520" w14:textId="038E3B03" w:rsidR="00897C29" w:rsidRPr="008B000A" w:rsidRDefault="00897C29" w:rsidP="00DB21A8">
      <w:pPr>
        <w:spacing w:after="0" w:line="240" w:lineRule="auto"/>
        <w:ind w:firstLine="709"/>
        <w:jc w:val="both"/>
        <w:rPr>
          <w:rFonts w:ascii="Times New Roman" w:hAnsi="Times New Roman"/>
          <w:sz w:val="28"/>
          <w:szCs w:val="28"/>
          <w:highlight w:val="green"/>
        </w:rPr>
      </w:pPr>
      <w:r w:rsidRPr="0002264C">
        <w:rPr>
          <w:rFonts w:ascii="Times New Roman" w:hAnsi="Times New Roman"/>
          <w:sz w:val="28"/>
          <w:szCs w:val="28"/>
        </w:rPr>
        <w:t xml:space="preserve">От съпоставката с предходните периоди се установява </w:t>
      </w:r>
      <w:r w:rsidR="002F0696">
        <w:rPr>
          <w:rFonts w:ascii="Times New Roman" w:hAnsi="Times New Roman"/>
          <w:sz w:val="28"/>
          <w:szCs w:val="28"/>
        </w:rPr>
        <w:t xml:space="preserve">увеличение </w:t>
      </w:r>
      <w:r w:rsidRPr="0002264C">
        <w:rPr>
          <w:rFonts w:ascii="Times New Roman" w:hAnsi="Times New Roman"/>
          <w:sz w:val="28"/>
          <w:szCs w:val="28"/>
        </w:rPr>
        <w:t xml:space="preserve">на разследваните досъдебни производства спрямо </w:t>
      </w:r>
      <w:r w:rsidR="00E92F8A" w:rsidRPr="0002264C">
        <w:rPr>
          <w:rFonts w:ascii="Times New Roman" w:hAnsi="Times New Roman"/>
          <w:sz w:val="28"/>
          <w:szCs w:val="28"/>
        </w:rPr>
        <w:t>20</w:t>
      </w:r>
      <w:r w:rsidR="0002264C" w:rsidRPr="0002264C">
        <w:rPr>
          <w:rFonts w:ascii="Times New Roman" w:hAnsi="Times New Roman"/>
          <w:sz w:val="28"/>
          <w:szCs w:val="28"/>
        </w:rPr>
        <w:t>2</w:t>
      </w:r>
      <w:r w:rsidR="002F0696">
        <w:rPr>
          <w:rFonts w:ascii="Times New Roman" w:hAnsi="Times New Roman"/>
          <w:sz w:val="28"/>
          <w:szCs w:val="28"/>
        </w:rPr>
        <w:t>1</w:t>
      </w:r>
      <w:r w:rsidR="00E92F8A" w:rsidRPr="0002264C">
        <w:rPr>
          <w:rFonts w:ascii="Times New Roman" w:hAnsi="Times New Roman"/>
          <w:sz w:val="28"/>
          <w:szCs w:val="28"/>
        </w:rPr>
        <w:t xml:space="preserve"> г. с </w:t>
      </w:r>
      <w:r w:rsidR="002F0696">
        <w:rPr>
          <w:rFonts w:ascii="Times New Roman" w:hAnsi="Times New Roman"/>
          <w:sz w:val="28"/>
          <w:szCs w:val="28"/>
        </w:rPr>
        <w:t xml:space="preserve">2,7 </w:t>
      </w:r>
      <w:r w:rsidR="00E92F8A" w:rsidRPr="0002264C">
        <w:rPr>
          <w:rFonts w:ascii="Times New Roman" w:hAnsi="Times New Roman"/>
          <w:sz w:val="28"/>
          <w:szCs w:val="28"/>
        </w:rPr>
        <w:t xml:space="preserve">% и </w:t>
      </w:r>
      <w:r w:rsidR="002F0696" w:rsidRPr="0002264C">
        <w:rPr>
          <w:rFonts w:ascii="Times New Roman" w:hAnsi="Times New Roman"/>
          <w:sz w:val="28"/>
          <w:szCs w:val="28"/>
        </w:rPr>
        <w:t xml:space="preserve">намаление </w:t>
      </w:r>
      <w:r w:rsidR="00E92F8A" w:rsidRPr="0002264C">
        <w:rPr>
          <w:rFonts w:ascii="Times New Roman" w:hAnsi="Times New Roman"/>
          <w:sz w:val="28"/>
          <w:szCs w:val="28"/>
        </w:rPr>
        <w:t xml:space="preserve">спрямо </w:t>
      </w:r>
      <w:r w:rsidRPr="0002264C">
        <w:rPr>
          <w:rFonts w:ascii="Times New Roman" w:hAnsi="Times New Roman"/>
          <w:sz w:val="28"/>
          <w:szCs w:val="28"/>
        </w:rPr>
        <w:t>20</w:t>
      </w:r>
      <w:r w:rsidR="002F0696">
        <w:rPr>
          <w:rFonts w:ascii="Times New Roman" w:hAnsi="Times New Roman"/>
          <w:sz w:val="28"/>
          <w:szCs w:val="28"/>
        </w:rPr>
        <w:t>20</w:t>
      </w:r>
      <w:r w:rsidRPr="0002264C">
        <w:rPr>
          <w:rFonts w:ascii="Times New Roman" w:hAnsi="Times New Roman"/>
          <w:sz w:val="28"/>
          <w:szCs w:val="28"/>
        </w:rPr>
        <w:t xml:space="preserve"> г. с </w:t>
      </w:r>
      <w:r w:rsidR="002F0696">
        <w:rPr>
          <w:rFonts w:ascii="Times New Roman" w:hAnsi="Times New Roman"/>
          <w:sz w:val="28"/>
          <w:szCs w:val="28"/>
        </w:rPr>
        <w:t xml:space="preserve">6,9 </w:t>
      </w:r>
      <w:r w:rsidRPr="0002264C">
        <w:rPr>
          <w:rFonts w:ascii="Times New Roman" w:hAnsi="Times New Roman"/>
          <w:sz w:val="28"/>
          <w:szCs w:val="28"/>
        </w:rPr>
        <w:t xml:space="preserve">%. Разследваните в ОСлО </w:t>
      </w:r>
      <w:r w:rsidR="008267BA" w:rsidRPr="0002264C">
        <w:rPr>
          <w:rFonts w:ascii="Times New Roman" w:hAnsi="Times New Roman"/>
          <w:sz w:val="28"/>
          <w:szCs w:val="28"/>
        </w:rPr>
        <w:t>криминални</w:t>
      </w:r>
      <w:r w:rsidRPr="0002264C">
        <w:rPr>
          <w:rFonts w:ascii="Times New Roman" w:hAnsi="Times New Roman"/>
          <w:sz w:val="28"/>
          <w:szCs w:val="28"/>
        </w:rPr>
        <w:t xml:space="preserve"> престъпления </w:t>
      </w:r>
      <w:r w:rsidR="0002264C" w:rsidRPr="0002264C">
        <w:rPr>
          <w:rFonts w:ascii="Times New Roman" w:hAnsi="Times New Roman"/>
          <w:sz w:val="28"/>
          <w:szCs w:val="28"/>
        </w:rPr>
        <w:t xml:space="preserve">са </w:t>
      </w:r>
      <w:r w:rsidR="002F0696">
        <w:rPr>
          <w:rFonts w:ascii="Times New Roman" w:hAnsi="Times New Roman"/>
          <w:sz w:val="28"/>
          <w:szCs w:val="28"/>
        </w:rPr>
        <w:t>се увеличили</w:t>
      </w:r>
      <w:r w:rsidR="0002264C" w:rsidRPr="0002264C">
        <w:rPr>
          <w:rFonts w:ascii="Times New Roman" w:hAnsi="Times New Roman"/>
          <w:sz w:val="28"/>
          <w:szCs w:val="28"/>
        </w:rPr>
        <w:t xml:space="preserve"> </w:t>
      </w:r>
      <w:r w:rsidR="00E92F8A" w:rsidRPr="0002264C">
        <w:rPr>
          <w:rFonts w:ascii="Times New Roman" w:hAnsi="Times New Roman"/>
          <w:sz w:val="28"/>
          <w:szCs w:val="28"/>
        </w:rPr>
        <w:t xml:space="preserve">спрямо </w:t>
      </w:r>
      <w:r w:rsidR="008267BA" w:rsidRPr="0002264C">
        <w:rPr>
          <w:rFonts w:ascii="Times New Roman" w:hAnsi="Times New Roman"/>
          <w:sz w:val="28"/>
          <w:szCs w:val="28"/>
        </w:rPr>
        <w:t>предходн</w:t>
      </w:r>
      <w:r w:rsidR="002F0696">
        <w:rPr>
          <w:rFonts w:ascii="Times New Roman" w:hAnsi="Times New Roman"/>
          <w:sz w:val="28"/>
          <w:szCs w:val="28"/>
        </w:rPr>
        <w:t>ите</w:t>
      </w:r>
      <w:r w:rsidR="008267BA" w:rsidRPr="0002264C">
        <w:rPr>
          <w:rFonts w:ascii="Times New Roman" w:hAnsi="Times New Roman"/>
          <w:sz w:val="28"/>
          <w:szCs w:val="28"/>
        </w:rPr>
        <w:t xml:space="preserve"> 20</w:t>
      </w:r>
      <w:r w:rsidR="0002264C" w:rsidRPr="0002264C">
        <w:rPr>
          <w:rFonts w:ascii="Times New Roman" w:hAnsi="Times New Roman"/>
          <w:sz w:val="28"/>
          <w:szCs w:val="28"/>
        </w:rPr>
        <w:t>2</w:t>
      </w:r>
      <w:r w:rsidR="002F0696">
        <w:rPr>
          <w:rFonts w:ascii="Times New Roman" w:hAnsi="Times New Roman"/>
          <w:sz w:val="28"/>
          <w:szCs w:val="28"/>
        </w:rPr>
        <w:t>1</w:t>
      </w:r>
      <w:r w:rsidR="008267BA" w:rsidRPr="0002264C">
        <w:rPr>
          <w:rFonts w:ascii="Times New Roman" w:hAnsi="Times New Roman"/>
          <w:sz w:val="28"/>
          <w:szCs w:val="28"/>
        </w:rPr>
        <w:t xml:space="preserve"> г.</w:t>
      </w:r>
      <w:r w:rsidR="002F0696">
        <w:rPr>
          <w:rFonts w:ascii="Times New Roman" w:hAnsi="Times New Roman"/>
          <w:sz w:val="28"/>
          <w:szCs w:val="28"/>
        </w:rPr>
        <w:t xml:space="preserve"> и 2020</w:t>
      </w:r>
      <w:r w:rsidR="0002264C" w:rsidRPr="0002264C">
        <w:rPr>
          <w:rFonts w:ascii="Times New Roman" w:hAnsi="Times New Roman"/>
          <w:sz w:val="28"/>
          <w:szCs w:val="28"/>
        </w:rPr>
        <w:t xml:space="preserve"> год. </w:t>
      </w:r>
      <w:r w:rsidR="00E92F8A" w:rsidRPr="0002264C">
        <w:rPr>
          <w:rFonts w:ascii="Times New Roman" w:hAnsi="Times New Roman"/>
          <w:sz w:val="28"/>
          <w:szCs w:val="28"/>
        </w:rPr>
        <w:t xml:space="preserve">съответно </w:t>
      </w:r>
      <w:r w:rsidR="0002264C" w:rsidRPr="0002264C">
        <w:rPr>
          <w:rFonts w:ascii="Times New Roman" w:hAnsi="Times New Roman"/>
          <w:sz w:val="28"/>
          <w:szCs w:val="28"/>
        </w:rPr>
        <w:t>с по 12</w:t>
      </w:r>
      <w:r w:rsidR="002F0696">
        <w:rPr>
          <w:rFonts w:ascii="Times New Roman" w:hAnsi="Times New Roman"/>
          <w:sz w:val="28"/>
          <w:szCs w:val="28"/>
        </w:rPr>
        <w:t>,1</w:t>
      </w:r>
      <w:r w:rsidR="0002264C" w:rsidRPr="0002264C">
        <w:rPr>
          <w:rFonts w:ascii="Times New Roman" w:hAnsi="Times New Roman"/>
          <w:sz w:val="28"/>
          <w:szCs w:val="28"/>
        </w:rPr>
        <w:t xml:space="preserve"> %</w:t>
      </w:r>
      <w:r w:rsidR="002F0696">
        <w:rPr>
          <w:rFonts w:ascii="Times New Roman" w:hAnsi="Times New Roman"/>
          <w:sz w:val="28"/>
          <w:szCs w:val="28"/>
        </w:rPr>
        <w:t xml:space="preserve"> и 1,5 %</w:t>
      </w:r>
      <w:r w:rsidR="0002264C" w:rsidRPr="0002264C">
        <w:rPr>
          <w:rFonts w:ascii="Times New Roman" w:hAnsi="Times New Roman"/>
          <w:sz w:val="28"/>
          <w:szCs w:val="28"/>
        </w:rPr>
        <w:t xml:space="preserve">. </w:t>
      </w:r>
      <w:r w:rsidR="008267BA" w:rsidRPr="0002264C">
        <w:rPr>
          <w:rFonts w:ascii="Times New Roman" w:hAnsi="Times New Roman"/>
          <w:sz w:val="28"/>
          <w:szCs w:val="28"/>
        </w:rPr>
        <w:t xml:space="preserve">Разследваните в ОСлО икономически престъпления </w:t>
      </w:r>
      <w:r w:rsidRPr="0002264C">
        <w:rPr>
          <w:rFonts w:ascii="Times New Roman" w:hAnsi="Times New Roman"/>
          <w:sz w:val="28"/>
          <w:szCs w:val="28"/>
        </w:rPr>
        <w:t>са</w:t>
      </w:r>
      <w:r w:rsidR="002F0696" w:rsidRPr="0002264C">
        <w:rPr>
          <w:rFonts w:ascii="Times New Roman" w:hAnsi="Times New Roman"/>
          <w:sz w:val="28"/>
          <w:szCs w:val="28"/>
        </w:rPr>
        <w:t xml:space="preserve"> намалели </w:t>
      </w:r>
      <w:r w:rsidRPr="0002264C">
        <w:rPr>
          <w:rFonts w:ascii="Times New Roman" w:hAnsi="Times New Roman"/>
          <w:sz w:val="28"/>
          <w:szCs w:val="28"/>
        </w:rPr>
        <w:t>с</w:t>
      </w:r>
      <w:r w:rsidR="008267BA" w:rsidRPr="0002264C">
        <w:rPr>
          <w:rFonts w:ascii="Times New Roman" w:hAnsi="Times New Roman"/>
          <w:sz w:val="28"/>
          <w:szCs w:val="28"/>
        </w:rPr>
        <w:t xml:space="preserve"> около </w:t>
      </w:r>
      <w:r w:rsidR="002F0696">
        <w:rPr>
          <w:rFonts w:ascii="Times New Roman" w:hAnsi="Times New Roman"/>
          <w:sz w:val="28"/>
          <w:szCs w:val="28"/>
        </w:rPr>
        <w:t>4,8</w:t>
      </w:r>
      <w:r w:rsidR="0002264C" w:rsidRPr="0002264C">
        <w:rPr>
          <w:rFonts w:ascii="Times New Roman" w:hAnsi="Times New Roman"/>
          <w:sz w:val="28"/>
          <w:szCs w:val="28"/>
        </w:rPr>
        <w:t xml:space="preserve"> </w:t>
      </w:r>
      <w:r w:rsidR="008267BA" w:rsidRPr="0002264C">
        <w:rPr>
          <w:rFonts w:ascii="Times New Roman" w:hAnsi="Times New Roman"/>
          <w:sz w:val="28"/>
          <w:szCs w:val="28"/>
        </w:rPr>
        <w:t>%</w:t>
      </w:r>
      <w:r w:rsidRPr="0002264C">
        <w:rPr>
          <w:rFonts w:ascii="Times New Roman" w:hAnsi="Times New Roman"/>
          <w:sz w:val="28"/>
          <w:szCs w:val="28"/>
        </w:rPr>
        <w:t xml:space="preserve"> </w:t>
      </w:r>
      <w:r w:rsidR="00E92F8A" w:rsidRPr="0002264C">
        <w:rPr>
          <w:rFonts w:ascii="Times New Roman" w:hAnsi="Times New Roman"/>
          <w:sz w:val="28"/>
          <w:szCs w:val="28"/>
        </w:rPr>
        <w:t>спрямо предходн</w:t>
      </w:r>
      <w:r w:rsidR="0002264C" w:rsidRPr="0002264C">
        <w:rPr>
          <w:rFonts w:ascii="Times New Roman" w:hAnsi="Times New Roman"/>
          <w:sz w:val="28"/>
          <w:szCs w:val="28"/>
        </w:rPr>
        <w:t>ата</w:t>
      </w:r>
      <w:r w:rsidR="008267BA" w:rsidRPr="0002264C">
        <w:rPr>
          <w:rFonts w:ascii="Times New Roman" w:hAnsi="Times New Roman"/>
          <w:sz w:val="28"/>
          <w:szCs w:val="28"/>
        </w:rPr>
        <w:t xml:space="preserve"> 20</w:t>
      </w:r>
      <w:r w:rsidR="0002264C" w:rsidRPr="0002264C">
        <w:rPr>
          <w:rFonts w:ascii="Times New Roman" w:hAnsi="Times New Roman"/>
          <w:sz w:val="28"/>
          <w:szCs w:val="28"/>
        </w:rPr>
        <w:t>2</w:t>
      </w:r>
      <w:r w:rsidR="00415CA8">
        <w:rPr>
          <w:rFonts w:ascii="Times New Roman" w:hAnsi="Times New Roman"/>
          <w:sz w:val="28"/>
          <w:szCs w:val="28"/>
        </w:rPr>
        <w:t>1</w:t>
      </w:r>
      <w:r w:rsidR="008267BA" w:rsidRPr="0002264C">
        <w:rPr>
          <w:rFonts w:ascii="Times New Roman" w:hAnsi="Times New Roman"/>
          <w:sz w:val="28"/>
          <w:szCs w:val="28"/>
        </w:rPr>
        <w:t xml:space="preserve"> </w:t>
      </w:r>
      <w:r w:rsidR="0002264C" w:rsidRPr="0002264C">
        <w:rPr>
          <w:rFonts w:ascii="Times New Roman" w:hAnsi="Times New Roman"/>
          <w:sz w:val="28"/>
          <w:szCs w:val="28"/>
        </w:rPr>
        <w:t xml:space="preserve">год. и с около </w:t>
      </w:r>
      <w:r w:rsidR="002F0696">
        <w:rPr>
          <w:rFonts w:ascii="Times New Roman" w:hAnsi="Times New Roman"/>
          <w:sz w:val="28"/>
          <w:szCs w:val="28"/>
        </w:rPr>
        <w:t>12,2</w:t>
      </w:r>
      <w:r w:rsidR="0002264C" w:rsidRPr="0002264C">
        <w:rPr>
          <w:rFonts w:ascii="Times New Roman" w:hAnsi="Times New Roman"/>
          <w:sz w:val="28"/>
          <w:szCs w:val="28"/>
        </w:rPr>
        <w:t xml:space="preserve"> % спрямо </w:t>
      </w:r>
      <w:r w:rsidR="008267BA" w:rsidRPr="0002264C">
        <w:rPr>
          <w:rFonts w:ascii="Times New Roman" w:hAnsi="Times New Roman"/>
          <w:sz w:val="28"/>
          <w:szCs w:val="28"/>
        </w:rPr>
        <w:t>2</w:t>
      </w:r>
      <w:r w:rsidR="0002264C" w:rsidRPr="0002264C">
        <w:rPr>
          <w:rFonts w:ascii="Times New Roman" w:hAnsi="Times New Roman"/>
          <w:sz w:val="28"/>
          <w:szCs w:val="28"/>
        </w:rPr>
        <w:t>0</w:t>
      </w:r>
      <w:r w:rsidR="002F0696">
        <w:rPr>
          <w:rFonts w:ascii="Times New Roman" w:hAnsi="Times New Roman"/>
          <w:sz w:val="28"/>
          <w:szCs w:val="28"/>
        </w:rPr>
        <w:t xml:space="preserve">20 </w:t>
      </w:r>
      <w:r w:rsidR="00E45E87">
        <w:rPr>
          <w:rFonts w:ascii="Times New Roman" w:hAnsi="Times New Roman"/>
          <w:sz w:val="28"/>
          <w:szCs w:val="28"/>
        </w:rPr>
        <w:t xml:space="preserve">г. </w:t>
      </w:r>
      <w:r w:rsidR="002F0696">
        <w:rPr>
          <w:rFonts w:ascii="Times New Roman" w:hAnsi="Times New Roman"/>
          <w:sz w:val="28"/>
          <w:szCs w:val="28"/>
        </w:rPr>
        <w:t>Устойчив</w:t>
      </w:r>
      <w:r w:rsidRPr="0002264C">
        <w:rPr>
          <w:rFonts w:ascii="Times New Roman" w:hAnsi="Times New Roman"/>
          <w:sz w:val="28"/>
          <w:szCs w:val="28"/>
        </w:rPr>
        <w:t xml:space="preserve"> </w:t>
      </w:r>
      <w:r w:rsidR="008267BA" w:rsidRPr="0002264C">
        <w:rPr>
          <w:rFonts w:ascii="Times New Roman" w:hAnsi="Times New Roman"/>
          <w:sz w:val="28"/>
          <w:szCs w:val="28"/>
        </w:rPr>
        <w:t xml:space="preserve">е </w:t>
      </w:r>
      <w:r w:rsidRPr="0002264C">
        <w:rPr>
          <w:rFonts w:ascii="Times New Roman" w:hAnsi="Times New Roman"/>
          <w:sz w:val="28"/>
          <w:szCs w:val="28"/>
        </w:rPr>
        <w:t>броят на разследваните дела за транспортни престъпления.</w:t>
      </w:r>
    </w:p>
    <w:p w14:paraId="33B4D381" w14:textId="77777777" w:rsidR="00897C29" w:rsidRPr="000C5FB9" w:rsidRDefault="00897C29" w:rsidP="00DB21A8">
      <w:pPr>
        <w:spacing w:after="0" w:line="240" w:lineRule="auto"/>
        <w:ind w:firstLine="720"/>
        <w:jc w:val="both"/>
        <w:rPr>
          <w:rFonts w:ascii="Times New Roman" w:eastAsia="Times New Roman" w:hAnsi="Times New Roman" w:cs="Baskerville Old Face"/>
          <w:sz w:val="28"/>
          <w:szCs w:val="28"/>
        </w:rPr>
      </w:pPr>
    </w:p>
    <w:p w14:paraId="3B22BE66" w14:textId="6FB091F5" w:rsidR="00897C29" w:rsidRPr="000C5FB9" w:rsidRDefault="00897C29" w:rsidP="00DB21A8">
      <w:pPr>
        <w:spacing w:after="0" w:line="240" w:lineRule="auto"/>
        <w:ind w:firstLine="720"/>
        <w:jc w:val="both"/>
        <w:rPr>
          <w:rFonts w:ascii="Times New Roman" w:eastAsia="Times New Roman" w:hAnsi="Times New Roman" w:cs="Baskerville Old Face"/>
          <w:sz w:val="28"/>
          <w:szCs w:val="28"/>
        </w:rPr>
      </w:pPr>
      <w:r w:rsidRPr="000C5FB9">
        <w:rPr>
          <w:rFonts w:ascii="Times New Roman" w:eastAsia="Times New Roman" w:hAnsi="Times New Roman" w:cs="Baskerville Old Face"/>
          <w:sz w:val="28"/>
          <w:szCs w:val="28"/>
          <w:u w:val="single"/>
        </w:rPr>
        <w:t>Новообразуваните ДП</w:t>
      </w:r>
      <w:r w:rsidR="008267BA" w:rsidRPr="000C5FB9">
        <w:rPr>
          <w:rFonts w:ascii="Times New Roman" w:eastAsia="Times New Roman" w:hAnsi="Times New Roman" w:cs="Baskerville Old Face"/>
          <w:sz w:val="28"/>
          <w:szCs w:val="28"/>
        </w:rPr>
        <w:t xml:space="preserve"> през 202</w:t>
      </w:r>
      <w:r w:rsidR="0002264C" w:rsidRPr="000C5FB9">
        <w:rPr>
          <w:rFonts w:ascii="Times New Roman" w:eastAsia="Times New Roman" w:hAnsi="Times New Roman" w:cs="Baskerville Old Face"/>
          <w:sz w:val="28"/>
          <w:szCs w:val="28"/>
        </w:rPr>
        <w:t>1</w:t>
      </w:r>
      <w:r w:rsidRPr="000C5FB9">
        <w:rPr>
          <w:rFonts w:ascii="Times New Roman" w:eastAsia="Times New Roman" w:hAnsi="Times New Roman" w:cs="Baskerville Old Face"/>
          <w:sz w:val="28"/>
          <w:szCs w:val="28"/>
        </w:rPr>
        <w:t xml:space="preserve"> година ДП са </w:t>
      </w:r>
      <w:r w:rsidR="00E45E87">
        <w:rPr>
          <w:rFonts w:ascii="Times New Roman" w:eastAsia="Times New Roman" w:hAnsi="Times New Roman" w:cs="Baskerville Old Face"/>
          <w:sz w:val="28"/>
          <w:szCs w:val="28"/>
        </w:rPr>
        <w:t>83</w:t>
      </w:r>
      <w:r w:rsidR="00FC0212" w:rsidRPr="000C5FB9">
        <w:rPr>
          <w:rFonts w:ascii="Times New Roman" w:eastAsia="Times New Roman" w:hAnsi="Times New Roman" w:cs="Baskerville Old Face"/>
          <w:sz w:val="28"/>
          <w:szCs w:val="28"/>
        </w:rPr>
        <w:t xml:space="preserve"> бр.</w:t>
      </w:r>
      <w:r w:rsidRPr="000C5FB9">
        <w:rPr>
          <w:rFonts w:ascii="Times New Roman" w:eastAsia="Times New Roman" w:hAnsi="Times New Roman" w:cs="Baskerville Old Face"/>
          <w:sz w:val="28"/>
          <w:szCs w:val="28"/>
        </w:rPr>
        <w:t>, като по начина на образуване могат да се разгледат по следния начин:</w:t>
      </w:r>
    </w:p>
    <w:p w14:paraId="3EEF3448" w14:textId="77777777" w:rsidR="00897C29" w:rsidRPr="000C5FB9" w:rsidRDefault="00897C29" w:rsidP="00DB21A8">
      <w:pPr>
        <w:spacing w:after="0" w:line="240" w:lineRule="auto"/>
        <w:ind w:firstLine="720"/>
        <w:jc w:val="both"/>
        <w:rPr>
          <w:rFonts w:ascii="Times New Roman" w:eastAsia="Times New Roman" w:hAnsi="Times New Roman" w:cs="Baskerville Old Face"/>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142"/>
        <w:gridCol w:w="2142"/>
        <w:gridCol w:w="2142"/>
      </w:tblGrid>
      <w:tr w:rsidR="002002E9" w:rsidRPr="000C5FB9" w14:paraId="1E7120AE" w14:textId="77777777" w:rsidTr="002002E9">
        <w:trPr>
          <w:jc w:val="center"/>
        </w:trPr>
        <w:tc>
          <w:tcPr>
            <w:tcW w:w="2323" w:type="dxa"/>
            <w:tcBorders>
              <w:top w:val="single" w:sz="4" w:space="0" w:color="auto"/>
              <w:left w:val="single" w:sz="4" w:space="0" w:color="auto"/>
              <w:bottom w:val="single" w:sz="4" w:space="0" w:color="auto"/>
              <w:right w:val="single" w:sz="4" w:space="0" w:color="auto"/>
            </w:tcBorders>
            <w:hideMark/>
          </w:tcPr>
          <w:p w14:paraId="79B59734" w14:textId="77777777" w:rsidR="002002E9" w:rsidRPr="000C5FB9" w:rsidRDefault="00E42735" w:rsidP="00DB21A8">
            <w:pPr>
              <w:spacing w:after="0" w:line="240" w:lineRule="auto"/>
              <w:jc w:val="both"/>
              <w:rPr>
                <w:rFonts w:ascii="Times New Roman" w:eastAsia="Times New Roman" w:hAnsi="Times New Roman" w:cs="Baskerville Old Face"/>
                <w:b/>
                <w:sz w:val="28"/>
                <w:szCs w:val="28"/>
              </w:rPr>
            </w:pPr>
            <w:r w:rsidRPr="000C5FB9">
              <w:rPr>
                <w:rFonts w:ascii="Times New Roman" w:eastAsia="Times New Roman" w:hAnsi="Times New Roman" w:cs="Baskerville Old Face"/>
                <w:b/>
                <w:sz w:val="28"/>
                <w:szCs w:val="28"/>
              </w:rPr>
              <w:t>Образувани по</w:t>
            </w:r>
            <w:r w:rsidR="002002E9" w:rsidRPr="000C5FB9">
              <w:rPr>
                <w:rFonts w:ascii="Times New Roman" w:eastAsia="Times New Roman" w:hAnsi="Times New Roman" w:cs="Baskerville Old Face"/>
                <w:b/>
                <w:sz w:val="28"/>
                <w:szCs w:val="28"/>
              </w:rPr>
              <w:t>:</w:t>
            </w:r>
          </w:p>
        </w:tc>
        <w:tc>
          <w:tcPr>
            <w:tcW w:w="21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676990E" w14:textId="1514C402" w:rsidR="002002E9" w:rsidRPr="000C5FB9" w:rsidRDefault="002002E9" w:rsidP="00E45E87">
            <w:pPr>
              <w:spacing w:after="0" w:line="240" w:lineRule="auto"/>
              <w:jc w:val="center"/>
              <w:rPr>
                <w:rFonts w:ascii="Times New Roman" w:eastAsia="Times New Roman" w:hAnsi="Times New Roman" w:cs="Baskerville Old Face"/>
                <w:b/>
                <w:sz w:val="28"/>
                <w:szCs w:val="28"/>
              </w:rPr>
            </w:pPr>
            <w:r w:rsidRPr="000C5FB9">
              <w:rPr>
                <w:rFonts w:ascii="Times New Roman" w:eastAsia="Times New Roman" w:hAnsi="Times New Roman" w:cs="Baskerville Old Face"/>
                <w:b/>
                <w:sz w:val="28"/>
                <w:szCs w:val="28"/>
              </w:rPr>
              <w:t>20</w:t>
            </w:r>
            <w:r w:rsidR="00DB21A8" w:rsidRPr="000C5FB9">
              <w:rPr>
                <w:rFonts w:ascii="Times New Roman" w:eastAsia="Times New Roman" w:hAnsi="Times New Roman" w:cs="Baskerville Old Face"/>
                <w:b/>
                <w:sz w:val="28"/>
                <w:szCs w:val="28"/>
              </w:rPr>
              <w:t>2</w:t>
            </w:r>
            <w:r w:rsidR="00E45E87">
              <w:rPr>
                <w:rFonts w:ascii="Times New Roman" w:eastAsia="Times New Roman" w:hAnsi="Times New Roman" w:cs="Baskerville Old Face"/>
                <w:b/>
                <w:sz w:val="28"/>
                <w:szCs w:val="28"/>
              </w:rPr>
              <w:t>2</w:t>
            </w:r>
            <w:r w:rsidRPr="000C5FB9">
              <w:rPr>
                <w:rFonts w:ascii="Times New Roman" w:eastAsia="Times New Roman" w:hAnsi="Times New Roman" w:cs="Baskerville Old Face"/>
                <w:b/>
                <w:sz w:val="28"/>
                <w:szCs w:val="28"/>
              </w:rPr>
              <w:t xml:space="preserve"> г.</w:t>
            </w:r>
          </w:p>
        </w:tc>
        <w:tc>
          <w:tcPr>
            <w:tcW w:w="2142" w:type="dxa"/>
            <w:tcBorders>
              <w:top w:val="single" w:sz="4" w:space="0" w:color="auto"/>
              <w:left w:val="single" w:sz="4" w:space="0" w:color="auto"/>
              <w:bottom w:val="single" w:sz="4" w:space="0" w:color="auto"/>
              <w:right w:val="single" w:sz="4" w:space="0" w:color="auto"/>
            </w:tcBorders>
          </w:tcPr>
          <w:p w14:paraId="4EDA8EF8" w14:textId="11413109" w:rsidR="002002E9" w:rsidRPr="000C5FB9" w:rsidRDefault="002002E9" w:rsidP="00E45E87">
            <w:pPr>
              <w:spacing w:after="0" w:line="240" w:lineRule="auto"/>
              <w:jc w:val="center"/>
              <w:rPr>
                <w:rFonts w:ascii="Times New Roman" w:eastAsia="Times New Roman" w:hAnsi="Times New Roman" w:cs="Baskerville Old Face"/>
                <w:sz w:val="28"/>
                <w:szCs w:val="28"/>
              </w:rPr>
            </w:pPr>
            <w:r w:rsidRPr="000C5FB9">
              <w:rPr>
                <w:rFonts w:ascii="Times New Roman" w:eastAsia="Times New Roman" w:hAnsi="Times New Roman" w:cs="Baskerville Old Face"/>
                <w:sz w:val="28"/>
                <w:szCs w:val="28"/>
              </w:rPr>
              <w:t>20</w:t>
            </w:r>
            <w:r w:rsidR="000C5FB9" w:rsidRPr="000C5FB9">
              <w:rPr>
                <w:rFonts w:ascii="Times New Roman" w:eastAsia="Times New Roman" w:hAnsi="Times New Roman" w:cs="Baskerville Old Face"/>
                <w:sz w:val="28"/>
                <w:szCs w:val="28"/>
              </w:rPr>
              <w:t>2</w:t>
            </w:r>
            <w:r w:rsidR="00E45E87">
              <w:rPr>
                <w:rFonts w:ascii="Times New Roman" w:eastAsia="Times New Roman" w:hAnsi="Times New Roman" w:cs="Baskerville Old Face"/>
                <w:sz w:val="28"/>
                <w:szCs w:val="28"/>
              </w:rPr>
              <w:t>1</w:t>
            </w:r>
            <w:r w:rsidRPr="000C5FB9">
              <w:rPr>
                <w:rFonts w:ascii="Times New Roman" w:eastAsia="Times New Roman" w:hAnsi="Times New Roman" w:cs="Baskerville Old Face"/>
                <w:sz w:val="28"/>
                <w:szCs w:val="28"/>
              </w:rPr>
              <w:t xml:space="preserve"> г.</w:t>
            </w:r>
          </w:p>
        </w:tc>
        <w:tc>
          <w:tcPr>
            <w:tcW w:w="2142" w:type="dxa"/>
            <w:tcBorders>
              <w:top w:val="single" w:sz="4" w:space="0" w:color="auto"/>
              <w:left w:val="single" w:sz="4" w:space="0" w:color="auto"/>
              <w:bottom w:val="single" w:sz="4" w:space="0" w:color="auto"/>
              <w:right w:val="single" w:sz="4" w:space="0" w:color="auto"/>
            </w:tcBorders>
          </w:tcPr>
          <w:p w14:paraId="31AB949D" w14:textId="417DEEA7" w:rsidR="002002E9" w:rsidRPr="000C5FB9" w:rsidRDefault="002002E9" w:rsidP="00E45E87">
            <w:pPr>
              <w:spacing w:after="0" w:line="240" w:lineRule="auto"/>
              <w:jc w:val="center"/>
              <w:rPr>
                <w:rFonts w:ascii="Times New Roman" w:eastAsia="Times New Roman" w:hAnsi="Times New Roman" w:cs="Baskerville Old Face"/>
                <w:sz w:val="28"/>
                <w:szCs w:val="28"/>
              </w:rPr>
            </w:pPr>
            <w:r w:rsidRPr="000C5FB9">
              <w:rPr>
                <w:rFonts w:ascii="Times New Roman" w:eastAsia="Times New Roman" w:hAnsi="Times New Roman" w:cs="Baskerville Old Face"/>
                <w:sz w:val="28"/>
                <w:szCs w:val="28"/>
              </w:rPr>
              <w:t>20</w:t>
            </w:r>
            <w:r w:rsidR="00E45E87">
              <w:rPr>
                <w:rFonts w:ascii="Times New Roman" w:eastAsia="Times New Roman" w:hAnsi="Times New Roman" w:cs="Baskerville Old Face"/>
                <w:sz w:val="28"/>
                <w:szCs w:val="28"/>
              </w:rPr>
              <w:t>20</w:t>
            </w:r>
            <w:r w:rsidRPr="000C5FB9">
              <w:rPr>
                <w:rFonts w:ascii="Times New Roman" w:eastAsia="Times New Roman" w:hAnsi="Times New Roman" w:cs="Baskerville Old Face"/>
                <w:sz w:val="28"/>
                <w:szCs w:val="28"/>
              </w:rPr>
              <w:t xml:space="preserve"> г.</w:t>
            </w:r>
          </w:p>
        </w:tc>
      </w:tr>
      <w:tr w:rsidR="00E45E87" w:rsidRPr="000C5FB9" w14:paraId="2B575F83" w14:textId="77777777" w:rsidTr="002002E9">
        <w:trPr>
          <w:jc w:val="center"/>
        </w:trPr>
        <w:tc>
          <w:tcPr>
            <w:tcW w:w="2323" w:type="dxa"/>
            <w:tcBorders>
              <w:top w:val="single" w:sz="4" w:space="0" w:color="auto"/>
              <w:left w:val="single" w:sz="4" w:space="0" w:color="auto"/>
              <w:bottom w:val="single" w:sz="4" w:space="0" w:color="auto"/>
              <w:right w:val="single" w:sz="4" w:space="0" w:color="auto"/>
            </w:tcBorders>
            <w:hideMark/>
          </w:tcPr>
          <w:p w14:paraId="74FF7E49" w14:textId="77777777" w:rsidR="00E45E87" w:rsidRPr="000C5FB9" w:rsidRDefault="00E45E87" w:rsidP="00DB21A8">
            <w:pPr>
              <w:spacing w:after="0" w:line="240" w:lineRule="auto"/>
              <w:jc w:val="both"/>
              <w:rPr>
                <w:rFonts w:ascii="Times New Roman" w:eastAsia="Times New Roman" w:hAnsi="Times New Roman" w:cs="Baskerville Old Face"/>
                <w:i/>
                <w:sz w:val="28"/>
                <w:szCs w:val="28"/>
              </w:rPr>
            </w:pPr>
            <w:r w:rsidRPr="000C5FB9">
              <w:rPr>
                <w:rFonts w:ascii="Times New Roman" w:eastAsia="Times New Roman" w:hAnsi="Times New Roman" w:cs="Baskerville Old Face"/>
                <w:i/>
                <w:sz w:val="28"/>
                <w:szCs w:val="28"/>
              </w:rPr>
              <w:t>Чл.194, ал.1, т.4</w:t>
            </w:r>
          </w:p>
        </w:tc>
        <w:tc>
          <w:tcPr>
            <w:tcW w:w="21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89CB6E0" w14:textId="421A53BA" w:rsidR="00E45E87" w:rsidRPr="000C5FB9" w:rsidRDefault="00E45E87" w:rsidP="00DB21A8">
            <w:pPr>
              <w:spacing w:after="0" w:line="240" w:lineRule="auto"/>
              <w:jc w:val="center"/>
              <w:rPr>
                <w:rFonts w:ascii="Times New Roman" w:eastAsia="Times New Roman" w:hAnsi="Times New Roman" w:cs="Baskerville Old Face"/>
                <w:b/>
                <w:sz w:val="28"/>
                <w:szCs w:val="28"/>
              </w:rPr>
            </w:pPr>
            <w:r>
              <w:rPr>
                <w:rFonts w:ascii="Times New Roman" w:eastAsia="Times New Roman" w:hAnsi="Times New Roman" w:cs="Baskerville Old Face"/>
                <w:b/>
                <w:sz w:val="28"/>
                <w:szCs w:val="28"/>
              </w:rPr>
              <w:t>35</w:t>
            </w:r>
          </w:p>
        </w:tc>
        <w:tc>
          <w:tcPr>
            <w:tcW w:w="2142" w:type="dxa"/>
            <w:tcBorders>
              <w:top w:val="single" w:sz="4" w:space="0" w:color="auto"/>
              <w:left w:val="single" w:sz="4" w:space="0" w:color="auto"/>
              <w:bottom w:val="single" w:sz="4" w:space="0" w:color="auto"/>
              <w:right w:val="single" w:sz="4" w:space="0" w:color="auto"/>
            </w:tcBorders>
          </w:tcPr>
          <w:p w14:paraId="7F2068B1" w14:textId="1F1EB076" w:rsidR="00E45E87" w:rsidRPr="000C5FB9" w:rsidRDefault="00E45E87" w:rsidP="00DB21A8">
            <w:pPr>
              <w:spacing w:after="0" w:line="240" w:lineRule="auto"/>
              <w:jc w:val="center"/>
              <w:rPr>
                <w:rFonts w:ascii="Times New Roman" w:eastAsia="Times New Roman" w:hAnsi="Times New Roman" w:cs="Baskerville Old Face"/>
                <w:b/>
                <w:sz w:val="28"/>
                <w:szCs w:val="28"/>
              </w:rPr>
            </w:pPr>
            <w:r w:rsidRPr="000C5FB9">
              <w:rPr>
                <w:rFonts w:ascii="Times New Roman" w:eastAsia="Times New Roman" w:hAnsi="Times New Roman" w:cs="Baskerville Old Face"/>
                <w:b/>
                <w:sz w:val="28"/>
                <w:szCs w:val="28"/>
              </w:rPr>
              <w:t>39</w:t>
            </w:r>
          </w:p>
        </w:tc>
        <w:tc>
          <w:tcPr>
            <w:tcW w:w="2142" w:type="dxa"/>
            <w:tcBorders>
              <w:top w:val="single" w:sz="4" w:space="0" w:color="auto"/>
              <w:left w:val="single" w:sz="4" w:space="0" w:color="auto"/>
              <w:bottom w:val="single" w:sz="4" w:space="0" w:color="auto"/>
              <w:right w:val="single" w:sz="4" w:space="0" w:color="auto"/>
            </w:tcBorders>
          </w:tcPr>
          <w:p w14:paraId="195D4CC8" w14:textId="634C96E0" w:rsidR="00E45E87" w:rsidRPr="000C5FB9" w:rsidRDefault="00E45E87" w:rsidP="000C5FB9">
            <w:pPr>
              <w:spacing w:after="0" w:line="240" w:lineRule="auto"/>
              <w:jc w:val="center"/>
              <w:rPr>
                <w:rFonts w:ascii="Times New Roman" w:eastAsia="Times New Roman" w:hAnsi="Times New Roman" w:cs="Baskerville Old Face"/>
                <w:sz w:val="28"/>
                <w:szCs w:val="28"/>
              </w:rPr>
            </w:pPr>
            <w:r w:rsidRPr="000C5FB9">
              <w:rPr>
                <w:rFonts w:ascii="Times New Roman" w:eastAsia="Times New Roman" w:hAnsi="Times New Roman" w:cs="Baskerville Old Face"/>
                <w:b/>
                <w:sz w:val="28"/>
                <w:szCs w:val="28"/>
              </w:rPr>
              <w:t>42</w:t>
            </w:r>
          </w:p>
        </w:tc>
      </w:tr>
      <w:tr w:rsidR="00E45E87" w:rsidRPr="000C5FB9" w14:paraId="7BE03F5D" w14:textId="77777777" w:rsidTr="002002E9">
        <w:trPr>
          <w:jc w:val="center"/>
        </w:trPr>
        <w:tc>
          <w:tcPr>
            <w:tcW w:w="2323" w:type="dxa"/>
            <w:tcBorders>
              <w:top w:val="single" w:sz="4" w:space="0" w:color="auto"/>
              <w:left w:val="single" w:sz="4" w:space="0" w:color="auto"/>
              <w:bottom w:val="single" w:sz="4" w:space="0" w:color="auto"/>
              <w:right w:val="single" w:sz="4" w:space="0" w:color="auto"/>
            </w:tcBorders>
            <w:hideMark/>
          </w:tcPr>
          <w:p w14:paraId="51F7E9AC" w14:textId="77777777" w:rsidR="00E45E87" w:rsidRPr="000C5FB9" w:rsidRDefault="00E45E87" w:rsidP="00DB21A8">
            <w:pPr>
              <w:spacing w:after="0" w:line="240" w:lineRule="auto"/>
              <w:jc w:val="both"/>
              <w:rPr>
                <w:rFonts w:ascii="Times New Roman" w:eastAsia="Times New Roman" w:hAnsi="Times New Roman" w:cs="Baskerville Old Face"/>
                <w:i/>
                <w:sz w:val="28"/>
                <w:szCs w:val="28"/>
              </w:rPr>
            </w:pPr>
            <w:r w:rsidRPr="000C5FB9">
              <w:rPr>
                <w:rFonts w:ascii="Times New Roman" w:eastAsia="Times New Roman" w:hAnsi="Times New Roman" w:cs="Baskerville Old Face"/>
                <w:i/>
                <w:sz w:val="28"/>
                <w:szCs w:val="28"/>
              </w:rPr>
              <w:t>Чл.194, ал.1, т.3</w:t>
            </w:r>
          </w:p>
        </w:tc>
        <w:tc>
          <w:tcPr>
            <w:tcW w:w="21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ECC5775" w14:textId="486C8103" w:rsidR="00E45E87" w:rsidRPr="000C5FB9" w:rsidRDefault="00E45E87" w:rsidP="00DB21A8">
            <w:pPr>
              <w:spacing w:after="0" w:line="240" w:lineRule="auto"/>
              <w:jc w:val="center"/>
              <w:rPr>
                <w:rFonts w:ascii="Times New Roman" w:eastAsia="Times New Roman" w:hAnsi="Times New Roman" w:cs="Baskerville Old Face"/>
                <w:b/>
                <w:sz w:val="28"/>
                <w:szCs w:val="28"/>
              </w:rPr>
            </w:pPr>
            <w:r>
              <w:rPr>
                <w:rFonts w:ascii="Times New Roman" w:eastAsia="Times New Roman" w:hAnsi="Times New Roman" w:cs="Baskerville Old Face"/>
                <w:b/>
                <w:sz w:val="28"/>
                <w:szCs w:val="28"/>
              </w:rPr>
              <w:t>11</w:t>
            </w:r>
          </w:p>
        </w:tc>
        <w:tc>
          <w:tcPr>
            <w:tcW w:w="2142" w:type="dxa"/>
            <w:tcBorders>
              <w:top w:val="single" w:sz="4" w:space="0" w:color="auto"/>
              <w:left w:val="single" w:sz="4" w:space="0" w:color="auto"/>
              <w:bottom w:val="single" w:sz="4" w:space="0" w:color="auto"/>
              <w:right w:val="single" w:sz="4" w:space="0" w:color="auto"/>
            </w:tcBorders>
          </w:tcPr>
          <w:p w14:paraId="7043F386" w14:textId="4BA529CA" w:rsidR="00E45E87" w:rsidRPr="000C5FB9" w:rsidRDefault="00E45E87" w:rsidP="00DB21A8">
            <w:pPr>
              <w:spacing w:after="0" w:line="240" w:lineRule="auto"/>
              <w:jc w:val="center"/>
              <w:rPr>
                <w:rFonts w:ascii="Times New Roman" w:eastAsia="Times New Roman" w:hAnsi="Times New Roman" w:cs="Baskerville Old Face"/>
                <w:b/>
                <w:sz w:val="28"/>
                <w:szCs w:val="28"/>
              </w:rPr>
            </w:pPr>
            <w:r w:rsidRPr="000C5FB9">
              <w:rPr>
                <w:rFonts w:ascii="Times New Roman" w:eastAsia="Times New Roman" w:hAnsi="Times New Roman" w:cs="Baskerville Old Face"/>
                <w:b/>
                <w:sz w:val="28"/>
                <w:szCs w:val="28"/>
              </w:rPr>
              <w:t>5</w:t>
            </w:r>
          </w:p>
        </w:tc>
        <w:tc>
          <w:tcPr>
            <w:tcW w:w="2142" w:type="dxa"/>
            <w:tcBorders>
              <w:top w:val="single" w:sz="4" w:space="0" w:color="auto"/>
              <w:left w:val="single" w:sz="4" w:space="0" w:color="auto"/>
              <w:bottom w:val="single" w:sz="4" w:space="0" w:color="auto"/>
              <w:right w:val="single" w:sz="4" w:space="0" w:color="auto"/>
            </w:tcBorders>
          </w:tcPr>
          <w:p w14:paraId="79E25B94" w14:textId="4B1812B5" w:rsidR="00E45E87" w:rsidRPr="000C5FB9" w:rsidRDefault="00E45E87" w:rsidP="00DB21A8">
            <w:pPr>
              <w:spacing w:after="0" w:line="240" w:lineRule="auto"/>
              <w:jc w:val="center"/>
              <w:rPr>
                <w:rFonts w:ascii="Times New Roman" w:eastAsia="Times New Roman" w:hAnsi="Times New Roman" w:cs="Baskerville Old Face"/>
                <w:sz w:val="28"/>
                <w:szCs w:val="28"/>
              </w:rPr>
            </w:pPr>
            <w:r w:rsidRPr="000C5FB9">
              <w:rPr>
                <w:rFonts w:ascii="Times New Roman" w:eastAsia="Times New Roman" w:hAnsi="Times New Roman" w:cs="Baskerville Old Face"/>
                <w:b/>
                <w:sz w:val="28"/>
                <w:szCs w:val="28"/>
              </w:rPr>
              <w:t>8</w:t>
            </w:r>
          </w:p>
        </w:tc>
      </w:tr>
      <w:tr w:rsidR="00E45E87" w:rsidRPr="000C5FB9" w14:paraId="38000B2D" w14:textId="77777777" w:rsidTr="002002E9">
        <w:trPr>
          <w:jc w:val="center"/>
        </w:trPr>
        <w:tc>
          <w:tcPr>
            <w:tcW w:w="2323" w:type="dxa"/>
            <w:tcBorders>
              <w:top w:val="single" w:sz="4" w:space="0" w:color="auto"/>
              <w:left w:val="single" w:sz="4" w:space="0" w:color="auto"/>
              <w:bottom w:val="single" w:sz="4" w:space="0" w:color="auto"/>
              <w:right w:val="single" w:sz="4" w:space="0" w:color="auto"/>
            </w:tcBorders>
            <w:hideMark/>
          </w:tcPr>
          <w:p w14:paraId="64EBC3B3" w14:textId="77777777" w:rsidR="00E45E87" w:rsidRPr="000C5FB9" w:rsidRDefault="00E45E87" w:rsidP="00DB21A8">
            <w:pPr>
              <w:spacing w:after="0" w:line="240" w:lineRule="auto"/>
              <w:jc w:val="both"/>
              <w:rPr>
                <w:rFonts w:ascii="Times New Roman" w:eastAsia="Times New Roman" w:hAnsi="Times New Roman" w:cs="Baskerville Old Face"/>
                <w:i/>
                <w:sz w:val="28"/>
                <w:szCs w:val="28"/>
              </w:rPr>
            </w:pPr>
            <w:r w:rsidRPr="000C5FB9">
              <w:rPr>
                <w:rFonts w:ascii="Times New Roman" w:eastAsia="Times New Roman" w:hAnsi="Times New Roman" w:cs="Baskerville Old Face"/>
                <w:i/>
                <w:sz w:val="28"/>
                <w:szCs w:val="28"/>
              </w:rPr>
              <w:t>Чл.194, ал.1, т.2</w:t>
            </w:r>
          </w:p>
        </w:tc>
        <w:tc>
          <w:tcPr>
            <w:tcW w:w="21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3BFA00A" w14:textId="0F24B1F4" w:rsidR="00E45E87" w:rsidRPr="000C5FB9" w:rsidRDefault="00E45E87" w:rsidP="00DB21A8">
            <w:pPr>
              <w:spacing w:after="0" w:line="240" w:lineRule="auto"/>
              <w:jc w:val="center"/>
              <w:rPr>
                <w:rFonts w:ascii="Times New Roman" w:eastAsia="Times New Roman" w:hAnsi="Times New Roman" w:cs="Baskerville Old Face"/>
                <w:b/>
                <w:sz w:val="28"/>
                <w:szCs w:val="28"/>
              </w:rPr>
            </w:pPr>
            <w:r>
              <w:rPr>
                <w:rFonts w:ascii="Times New Roman" w:eastAsia="Times New Roman" w:hAnsi="Times New Roman" w:cs="Baskerville Old Face"/>
                <w:b/>
                <w:sz w:val="28"/>
                <w:szCs w:val="28"/>
              </w:rPr>
              <w:t>10</w:t>
            </w:r>
          </w:p>
        </w:tc>
        <w:tc>
          <w:tcPr>
            <w:tcW w:w="2142" w:type="dxa"/>
            <w:tcBorders>
              <w:top w:val="single" w:sz="4" w:space="0" w:color="auto"/>
              <w:left w:val="single" w:sz="4" w:space="0" w:color="auto"/>
              <w:bottom w:val="single" w:sz="4" w:space="0" w:color="auto"/>
              <w:right w:val="single" w:sz="4" w:space="0" w:color="auto"/>
            </w:tcBorders>
          </w:tcPr>
          <w:p w14:paraId="296B7CB2" w14:textId="105C3511" w:rsidR="00E45E87" w:rsidRPr="000C5FB9" w:rsidRDefault="00E45E87" w:rsidP="00DB21A8">
            <w:pPr>
              <w:spacing w:after="0" w:line="240" w:lineRule="auto"/>
              <w:jc w:val="center"/>
              <w:rPr>
                <w:rFonts w:ascii="Times New Roman" w:eastAsia="Times New Roman" w:hAnsi="Times New Roman" w:cs="Baskerville Old Face"/>
                <w:b/>
                <w:sz w:val="28"/>
                <w:szCs w:val="28"/>
              </w:rPr>
            </w:pPr>
            <w:r w:rsidRPr="000C5FB9">
              <w:rPr>
                <w:rFonts w:ascii="Times New Roman" w:eastAsia="Times New Roman" w:hAnsi="Times New Roman" w:cs="Baskerville Old Face"/>
                <w:b/>
                <w:sz w:val="28"/>
                <w:szCs w:val="28"/>
              </w:rPr>
              <w:t>6</w:t>
            </w:r>
          </w:p>
        </w:tc>
        <w:tc>
          <w:tcPr>
            <w:tcW w:w="2142" w:type="dxa"/>
            <w:tcBorders>
              <w:top w:val="single" w:sz="4" w:space="0" w:color="auto"/>
              <w:left w:val="single" w:sz="4" w:space="0" w:color="auto"/>
              <w:bottom w:val="single" w:sz="4" w:space="0" w:color="auto"/>
              <w:right w:val="single" w:sz="4" w:space="0" w:color="auto"/>
            </w:tcBorders>
          </w:tcPr>
          <w:p w14:paraId="1B9B8312" w14:textId="2B39C534" w:rsidR="00E45E87" w:rsidRPr="000C5FB9" w:rsidRDefault="00E45E87" w:rsidP="00DB21A8">
            <w:pPr>
              <w:spacing w:after="0" w:line="240" w:lineRule="auto"/>
              <w:jc w:val="center"/>
              <w:rPr>
                <w:rFonts w:ascii="Times New Roman" w:eastAsia="Times New Roman" w:hAnsi="Times New Roman" w:cs="Baskerville Old Face"/>
                <w:sz w:val="28"/>
                <w:szCs w:val="28"/>
              </w:rPr>
            </w:pPr>
            <w:r w:rsidRPr="000C5FB9">
              <w:rPr>
                <w:rFonts w:ascii="Times New Roman" w:eastAsia="Times New Roman" w:hAnsi="Times New Roman" w:cs="Baskerville Old Face"/>
                <w:b/>
                <w:sz w:val="28"/>
                <w:szCs w:val="28"/>
              </w:rPr>
              <w:t>7</w:t>
            </w:r>
          </w:p>
        </w:tc>
      </w:tr>
      <w:tr w:rsidR="00E45E87" w:rsidRPr="000C5FB9" w14:paraId="7FEC5ACE" w14:textId="77777777" w:rsidTr="002002E9">
        <w:trPr>
          <w:jc w:val="center"/>
        </w:trPr>
        <w:tc>
          <w:tcPr>
            <w:tcW w:w="2323" w:type="dxa"/>
            <w:tcBorders>
              <w:top w:val="single" w:sz="4" w:space="0" w:color="auto"/>
              <w:left w:val="single" w:sz="4" w:space="0" w:color="auto"/>
              <w:bottom w:val="single" w:sz="4" w:space="0" w:color="auto"/>
              <w:right w:val="single" w:sz="4" w:space="0" w:color="auto"/>
            </w:tcBorders>
            <w:hideMark/>
          </w:tcPr>
          <w:p w14:paraId="74B99BAE" w14:textId="77777777" w:rsidR="00E45E87" w:rsidRPr="000C5FB9" w:rsidRDefault="00E45E87" w:rsidP="00DB21A8">
            <w:pPr>
              <w:spacing w:after="0" w:line="240" w:lineRule="auto"/>
              <w:jc w:val="both"/>
              <w:rPr>
                <w:rFonts w:ascii="Times New Roman" w:eastAsia="Times New Roman" w:hAnsi="Times New Roman" w:cs="Baskerville Old Face"/>
                <w:i/>
                <w:sz w:val="28"/>
                <w:szCs w:val="28"/>
              </w:rPr>
            </w:pPr>
            <w:r w:rsidRPr="000C5FB9">
              <w:rPr>
                <w:rFonts w:ascii="Times New Roman" w:eastAsia="Times New Roman" w:hAnsi="Times New Roman" w:cs="Baskerville Old Face"/>
                <w:i/>
                <w:sz w:val="28"/>
                <w:szCs w:val="28"/>
              </w:rPr>
              <w:t>Чл.194, ал.1, т.1</w:t>
            </w:r>
          </w:p>
        </w:tc>
        <w:tc>
          <w:tcPr>
            <w:tcW w:w="21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F96565A" w14:textId="6A530CF3" w:rsidR="00E45E87" w:rsidRPr="000C5FB9" w:rsidRDefault="00E45E87" w:rsidP="00E45E87">
            <w:pPr>
              <w:spacing w:after="0" w:line="240" w:lineRule="auto"/>
              <w:jc w:val="center"/>
              <w:rPr>
                <w:rFonts w:ascii="Times New Roman" w:eastAsia="Times New Roman" w:hAnsi="Times New Roman" w:cs="Baskerville Old Face"/>
                <w:b/>
                <w:sz w:val="28"/>
                <w:szCs w:val="28"/>
              </w:rPr>
            </w:pPr>
            <w:r>
              <w:rPr>
                <w:rFonts w:ascii="Times New Roman" w:eastAsia="Times New Roman" w:hAnsi="Times New Roman" w:cs="Baskerville Old Face"/>
                <w:b/>
                <w:sz w:val="28"/>
                <w:szCs w:val="28"/>
              </w:rPr>
              <w:t>5</w:t>
            </w:r>
          </w:p>
        </w:tc>
        <w:tc>
          <w:tcPr>
            <w:tcW w:w="2142" w:type="dxa"/>
            <w:tcBorders>
              <w:top w:val="single" w:sz="4" w:space="0" w:color="auto"/>
              <w:left w:val="single" w:sz="4" w:space="0" w:color="auto"/>
              <w:bottom w:val="single" w:sz="4" w:space="0" w:color="auto"/>
              <w:right w:val="single" w:sz="4" w:space="0" w:color="auto"/>
            </w:tcBorders>
          </w:tcPr>
          <w:p w14:paraId="157B8327" w14:textId="0E9194E0" w:rsidR="00E45E87" w:rsidRPr="000C5FB9" w:rsidRDefault="00E45E87" w:rsidP="00DB21A8">
            <w:pPr>
              <w:spacing w:after="0" w:line="240" w:lineRule="auto"/>
              <w:jc w:val="center"/>
              <w:rPr>
                <w:rFonts w:ascii="Times New Roman" w:eastAsia="Times New Roman" w:hAnsi="Times New Roman" w:cs="Baskerville Old Face"/>
                <w:b/>
                <w:sz w:val="28"/>
                <w:szCs w:val="28"/>
              </w:rPr>
            </w:pPr>
            <w:r w:rsidRPr="000C5FB9">
              <w:rPr>
                <w:rFonts w:ascii="Times New Roman" w:eastAsia="Times New Roman" w:hAnsi="Times New Roman" w:cs="Baskerville Old Face"/>
                <w:b/>
                <w:sz w:val="28"/>
                <w:szCs w:val="28"/>
              </w:rPr>
              <w:t>8</w:t>
            </w:r>
          </w:p>
        </w:tc>
        <w:tc>
          <w:tcPr>
            <w:tcW w:w="2142" w:type="dxa"/>
            <w:tcBorders>
              <w:top w:val="single" w:sz="4" w:space="0" w:color="auto"/>
              <w:left w:val="single" w:sz="4" w:space="0" w:color="auto"/>
              <w:bottom w:val="single" w:sz="4" w:space="0" w:color="auto"/>
              <w:right w:val="single" w:sz="4" w:space="0" w:color="auto"/>
            </w:tcBorders>
          </w:tcPr>
          <w:p w14:paraId="3E633B72" w14:textId="2FEA61C4" w:rsidR="00E45E87" w:rsidRPr="000C5FB9" w:rsidRDefault="00E45E87" w:rsidP="00DB21A8">
            <w:pPr>
              <w:spacing w:after="0" w:line="240" w:lineRule="auto"/>
              <w:jc w:val="center"/>
              <w:rPr>
                <w:rFonts w:ascii="Times New Roman" w:eastAsia="Times New Roman" w:hAnsi="Times New Roman" w:cs="Baskerville Old Face"/>
                <w:sz w:val="28"/>
                <w:szCs w:val="28"/>
              </w:rPr>
            </w:pPr>
            <w:r w:rsidRPr="000C5FB9">
              <w:rPr>
                <w:rFonts w:ascii="Times New Roman" w:eastAsia="Times New Roman" w:hAnsi="Times New Roman" w:cs="Baskerville Old Face"/>
                <w:b/>
                <w:sz w:val="28"/>
                <w:szCs w:val="28"/>
              </w:rPr>
              <w:t>12</w:t>
            </w:r>
          </w:p>
        </w:tc>
      </w:tr>
    </w:tbl>
    <w:p w14:paraId="29647B3C" w14:textId="0C81F149" w:rsidR="00897C29" w:rsidRPr="000C5FB9" w:rsidRDefault="00E45E87" w:rsidP="00DB21A8">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 по чл.196, ал.1, т.5 от НПК – 10 броя.</w:t>
      </w:r>
    </w:p>
    <w:p w14:paraId="28BF0463" w14:textId="77777777" w:rsidR="00E45E87" w:rsidRDefault="00E45E87" w:rsidP="00DB21A8">
      <w:pPr>
        <w:spacing w:after="0" w:line="240" w:lineRule="auto"/>
        <w:ind w:firstLine="720"/>
        <w:jc w:val="both"/>
        <w:rPr>
          <w:rFonts w:ascii="Times New Roman" w:eastAsia="Times New Roman" w:hAnsi="Times New Roman"/>
          <w:sz w:val="28"/>
          <w:szCs w:val="28"/>
        </w:rPr>
      </w:pPr>
    </w:p>
    <w:p w14:paraId="0ED883F1" w14:textId="031FAD22" w:rsidR="00897C29" w:rsidRPr="000C5FB9" w:rsidRDefault="00897C29" w:rsidP="00DB21A8">
      <w:pPr>
        <w:spacing w:after="0" w:line="240" w:lineRule="auto"/>
        <w:ind w:firstLine="720"/>
        <w:jc w:val="both"/>
        <w:rPr>
          <w:rFonts w:ascii="Times New Roman" w:eastAsia="Times New Roman" w:hAnsi="Times New Roman"/>
          <w:sz w:val="28"/>
          <w:szCs w:val="28"/>
        </w:rPr>
      </w:pPr>
      <w:r w:rsidRPr="000C5FB9">
        <w:rPr>
          <w:rFonts w:ascii="Times New Roman" w:eastAsia="Times New Roman" w:hAnsi="Times New Roman"/>
          <w:sz w:val="28"/>
          <w:szCs w:val="28"/>
        </w:rPr>
        <w:t xml:space="preserve">От тази таблица е видно, че преимуществено новообразуваните ДП са възложени на следовател по реда на чл. 194, ал. 1, т. 4 НПК – чрез възлагане на </w:t>
      </w:r>
      <w:r w:rsidRPr="000C5FB9">
        <w:rPr>
          <w:rFonts w:ascii="Times New Roman" w:eastAsia="Times New Roman" w:hAnsi="Times New Roman"/>
          <w:sz w:val="28"/>
          <w:szCs w:val="28"/>
        </w:rPr>
        <w:lastRenderedPageBreak/>
        <w:t xml:space="preserve">разследването от административния ръководител поради наличие на </w:t>
      </w:r>
      <w:r w:rsidR="00FC0212" w:rsidRPr="000C5FB9">
        <w:rPr>
          <w:rFonts w:ascii="Times New Roman" w:eastAsia="Times New Roman" w:hAnsi="Times New Roman"/>
          <w:sz w:val="28"/>
          <w:szCs w:val="28"/>
        </w:rPr>
        <w:t>фактическа и правна сложност (</w:t>
      </w:r>
      <w:r w:rsidR="00DB21A8" w:rsidRPr="000C5FB9">
        <w:rPr>
          <w:rFonts w:ascii="Times New Roman" w:eastAsia="Times New Roman" w:hAnsi="Times New Roman"/>
          <w:sz w:val="28"/>
          <w:szCs w:val="28"/>
        </w:rPr>
        <w:t xml:space="preserve">над </w:t>
      </w:r>
      <w:r w:rsidR="00E45E87">
        <w:rPr>
          <w:rFonts w:ascii="Times New Roman" w:eastAsia="Times New Roman" w:hAnsi="Times New Roman"/>
          <w:sz w:val="28"/>
          <w:szCs w:val="28"/>
        </w:rPr>
        <w:t>5</w:t>
      </w:r>
      <w:r w:rsidR="000C5FB9" w:rsidRPr="000C5FB9">
        <w:rPr>
          <w:rFonts w:ascii="Times New Roman" w:eastAsia="Times New Roman" w:hAnsi="Times New Roman"/>
          <w:sz w:val="28"/>
          <w:szCs w:val="28"/>
        </w:rPr>
        <w:t>7</w:t>
      </w:r>
      <w:r w:rsidRPr="000C5FB9">
        <w:rPr>
          <w:rFonts w:ascii="Times New Roman" w:eastAsia="Times New Roman" w:hAnsi="Times New Roman"/>
          <w:sz w:val="28"/>
          <w:szCs w:val="28"/>
        </w:rPr>
        <w:t>%).</w:t>
      </w:r>
    </w:p>
    <w:p w14:paraId="234A718B" w14:textId="77777777" w:rsidR="00897C29" w:rsidRPr="008B000A" w:rsidRDefault="00897C29" w:rsidP="00DB21A8">
      <w:pPr>
        <w:spacing w:after="0" w:line="240" w:lineRule="auto"/>
        <w:ind w:firstLine="720"/>
        <w:jc w:val="both"/>
        <w:rPr>
          <w:rFonts w:ascii="Times New Roman" w:eastAsia="Times New Roman" w:hAnsi="Times New Roman"/>
          <w:sz w:val="28"/>
          <w:szCs w:val="28"/>
          <w:highlight w:val="green"/>
        </w:rPr>
      </w:pPr>
    </w:p>
    <w:p w14:paraId="79F2B5CA" w14:textId="2DC300DF" w:rsidR="00897C29" w:rsidRPr="000C5FB9" w:rsidRDefault="00897C29" w:rsidP="00DB21A8">
      <w:pPr>
        <w:spacing w:after="0" w:line="240" w:lineRule="auto"/>
        <w:ind w:firstLine="720"/>
        <w:jc w:val="both"/>
        <w:rPr>
          <w:rFonts w:ascii="Times New Roman" w:eastAsia="Times New Roman" w:hAnsi="Times New Roman"/>
          <w:sz w:val="28"/>
          <w:szCs w:val="28"/>
        </w:rPr>
      </w:pPr>
      <w:r w:rsidRPr="000C5FB9">
        <w:rPr>
          <w:rFonts w:ascii="Times New Roman" w:eastAsia="Times New Roman" w:hAnsi="Times New Roman"/>
          <w:sz w:val="28"/>
          <w:szCs w:val="28"/>
        </w:rPr>
        <w:t xml:space="preserve">През отчетния период на следствения отдел </w:t>
      </w:r>
      <w:r w:rsidR="000C5FB9" w:rsidRPr="000C5FB9">
        <w:rPr>
          <w:rFonts w:ascii="Times New Roman" w:eastAsia="Times New Roman" w:hAnsi="Times New Roman"/>
          <w:sz w:val="28"/>
          <w:szCs w:val="28"/>
        </w:rPr>
        <w:t>е възложено</w:t>
      </w:r>
      <w:r w:rsidRPr="000C5FB9">
        <w:rPr>
          <w:rFonts w:ascii="Times New Roman" w:eastAsia="Times New Roman" w:hAnsi="Times New Roman"/>
          <w:sz w:val="28"/>
          <w:szCs w:val="28"/>
        </w:rPr>
        <w:t xml:space="preserve"> за разследване </w:t>
      </w:r>
      <w:r w:rsidR="000C5FB9" w:rsidRPr="000C5FB9">
        <w:rPr>
          <w:rFonts w:ascii="Times New Roman" w:eastAsia="Times New Roman" w:hAnsi="Times New Roman"/>
          <w:sz w:val="28"/>
          <w:szCs w:val="28"/>
        </w:rPr>
        <w:t xml:space="preserve">1 бр. </w:t>
      </w:r>
      <w:r w:rsidR="00DB21A8" w:rsidRPr="000C5FB9">
        <w:rPr>
          <w:rFonts w:ascii="Times New Roman" w:eastAsia="Times New Roman" w:hAnsi="Times New Roman"/>
          <w:sz w:val="28"/>
          <w:szCs w:val="28"/>
        </w:rPr>
        <w:t xml:space="preserve">досъдебни производства, </w:t>
      </w:r>
      <w:r w:rsidRPr="000C5FB9">
        <w:rPr>
          <w:rFonts w:ascii="Times New Roman" w:eastAsia="Times New Roman" w:hAnsi="Times New Roman"/>
          <w:sz w:val="28"/>
          <w:szCs w:val="28"/>
        </w:rPr>
        <w:t>образуван</w:t>
      </w:r>
      <w:r w:rsidR="00FC0212" w:rsidRPr="000C5FB9">
        <w:rPr>
          <w:rFonts w:ascii="Times New Roman" w:eastAsia="Times New Roman" w:hAnsi="Times New Roman"/>
          <w:sz w:val="28"/>
          <w:szCs w:val="28"/>
        </w:rPr>
        <w:t>и</w:t>
      </w:r>
      <w:r w:rsidRPr="000C5FB9">
        <w:rPr>
          <w:rFonts w:ascii="Times New Roman" w:eastAsia="Times New Roman" w:hAnsi="Times New Roman"/>
          <w:sz w:val="28"/>
          <w:szCs w:val="28"/>
        </w:rPr>
        <w:t xml:space="preserve"> срещу непълнолетн</w:t>
      </w:r>
      <w:r w:rsidR="000C5FB9" w:rsidRPr="000C5FB9">
        <w:rPr>
          <w:rFonts w:ascii="Times New Roman" w:eastAsia="Times New Roman" w:hAnsi="Times New Roman"/>
          <w:sz w:val="28"/>
          <w:szCs w:val="28"/>
        </w:rPr>
        <w:t>о лице</w:t>
      </w:r>
      <w:r w:rsidRPr="000C5FB9">
        <w:rPr>
          <w:rFonts w:ascii="Times New Roman" w:eastAsia="Times New Roman" w:hAnsi="Times New Roman"/>
          <w:sz w:val="28"/>
          <w:szCs w:val="28"/>
        </w:rPr>
        <w:t>.</w:t>
      </w:r>
    </w:p>
    <w:p w14:paraId="6F34ED7B" w14:textId="77777777" w:rsidR="00897C29" w:rsidRPr="000C5FB9" w:rsidRDefault="00897C29" w:rsidP="00DB21A8">
      <w:pPr>
        <w:spacing w:after="0" w:line="240" w:lineRule="auto"/>
        <w:jc w:val="both"/>
        <w:rPr>
          <w:rFonts w:ascii="Times New Roman" w:eastAsia="Times New Roman" w:hAnsi="Times New Roman"/>
          <w:sz w:val="28"/>
          <w:szCs w:val="28"/>
        </w:rPr>
      </w:pPr>
      <w:r w:rsidRPr="000C5FB9">
        <w:rPr>
          <w:rFonts w:ascii="Times New Roman" w:eastAsia="Times New Roman" w:hAnsi="Times New Roman"/>
          <w:sz w:val="28"/>
          <w:szCs w:val="28"/>
        </w:rPr>
        <w:tab/>
      </w:r>
    </w:p>
    <w:p w14:paraId="5C87857D" w14:textId="04F22985" w:rsidR="00897C29" w:rsidRPr="000C5FB9" w:rsidRDefault="00897C29" w:rsidP="00DB21A8">
      <w:pPr>
        <w:spacing w:after="0" w:line="240" w:lineRule="auto"/>
        <w:ind w:firstLine="708"/>
        <w:jc w:val="both"/>
        <w:rPr>
          <w:rFonts w:ascii="Times New Roman" w:eastAsia="Times New Roman" w:hAnsi="Times New Roman"/>
          <w:sz w:val="28"/>
          <w:szCs w:val="28"/>
        </w:rPr>
      </w:pPr>
      <w:r w:rsidRPr="00B97822">
        <w:rPr>
          <w:rFonts w:ascii="Times New Roman" w:eastAsia="Times New Roman" w:hAnsi="Times New Roman"/>
          <w:sz w:val="28"/>
          <w:szCs w:val="28"/>
          <w:u w:val="single"/>
        </w:rPr>
        <w:t>През 20</w:t>
      </w:r>
      <w:r w:rsidR="00DB21A8" w:rsidRPr="00B97822">
        <w:rPr>
          <w:rFonts w:ascii="Times New Roman" w:eastAsia="Times New Roman" w:hAnsi="Times New Roman"/>
          <w:sz w:val="28"/>
          <w:szCs w:val="28"/>
          <w:u w:val="single"/>
        </w:rPr>
        <w:t>2</w:t>
      </w:r>
      <w:r w:rsidR="00E45E87">
        <w:rPr>
          <w:rFonts w:ascii="Times New Roman" w:eastAsia="Times New Roman" w:hAnsi="Times New Roman"/>
          <w:sz w:val="28"/>
          <w:szCs w:val="28"/>
          <w:u w:val="single"/>
        </w:rPr>
        <w:t>2</w:t>
      </w:r>
      <w:r w:rsidRPr="00B97822">
        <w:rPr>
          <w:rFonts w:ascii="Times New Roman" w:eastAsia="Times New Roman" w:hAnsi="Times New Roman"/>
          <w:sz w:val="28"/>
          <w:szCs w:val="28"/>
          <w:u w:val="single"/>
        </w:rPr>
        <w:t xml:space="preserve"> г</w:t>
      </w:r>
      <w:r w:rsidR="00DE57AC" w:rsidRPr="00B97822">
        <w:rPr>
          <w:rFonts w:ascii="Times New Roman" w:eastAsia="Times New Roman" w:hAnsi="Times New Roman"/>
          <w:sz w:val="28"/>
          <w:szCs w:val="28"/>
          <w:u w:val="single"/>
        </w:rPr>
        <w:t>.</w:t>
      </w:r>
      <w:r w:rsidRPr="00B97822">
        <w:rPr>
          <w:rFonts w:ascii="Times New Roman" w:eastAsia="Times New Roman" w:hAnsi="Times New Roman"/>
          <w:sz w:val="28"/>
          <w:szCs w:val="28"/>
          <w:u w:val="single"/>
        </w:rPr>
        <w:t xml:space="preserve"> са </w:t>
      </w:r>
      <w:r w:rsidRPr="000C5FB9">
        <w:rPr>
          <w:rFonts w:ascii="Times New Roman" w:eastAsia="Times New Roman" w:hAnsi="Times New Roman"/>
          <w:sz w:val="28"/>
          <w:szCs w:val="28"/>
          <w:u w:val="single"/>
        </w:rPr>
        <w:t>приключени</w:t>
      </w:r>
      <w:r w:rsidR="00DE57AC" w:rsidRPr="000C5FB9">
        <w:rPr>
          <w:rFonts w:ascii="Times New Roman" w:eastAsia="Times New Roman" w:hAnsi="Times New Roman"/>
          <w:sz w:val="28"/>
          <w:szCs w:val="28"/>
        </w:rPr>
        <w:t xml:space="preserve"> общо</w:t>
      </w:r>
      <w:r w:rsidRPr="000C5FB9">
        <w:rPr>
          <w:rFonts w:ascii="Times New Roman" w:eastAsia="Times New Roman" w:hAnsi="Times New Roman"/>
          <w:sz w:val="28"/>
          <w:szCs w:val="28"/>
        </w:rPr>
        <w:t xml:space="preserve"> </w:t>
      </w:r>
      <w:r w:rsidR="00E45E87">
        <w:rPr>
          <w:rFonts w:ascii="Times New Roman" w:eastAsia="Times New Roman" w:hAnsi="Times New Roman"/>
          <w:b/>
          <w:sz w:val="28"/>
          <w:szCs w:val="28"/>
        </w:rPr>
        <w:t>51</w:t>
      </w:r>
      <w:r w:rsidRPr="000C5FB9">
        <w:rPr>
          <w:rFonts w:ascii="Times New Roman" w:eastAsia="Times New Roman" w:hAnsi="Times New Roman"/>
          <w:sz w:val="28"/>
          <w:szCs w:val="28"/>
        </w:rPr>
        <w:t xml:space="preserve"> броя ДП, като съотношението спрямо п</w:t>
      </w:r>
      <w:r w:rsidR="00DE57AC" w:rsidRPr="000C5FB9">
        <w:rPr>
          <w:rFonts w:ascii="Times New Roman" w:eastAsia="Times New Roman" w:hAnsi="Times New Roman"/>
          <w:sz w:val="28"/>
          <w:szCs w:val="28"/>
        </w:rPr>
        <w:t>редходни години ДП има следното</w:t>
      </w:r>
      <w:r w:rsidRPr="000C5FB9">
        <w:rPr>
          <w:rFonts w:ascii="Times New Roman" w:eastAsia="Times New Roman" w:hAnsi="Times New Roman"/>
          <w:sz w:val="28"/>
          <w:szCs w:val="28"/>
        </w:rPr>
        <w:t xml:space="preserve"> изражение:</w:t>
      </w:r>
    </w:p>
    <w:p w14:paraId="5618E559" w14:textId="77777777" w:rsidR="00897C29" w:rsidRPr="000C5FB9" w:rsidRDefault="00897C29" w:rsidP="00DB21A8">
      <w:pPr>
        <w:spacing w:after="0" w:line="240" w:lineRule="auto"/>
        <w:ind w:firstLine="708"/>
        <w:jc w:val="both"/>
        <w:rPr>
          <w:rFonts w:ascii="Times New Roman" w:eastAsia="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70"/>
        <w:gridCol w:w="2255"/>
        <w:gridCol w:w="2255"/>
        <w:gridCol w:w="2255"/>
      </w:tblGrid>
      <w:tr w:rsidR="002002E9" w:rsidRPr="000C5FB9" w14:paraId="3634FB61" w14:textId="77777777" w:rsidTr="002002E9">
        <w:trPr>
          <w:jc w:val="center"/>
        </w:trPr>
        <w:tc>
          <w:tcPr>
            <w:tcW w:w="2670" w:type="dxa"/>
            <w:tcBorders>
              <w:top w:val="single" w:sz="4" w:space="0" w:color="000000"/>
              <w:left w:val="single" w:sz="4" w:space="0" w:color="auto"/>
              <w:bottom w:val="single" w:sz="4" w:space="0" w:color="000000"/>
              <w:right w:val="single" w:sz="4" w:space="0" w:color="000000"/>
            </w:tcBorders>
          </w:tcPr>
          <w:p w14:paraId="1423787A" w14:textId="77777777" w:rsidR="002002E9" w:rsidRPr="000C5FB9" w:rsidRDefault="002002E9" w:rsidP="00DB21A8">
            <w:pPr>
              <w:spacing w:after="0" w:line="240" w:lineRule="auto"/>
              <w:jc w:val="center"/>
              <w:rPr>
                <w:rFonts w:ascii="Times New Roman" w:eastAsia="Times New Roman" w:hAnsi="Times New Roman"/>
                <w:b/>
                <w:bCs/>
                <w:sz w:val="28"/>
                <w:szCs w:val="28"/>
              </w:rPr>
            </w:pPr>
            <w:r w:rsidRPr="000C5FB9">
              <w:rPr>
                <w:rFonts w:ascii="Times New Roman" w:eastAsia="Times New Roman" w:hAnsi="Times New Roman"/>
                <w:b/>
                <w:bCs/>
                <w:sz w:val="28"/>
                <w:szCs w:val="28"/>
              </w:rPr>
              <w:t>година</w:t>
            </w:r>
          </w:p>
        </w:tc>
        <w:tc>
          <w:tcPr>
            <w:tcW w:w="2255"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2FD19E70" w14:textId="0D02E211" w:rsidR="002002E9" w:rsidRPr="000C5FB9" w:rsidRDefault="002002E9" w:rsidP="00E45E87">
            <w:pPr>
              <w:spacing w:after="0" w:line="240" w:lineRule="auto"/>
              <w:jc w:val="center"/>
              <w:rPr>
                <w:rFonts w:ascii="Times New Roman" w:eastAsia="Times New Roman" w:hAnsi="Times New Roman"/>
                <w:b/>
                <w:bCs/>
                <w:sz w:val="28"/>
                <w:szCs w:val="28"/>
              </w:rPr>
            </w:pPr>
            <w:r w:rsidRPr="000C5FB9">
              <w:rPr>
                <w:rFonts w:ascii="Times New Roman" w:eastAsia="Times New Roman" w:hAnsi="Times New Roman"/>
                <w:b/>
                <w:bCs/>
                <w:sz w:val="28"/>
                <w:szCs w:val="28"/>
              </w:rPr>
              <w:t>20</w:t>
            </w:r>
            <w:r w:rsidR="00DB21A8" w:rsidRPr="000C5FB9">
              <w:rPr>
                <w:rFonts w:ascii="Times New Roman" w:eastAsia="Times New Roman" w:hAnsi="Times New Roman"/>
                <w:b/>
                <w:bCs/>
                <w:sz w:val="28"/>
                <w:szCs w:val="28"/>
              </w:rPr>
              <w:t>2</w:t>
            </w:r>
            <w:r w:rsidR="00E45E87">
              <w:rPr>
                <w:rFonts w:ascii="Times New Roman" w:eastAsia="Times New Roman" w:hAnsi="Times New Roman"/>
                <w:b/>
                <w:bCs/>
                <w:sz w:val="28"/>
                <w:szCs w:val="28"/>
              </w:rPr>
              <w:t>2</w:t>
            </w:r>
            <w:r w:rsidRPr="000C5FB9">
              <w:rPr>
                <w:rFonts w:ascii="Times New Roman" w:eastAsia="Times New Roman" w:hAnsi="Times New Roman"/>
                <w:b/>
                <w:bCs/>
                <w:sz w:val="28"/>
                <w:szCs w:val="28"/>
              </w:rPr>
              <w:t xml:space="preserve"> г.</w:t>
            </w:r>
          </w:p>
        </w:tc>
        <w:tc>
          <w:tcPr>
            <w:tcW w:w="2255" w:type="dxa"/>
            <w:tcBorders>
              <w:top w:val="single" w:sz="4" w:space="0" w:color="000000"/>
              <w:left w:val="single" w:sz="4" w:space="0" w:color="auto"/>
              <w:bottom w:val="single" w:sz="4" w:space="0" w:color="000000"/>
              <w:right w:val="single" w:sz="4" w:space="0" w:color="auto"/>
            </w:tcBorders>
          </w:tcPr>
          <w:p w14:paraId="17B7F86B" w14:textId="28DC70B4" w:rsidR="002002E9" w:rsidRPr="000C5FB9" w:rsidRDefault="002002E9" w:rsidP="00E45E87">
            <w:pPr>
              <w:spacing w:after="0" w:line="240" w:lineRule="auto"/>
              <w:jc w:val="center"/>
              <w:rPr>
                <w:rFonts w:ascii="Times New Roman" w:eastAsia="Times New Roman" w:hAnsi="Times New Roman"/>
                <w:bCs/>
                <w:sz w:val="28"/>
                <w:szCs w:val="28"/>
              </w:rPr>
            </w:pPr>
            <w:r w:rsidRPr="000C5FB9">
              <w:rPr>
                <w:rFonts w:ascii="Times New Roman" w:eastAsia="Times New Roman" w:hAnsi="Times New Roman"/>
                <w:bCs/>
                <w:sz w:val="28"/>
                <w:szCs w:val="28"/>
              </w:rPr>
              <w:t>20</w:t>
            </w:r>
            <w:r w:rsidR="000C5FB9" w:rsidRPr="000C5FB9">
              <w:rPr>
                <w:rFonts w:ascii="Times New Roman" w:eastAsia="Times New Roman" w:hAnsi="Times New Roman"/>
                <w:bCs/>
                <w:sz w:val="28"/>
                <w:szCs w:val="28"/>
              </w:rPr>
              <w:t>2</w:t>
            </w:r>
            <w:r w:rsidR="00E45E87">
              <w:rPr>
                <w:rFonts w:ascii="Times New Roman" w:eastAsia="Times New Roman" w:hAnsi="Times New Roman"/>
                <w:bCs/>
                <w:sz w:val="28"/>
                <w:szCs w:val="28"/>
              </w:rPr>
              <w:t>1</w:t>
            </w:r>
            <w:r w:rsidRPr="000C5FB9">
              <w:rPr>
                <w:rFonts w:ascii="Times New Roman" w:eastAsia="Times New Roman" w:hAnsi="Times New Roman"/>
                <w:bCs/>
                <w:sz w:val="28"/>
                <w:szCs w:val="28"/>
              </w:rPr>
              <w:t xml:space="preserve"> г.</w:t>
            </w:r>
          </w:p>
        </w:tc>
        <w:tc>
          <w:tcPr>
            <w:tcW w:w="2255" w:type="dxa"/>
            <w:tcBorders>
              <w:top w:val="single" w:sz="4" w:space="0" w:color="000000"/>
              <w:left w:val="single" w:sz="4" w:space="0" w:color="auto"/>
              <w:bottom w:val="single" w:sz="4" w:space="0" w:color="000000"/>
              <w:right w:val="single" w:sz="4" w:space="0" w:color="000000"/>
            </w:tcBorders>
          </w:tcPr>
          <w:p w14:paraId="07C1F086" w14:textId="6410D171" w:rsidR="002002E9" w:rsidRPr="000C5FB9" w:rsidRDefault="002002E9" w:rsidP="00E45E87">
            <w:pPr>
              <w:spacing w:after="0" w:line="240" w:lineRule="auto"/>
              <w:jc w:val="center"/>
              <w:rPr>
                <w:rFonts w:ascii="Times New Roman" w:eastAsia="Times New Roman" w:hAnsi="Times New Roman"/>
                <w:bCs/>
                <w:sz w:val="28"/>
                <w:szCs w:val="28"/>
              </w:rPr>
            </w:pPr>
            <w:r w:rsidRPr="000C5FB9">
              <w:rPr>
                <w:rFonts w:ascii="Times New Roman" w:eastAsia="Times New Roman" w:hAnsi="Times New Roman"/>
                <w:bCs/>
                <w:sz w:val="28"/>
                <w:szCs w:val="28"/>
              </w:rPr>
              <w:t>20</w:t>
            </w:r>
            <w:r w:rsidR="00E45E87">
              <w:rPr>
                <w:rFonts w:ascii="Times New Roman" w:eastAsia="Times New Roman" w:hAnsi="Times New Roman"/>
                <w:bCs/>
                <w:sz w:val="28"/>
                <w:szCs w:val="28"/>
              </w:rPr>
              <w:t>20</w:t>
            </w:r>
            <w:r w:rsidRPr="000C5FB9">
              <w:rPr>
                <w:rFonts w:ascii="Times New Roman" w:eastAsia="Times New Roman" w:hAnsi="Times New Roman"/>
                <w:bCs/>
                <w:sz w:val="28"/>
                <w:szCs w:val="28"/>
              </w:rPr>
              <w:t xml:space="preserve"> г.</w:t>
            </w:r>
          </w:p>
        </w:tc>
      </w:tr>
      <w:tr w:rsidR="00E45E87" w:rsidRPr="000C5FB9" w14:paraId="6F032EE2" w14:textId="77777777" w:rsidTr="002002E9">
        <w:trPr>
          <w:jc w:val="center"/>
        </w:trPr>
        <w:tc>
          <w:tcPr>
            <w:tcW w:w="2670" w:type="dxa"/>
            <w:tcBorders>
              <w:top w:val="single" w:sz="4" w:space="0" w:color="000000"/>
              <w:left w:val="single" w:sz="4" w:space="0" w:color="auto"/>
              <w:bottom w:val="single" w:sz="4" w:space="0" w:color="000000"/>
              <w:right w:val="single" w:sz="4" w:space="0" w:color="000000"/>
            </w:tcBorders>
          </w:tcPr>
          <w:p w14:paraId="299C82A5" w14:textId="77777777" w:rsidR="00E45E87" w:rsidRPr="000C5FB9" w:rsidRDefault="00E45E87" w:rsidP="00DB21A8">
            <w:pPr>
              <w:spacing w:after="0" w:line="240" w:lineRule="auto"/>
              <w:rPr>
                <w:rFonts w:ascii="Times New Roman" w:eastAsia="Times New Roman" w:hAnsi="Times New Roman"/>
                <w:b/>
                <w:sz w:val="28"/>
                <w:szCs w:val="28"/>
              </w:rPr>
            </w:pPr>
            <w:r w:rsidRPr="000C5FB9">
              <w:rPr>
                <w:rFonts w:ascii="Times New Roman" w:eastAsia="Times New Roman" w:hAnsi="Times New Roman"/>
                <w:b/>
                <w:sz w:val="28"/>
                <w:szCs w:val="28"/>
              </w:rPr>
              <w:t>общо прикл.ДП</w:t>
            </w:r>
          </w:p>
        </w:tc>
        <w:tc>
          <w:tcPr>
            <w:tcW w:w="2255"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744CB593" w14:textId="098DD7B9" w:rsidR="00E45E87" w:rsidRPr="000C5FB9" w:rsidRDefault="00E45E87" w:rsidP="00DB21A8">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51 бр.</w:t>
            </w:r>
          </w:p>
        </w:tc>
        <w:tc>
          <w:tcPr>
            <w:tcW w:w="2255" w:type="dxa"/>
            <w:tcBorders>
              <w:top w:val="single" w:sz="4" w:space="0" w:color="000000"/>
              <w:left w:val="single" w:sz="4" w:space="0" w:color="auto"/>
              <w:bottom w:val="single" w:sz="4" w:space="0" w:color="000000"/>
              <w:right w:val="single" w:sz="4" w:space="0" w:color="auto"/>
            </w:tcBorders>
          </w:tcPr>
          <w:p w14:paraId="3DDECD1A" w14:textId="635F3138" w:rsidR="00E45E87" w:rsidRPr="00E45E87" w:rsidRDefault="00E45E87" w:rsidP="000C5FB9">
            <w:pPr>
              <w:spacing w:after="0" w:line="240" w:lineRule="auto"/>
              <w:jc w:val="center"/>
              <w:rPr>
                <w:rFonts w:ascii="Times New Roman" w:eastAsia="Times New Roman" w:hAnsi="Times New Roman" w:cs="Times New Roman"/>
                <w:b/>
                <w:sz w:val="28"/>
                <w:szCs w:val="28"/>
              </w:rPr>
            </w:pPr>
            <w:r w:rsidRPr="00E45E87">
              <w:rPr>
                <w:rFonts w:ascii="Times New Roman" w:hAnsi="Times New Roman" w:cs="Times New Roman"/>
                <w:sz w:val="28"/>
                <w:szCs w:val="28"/>
              </w:rPr>
              <w:t>79 бр.</w:t>
            </w:r>
          </w:p>
        </w:tc>
        <w:tc>
          <w:tcPr>
            <w:tcW w:w="2255" w:type="dxa"/>
            <w:tcBorders>
              <w:top w:val="single" w:sz="4" w:space="0" w:color="000000"/>
              <w:left w:val="single" w:sz="4" w:space="0" w:color="auto"/>
              <w:bottom w:val="single" w:sz="4" w:space="0" w:color="000000"/>
              <w:right w:val="single" w:sz="4" w:space="0" w:color="000000"/>
            </w:tcBorders>
          </w:tcPr>
          <w:p w14:paraId="276F2C4C" w14:textId="77D25A3F" w:rsidR="00E45E87" w:rsidRPr="00E45E87" w:rsidRDefault="00E45E87" w:rsidP="00DB21A8">
            <w:pPr>
              <w:spacing w:after="0" w:line="240" w:lineRule="auto"/>
              <w:jc w:val="center"/>
              <w:rPr>
                <w:rFonts w:ascii="Times New Roman" w:eastAsia="Times New Roman" w:hAnsi="Times New Roman" w:cs="Times New Roman"/>
                <w:sz w:val="28"/>
                <w:szCs w:val="28"/>
              </w:rPr>
            </w:pPr>
            <w:r w:rsidRPr="00E45E87">
              <w:rPr>
                <w:rFonts w:ascii="Times New Roman" w:hAnsi="Times New Roman" w:cs="Times New Roman"/>
                <w:sz w:val="28"/>
                <w:szCs w:val="28"/>
              </w:rPr>
              <w:t>92 бр.</w:t>
            </w:r>
          </w:p>
        </w:tc>
      </w:tr>
      <w:tr w:rsidR="00E45E87" w:rsidRPr="008B000A" w14:paraId="63AC0EF0" w14:textId="77777777" w:rsidTr="002002E9">
        <w:trPr>
          <w:jc w:val="center"/>
        </w:trPr>
        <w:tc>
          <w:tcPr>
            <w:tcW w:w="2670" w:type="dxa"/>
            <w:tcBorders>
              <w:top w:val="single" w:sz="4" w:space="0" w:color="000000"/>
              <w:left w:val="single" w:sz="4" w:space="0" w:color="auto"/>
              <w:bottom w:val="single" w:sz="4" w:space="0" w:color="000000"/>
              <w:right w:val="single" w:sz="4" w:space="0" w:color="000000"/>
            </w:tcBorders>
          </w:tcPr>
          <w:p w14:paraId="682A74AF" w14:textId="77777777" w:rsidR="00E45E87" w:rsidRPr="000C5FB9" w:rsidRDefault="00E45E87" w:rsidP="00DB21A8">
            <w:pPr>
              <w:spacing w:after="0" w:line="240" w:lineRule="auto"/>
              <w:rPr>
                <w:rFonts w:ascii="Times New Roman" w:eastAsia="Times New Roman" w:hAnsi="Times New Roman"/>
                <w:b/>
                <w:sz w:val="28"/>
                <w:szCs w:val="28"/>
              </w:rPr>
            </w:pPr>
            <w:r w:rsidRPr="000C5FB9">
              <w:rPr>
                <w:rFonts w:ascii="Times New Roman" w:eastAsia="Times New Roman" w:hAnsi="Times New Roman"/>
                <w:b/>
                <w:sz w:val="28"/>
                <w:szCs w:val="28"/>
              </w:rPr>
              <w:t>средно прикл.ДП</w:t>
            </w:r>
          </w:p>
        </w:tc>
        <w:tc>
          <w:tcPr>
            <w:tcW w:w="2255"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3FCB3CA9" w14:textId="1C332804" w:rsidR="00E45E87" w:rsidRPr="000C5FB9" w:rsidRDefault="00E45E87" w:rsidP="00DB21A8">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6,4</w:t>
            </w:r>
            <w:r w:rsidRPr="000C5FB9">
              <w:rPr>
                <w:rFonts w:ascii="Times New Roman" w:eastAsia="Times New Roman" w:hAnsi="Times New Roman"/>
                <w:b/>
                <w:sz w:val="28"/>
                <w:szCs w:val="28"/>
              </w:rPr>
              <w:t xml:space="preserve"> бр.</w:t>
            </w:r>
          </w:p>
        </w:tc>
        <w:tc>
          <w:tcPr>
            <w:tcW w:w="2255" w:type="dxa"/>
            <w:tcBorders>
              <w:top w:val="single" w:sz="4" w:space="0" w:color="000000"/>
              <w:left w:val="single" w:sz="4" w:space="0" w:color="auto"/>
              <w:bottom w:val="single" w:sz="4" w:space="0" w:color="000000"/>
              <w:right w:val="single" w:sz="4" w:space="0" w:color="auto"/>
            </w:tcBorders>
          </w:tcPr>
          <w:p w14:paraId="72E2E620" w14:textId="4E8C5009" w:rsidR="00E45E87" w:rsidRPr="00E45E87" w:rsidRDefault="00E45E87" w:rsidP="00DB21A8">
            <w:pPr>
              <w:spacing w:after="0" w:line="240" w:lineRule="auto"/>
              <w:jc w:val="center"/>
              <w:rPr>
                <w:rFonts w:ascii="Times New Roman" w:eastAsia="Times New Roman" w:hAnsi="Times New Roman" w:cs="Times New Roman"/>
                <w:b/>
                <w:sz w:val="28"/>
                <w:szCs w:val="28"/>
              </w:rPr>
            </w:pPr>
            <w:r w:rsidRPr="00E45E87">
              <w:rPr>
                <w:rFonts w:ascii="Times New Roman" w:hAnsi="Times New Roman" w:cs="Times New Roman"/>
                <w:sz w:val="28"/>
                <w:szCs w:val="28"/>
              </w:rPr>
              <w:t>12,8 бр.</w:t>
            </w:r>
          </w:p>
        </w:tc>
        <w:tc>
          <w:tcPr>
            <w:tcW w:w="2255" w:type="dxa"/>
            <w:tcBorders>
              <w:top w:val="single" w:sz="4" w:space="0" w:color="000000"/>
              <w:left w:val="single" w:sz="4" w:space="0" w:color="auto"/>
              <w:bottom w:val="single" w:sz="4" w:space="0" w:color="000000"/>
              <w:right w:val="single" w:sz="4" w:space="0" w:color="000000"/>
            </w:tcBorders>
          </w:tcPr>
          <w:p w14:paraId="05A34573" w14:textId="7D348448" w:rsidR="00E45E87" w:rsidRPr="00E45E87" w:rsidRDefault="00E45E87" w:rsidP="00DB21A8">
            <w:pPr>
              <w:spacing w:after="0" w:line="240" w:lineRule="auto"/>
              <w:jc w:val="center"/>
              <w:rPr>
                <w:rFonts w:ascii="Times New Roman" w:eastAsia="Times New Roman" w:hAnsi="Times New Roman" w:cs="Times New Roman"/>
                <w:sz w:val="28"/>
                <w:szCs w:val="28"/>
              </w:rPr>
            </w:pPr>
            <w:r w:rsidRPr="00E45E87">
              <w:rPr>
                <w:rFonts w:ascii="Times New Roman" w:hAnsi="Times New Roman" w:cs="Times New Roman"/>
                <w:sz w:val="28"/>
                <w:szCs w:val="28"/>
              </w:rPr>
              <w:t>14,1 бр.</w:t>
            </w:r>
          </w:p>
        </w:tc>
      </w:tr>
    </w:tbl>
    <w:p w14:paraId="5AC5F5F0" w14:textId="77777777" w:rsidR="00897C29" w:rsidRPr="000C5FB9" w:rsidRDefault="00897C29" w:rsidP="00DB21A8">
      <w:pPr>
        <w:spacing w:after="0" w:line="240" w:lineRule="auto"/>
        <w:jc w:val="both"/>
        <w:rPr>
          <w:rFonts w:ascii="Times New Roman" w:eastAsia="Times New Roman" w:hAnsi="Times New Roman"/>
          <w:sz w:val="28"/>
          <w:szCs w:val="28"/>
        </w:rPr>
      </w:pPr>
      <w:r w:rsidRPr="000C5FB9">
        <w:rPr>
          <w:rFonts w:ascii="Times New Roman" w:eastAsia="Times New Roman" w:hAnsi="Times New Roman"/>
          <w:sz w:val="28"/>
          <w:szCs w:val="28"/>
        </w:rPr>
        <w:tab/>
      </w:r>
    </w:p>
    <w:p w14:paraId="7778CF7A" w14:textId="2EABBA1D" w:rsidR="00897C29" w:rsidRPr="000C5FB9" w:rsidRDefault="00897C29" w:rsidP="00DB21A8">
      <w:pPr>
        <w:spacing w:after="0" w:line="240" w:lineRule="auto"/>
        <w:ind w:firstLine="708"/>
        <w:jc w:val="both"/>
        <w:rPr>
          <w:rFonts w:ascii="Times New Roman" w:hAnsi="Times New Roman"/>
          <w:sz w:val="28"/>
          <w:szCs w:val="28"/>
        </w:rPr>
      </w:pPr>
      <w:r w:rsidRPr="000C5FB9">
        <w:rPr>
          <w:rFonts w:ascii="Times New Roman" w:hAnsi="Times New Roman"/>
          <w:sz w:val="28"/>
          <w:szCs w:val="28"/>
        </w:rPr>
        <w:t xml:space="preserve">Наблюдава се </w:t>
      </w:r>
      <w:r w:rsidR="000C5FB9" w:rsidRPr="000C5FB9">
        <w:rPr>
          <w:rFonts w:ascii="Times New Roman" w:hAnsi="Times New Roman"/>
          <w:sz w:val="28"/>
          <w:szCs w:val="28"/>
        </w:rPr>
        <w:t>голямо</w:t>
      </w:r>
      <w:r w:rsidRPr="000C5FB9">
        <w:rPr>
          <w:rFonts w:ascii="Times New Roman" w:hAnsi="Times New Roman"/>
          <w:sz w:val="28"/>
          <w:szCs w:val="28"/>
        </w:rPr>
        <w:t xml:space="preserve"> </w:t>
      </w:r>
      <w:r w:rsidR="00FC0212" w:rsidRPr="000C5FB9">
        <w:rPr>
          <w:rFonts w:ascii="Times New Roman" w:hAnsi="Times New Roman"/>
          <w:sz w:val="28"/>
          <w:szCs w:val="28"/>
        </w:rPr>
        <w:t>намаление спрямо предходни</w:t>
      </w:r>
      <w:r w:rsidR="000C5FB9" w:rsidRPr="000C5FB9">
        <w:rPr>
          <w:rFonts w:ascii="Times New Roman" w:hAnsi="Times New Roman"/>
          <w:sz w:val="28"/>
          <w:szCs w:val="28"/>
        </w:rPr>
        <w:t xml:space="preserve">те два отчетни периода – с </w:t>
      </w:r>
      <w:r w:rsidR="00E45E87">
        <w:rPr>
          <w:rFonts w:ascii="Times New Roman" w:hAnsi="Times New Roman"/>
          <w:sz w:val="28"/>
          <w:szCs w:val="28"/>
        </w:rPr>
        <w:t>6,8</w:t>
      </w:r>
      <w:r w:rsidR="00FC0212" w:rsidRPr="000C5FB9">
        <w:rPr>
          <w:rFonts w:ascii="Times New Roman" w:hAnsi="Times New Roman"/>
          <w:sz w:val="28"/>
          <w:szCs w:val="28"/>
        </w:rPr>
        <w:t>%</w:t>
      </w:r>
      <w:r w:rsidR="000C5FB9" w:rsidRPr="000C5FB9">
        <w:rPr>
          <w:rFonts w:ascii="Times New Roman" w:hAnsi="Times New Roman"/>
          <w:sz w:val="28"/>
          <w:szCs w:val="28"/>
        </w:rPr>
        <w:t xml:space="preserve"> спрямо 202</w:t>
      </w:r>
      <w:r w:rsidR="00E45E87">
        <w:rPr>
          <w:rFonts w:ascii="Times New Roman" w:hAnsi="Times New Roman"/>
          <w:sz w:val="28"/>
          <w:szCs w:val="28"/>
        </w:rPr>
        <w:t>1</w:t>
      </w:r>
      <w:r w:rsidR="000C5FB9" w:rsidRPr="000C5FB9">
        <w:rPr>
          <w:rFonts w:ascii="Times New Roman" w:hAnsi="Times New Roman"/>
          <w:sz w:val="28"/>
          <w:szCs w:val="28"/>
        </w:rPr>
        <w:t xml:space="preserve"> год. и с почти </w:t>
      </w:r>
      <w:r w:rsidR="00E45E87">
        <w:rPr>
          <w:rFonts w:ascii="Times New Roman" w:hAnsi="Times New Roman"/>
          <w:sz w:val="28"/>
          <w:szCs w:val="28"/>
        </w:rPr>
        <w:t>7,7</w:t>
      </w:r>
      <w:r w:rsidR="000C5FB9" w:rsidRPr="000C5FB9">
        <w:rPr>
          <w:rFonts w:ascii="Times New Roman" w:hAnsi="Times New Roman"/>
          <w:sz w:val="28"/>
          <w:szCs w:val="28"/>
        </w:rPr>
        <w:t>% спрямо 20</w:t>
      </w:r>
      <w:r w:rsidR="00E45E87">
        <w:rPr>
          <w:rFonts w:ascii="Times New Roman" w:hAnsi="Times New Roman"/>
          <w:sz w:val="28"/>
          <w:szCs w:val="28"/>
        </w:rPr>
        <w:t>20</w:t>
      </w:r>
      <w:r w:rsidRPr="000C5FB9">
        <w:rPr>
          <w:rFonts w:ascii="Times New Roman" w:hAnsi="Times New Roman"/>
          <w:sz w:val="28"/>
          <w:szCs w:val="28"/>
        </w:rPr>
        <w:t xml:space="preserve"> г</w:t>
      </w:r>
      <w:r w:rsidR="000C5FB9" w:rsidRPr="000C5FB9">
        <w:rPr>
          <w:rFonts w:ascii="Times New Roman" w:hAnsi="Times New Roman"/>
          <w:sz w:val="28"/>
          <w:szCs w:val="28"/>
        </w:rPr>
        <w:t>од</w:t>
      </w:r>
      <w:r w:rsidRPr="000C5FB9">
        <w:rPr>
          <w:rFonts w:ascii="Times New Roman" w:hAnsi="Times New Roman"/>
          <w:sz w:val="28"/>
          <w:szCs w:val="28"/>
        </w:rPr>
        <w:t>.</w:t>
      </w:r>
    </w:p>
    <w:p w14:paraId="70BC6C9C" w14:textId="2E07C9EA" w:rsidR="00897C29" w:rsidRPr="000C5FB9" w:rsidRDefault="00897C29" w:rsidP="00DB21A8">
      <w:pPr>
        <w:spacing w:after="0" w:line="240" w:lineRule="auto"/>
        <w:ind w:firstLine="709"/>
        <w:jc w:val="both"/>
        <w:rPr>
          <w:rFonts w:ascii="Times New Roman" w:hAnsi="Times New Roman"/>
          <w:sz w:val="28"/>
          <w:szCs w:val="28"/>
        </w:rPr>
      </w:pPr>
      <w:r w:rsidRPr="000C5FB9">
        <w:rPr>
          <w:rFonts w:ascii="Times New Roman" w:hAnsi="Times New Roman"/>
          <w:sz w:val="28"/>
          <w:szCs w:val="28"/>
        </w:rPr>
        <w:t>По разследваните през 20</w:t>
      </w:r>
      <w:r w:rsidR="000C5FB9" w:rsidRPr="000C5FB9">
        <w:rPr>
          <w:rFonts w:ascii="Times New Roman" w:hAnsi="Times New Roman"/>
          <w:sz w:val="28"/>
          <w:szCs w:val="28"/>
        </w:rPr>
        <w:t>2</w:t>
      </w:r>
      <w:r w:rsidR="00E45E87">
        <w:rPr>
          <w:rFonts w:ascii="Times New Roman" w:hAnsi="Times New Roman"/>
          <w:sz w:val="28"/>
          <w:szCs w:val="28"/>
        </w:rPr>
        <w:t>2</w:t>
      </w:r>
      <w:r w:rsidRPr="000C5FB9">
        <w:rPr>
          <w:rFonts w:ascii="Times New Roman" w:hAnsi="Times New Roman"/>
          <w:sz w:val="28"/>
          <w:szCs w:val="28"/>
        </w:rPr>
        <w:t xml:space="preserve"> г. досъдебни производства</w:t>
      </w:r>
      <w:r w:rsidRPr="000C5FB9">
        <w:rPr>
          <w:rFonts w:ascii="Baskerville Old Face" w:hAnsi="Baskerville Old Face" w:cs="Baskerville Old Face"/>
          <w:sz w:val="28"/>
          <w:szCs w:val="28"/>
        </w:rPr>
        <w:t xml:space="preserve"> </w:t>
      </w:r>
      <w:r w:rsidRPr="000C5FB9">
        <w:rPr>
          <w:rFonts w:ascii="Times New Roman" w:hAnsi="Times New Roman"/>
          <w:sz w:val="28"/>
          <w:szCs w:val="28"/>
        </w:rPr>
        <w:t>са привлечени</w:t>
      </w:r>
      <w:r w:rsidRPr="000C5FB9">
        <w:rPr>
          <w:rFonts w:ascii="Baskerville Old Face" w:hAnsi="Baskerville Old Face" w:cs="Baskerville Old Face"/>
          <w:sz w:val="28"/>
          <w:szCs w:val="28"/>
        </w:rPr>
        <w:t xml:space="preserve"> </w:t>
      </w:r>
      <w:r w:rsidRPr="000C5FB9">
        <w:rPr>
          <w:rFonts w:ascii="Times New Roman" w:hAnsi="Times New Roman"/>
          <w:sz w:val="28"/>
          <w:szCs w:val="28"/>
        </w:rPr>
        <w:t>в</w:t>
      </w:r>
      <w:r w:rsidRPr="000C5FB9">
        <w:rPr>
          <w:rFonts w:ascii="Baskerville Old Face" w:hAnsi="Baskerville Old Face" w:cs="Baskerville Old Face"/>
          <w:sz w:val="28"/>
          <w:szCs w:val="28"/>
        </w:rPr>
        <w:t xml:space="preserve"> </w:t>
      </w:r>
      <w:r w:rsidRPr="000C5FB9">
        <w:rPr>
          <w:rFonts w:ascii="Times New Roman" w:hAnsi="Times New Roman"/>
          <w:sz w:val="28"/>
          <w:szCs w:val="28"/>
        </w:rPr>
        <w:t>качеството</w:t>
      </w:r>
      <w:r w:rsidRPr="000C5FB9">
        <w:rPr>
          <w:rFonts w:ascii="Baskerville Old Face" w:hAnsi="Baskerville Old Face" w:cs="Baskerville Old Face"/>
          <w:sz w:val="28"/>
          <w:szCs w:val="28"/>
        </w:rPr>
        <w:t xml:space="preserve"> </w:t>
      </w:r>
      <w:r w:rsidRPr="000C5FB9">
        <w:rPr>
          <w:rFonts w:ascii="Times New Roman" w:hAnsi="Times New Roman"/>
          <w:sz w:val="28"/>
          <w:szCs w:val="28"/>
        </w:rPr>
        <w:t>на</w:t>
      </w:r>
      <w:r w:rsidRPr="000C5FB9">
        <w:rPr>
          <w:rFonts w:ascii="Baskerville Old Face" w:hAnsi="Baskerville Old Face" w:cs="Baskerville Old Face"/>
          <w:sz w:val="28"/>
          <w:szCs w:val="28"/>
        </w:rPr>
        <w:t xml:space="preserve"> </w:t>
      </w:r>
      <w:r w:rsidRPr="000C5FB9">
        <w:rPr>
          <w:rFonts w:ascii="Times New Roman" w:hAnsi="Times New Roman"/>
          <w:sz w:val="28"/>
          <w:szCs w:val="28"/>
          <w:u w:val="single"/>
        </w:rPr>
        <w:t>обвиняеми</w:t>
      </w:r>
      <w:r w:rsidRPr="000C5FB9">
        <w:rPr>
          <w:rFonts w:ascii="Baskerville Old Face" w:hAnsi="Baskerville Old Face" w:cs="Baskerville Old Face"/>
          <w:sz w:val="28"/>
          <w:szCs w:val="28"/>
        </w:rPr>
        <w:t xml:space="preserve"> </w:t>
      </w:r>
      <w:r w:rsidR="00FC0212" w:rsidRPr="000C5FB9">
        <w:rPr>
          <w:rFonts w:ascii="Times New Roman" w:hAnsi="Times New Roman" w:cs="Baskerville Old Face"/>
          <w:sz w:val="28"/>
          <w:szCs w:val="28"/>
        </w:rPr>
        <w:t>1</w:t>
      </w:r>
      <w:r w:rsidR="000C5FB9" w:rsidRPr="000C5FB9">
        <w:rPr>
          <w:rFonts w:ascii="Times New Roman" w:hAnsi="Times New Roman" w:cs="Baskerville Old Face"/>
          <w:sz w:val="28"/>
          <w:szCs w:val="28"/>
        </w:rPr>
        <w:t>2</w:t>
      </w:r>
      <w:r w:rsidRPr="000C5FB9">
        <w:rPr>
          <w:rFonts w:ascii="Baskerville Old Face" w:hAnsi="Baskerville Old Face" w:cs="Baskerville Old Face"/>
          <w:sz w:val="28"/>
          <w:szCs w:val="28"/>
        </w:rPr>
        <w:t xml:space="preserve"> </w:t>
      </w:r>
      <w:r w:rsidRPr="000C5FB9">
        <w:rPr>
          <w:rFonts w:ascii="Times New Roman" w:hAnsi="Times New Roman"/>
          <w:sz w:val="28"/>
          <w:szCs w:val="28"/>
        </w:rPr>
        <w:t>лица.</w:t>
      </w:r>
      <w:r w:rsidRPr="000C5FB9">
        <w:rPr>
          <w:rFonts w:ascii="Baskerville Old Face" w:hAnsi="Baskerville Old Face" w:cs="Baskerville Old Face"/>
          <w:sz w:val="28"/>
          <w:szCs w:val="28"/>
        </w:rPr>
        <w:t xml:space="preserve"> </w:t>
      </w:r>
      <w:r w:rsidRPr="000C5FB9">
        <w:rPr>
          <w:rFonts w:ascii="Times New Roman" w:hAnsi="Times New Roman"/>
          <w:sz w:val="28"/>
          <w:szCs w:val="28"/>
        </w:rPr>
        <w:t>Спрямо пред</w:t>
      </w:r>
      <w:r w:rsidR="00FC0212" w:rsidRPr="000C5FB9">
        <w:rPr>
          <w:rFonts w:ascii="Times New Roman" w:hAnsi="Times New Roman"/>
          <w:sz w:val="28"/>
          <w:szCs w:val="28"/>
        </w:rPr>
        <w:t>ходните два периода броят им е намалял</w:t>
      </w:r>
      <w:r w:rsidR="000C5FB9" w:rsidRPr="000C5FB9">
        <w:rPr>
          <w:rFonts w:ascii="Times New Roman" w:hAnsi="Times New Roman"/>
          <w:sz w:val="28"/>
          <w:szCs w:val="28"/>
        </w:rPr>
        <w:t xml:space="preserve"> почти два пъти:</w:t>
      </w:r>
    </w:p>
    <w:p w14:paraId="079F8F17" w14:textId="77777777" w:rsidR="00897C29" w:rsidRPr="000C5FB9" w:rsidRDefault="00897C29" w:rsidP="00DB21A8">
      <w:pPr>
        <w:spacing w:after="0" w:line="240" w:lineRule="auto"/>
        <w:ind w:firstLine="709"/>
        <w:jc w:val="both"/>
        <w:rPr>
          <w:rFonts w:ascii="Times New Roman" w:hAnsi="Times New Roman"/>
          <w:sz w:val="28"/>
          <w:szCs w:val="28"/>
        </w:rPr>
      </w:pPr>
    </w:p>
    <w:tbl>
      <w:tblPr>
        <w:tblW w:w="8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5"/>
        <w:gridCol w:w="2715"/>
        <w:gridCol w:w="2715"/>
      </w:tblGrid>
      <w:tr w:rsidR="002002E9" w:rsidRPr="000C5FB9" w14:paraId="5D7305E1" w14:textId="77777777" w:rsidTr="002002E9">
        <w:trPr>
          <w:jc w:val="center"/>
        </w:trPr>
        <w:tc>
          <w:tcPr>
            <w:tcW w:w="2715" w:type="dxa"/>
            <w:tcBorders>
              <w:left w:val="single" w:sz="4" w:space="0" w:color="auto"/>
            </w:tcBorders>
          </w:tcPr>
          <w:p w14:paraId="0F4126EC" w14:textId="09CD6303" w:rsidR="002002E9" w:rsidRPr="000C5FB9" w:rsidRDefault="002002E9" w:rsidP="000C5FB9">
            <w:pPr>
              <w:spacing w:after="0" w:line="240" w:lineRule="auto"/>
              <w:jc w:val="center"/>
              <w:rPr>
                <w:rFonts w:ascii="Times New Roman" w:hAnsi="Times New Roman"/>
                <w:b/>
                <w:bCs/>
                <w:sz w:val="28"/>
                <w:szCs w:val="28"/>
              </w:rPr>
            </w:pPr>
            <w:r w:rsidRPr="000C5FB9">
              <w:rPr>
                <w:rFonts w:ascii="Times New Roman" w:hAnsi="Times New Roman"/>
                <w:b/>
                <w:bCs/>
                <w:sz w:val="28"/>
                <w:szCs w:val="28"/>
              </w:rPr>
              <w:t>20</w:t>
            </w:r>
            <w:r w:rsidR="00DB21A8" w:rsidRPr="000C5FB9">
              <w:rPr>
                <w:rFonts w:ascii="Times New Roman" w:hAnsi="Times New Roman"/>
                <w:b/>
                <w:bCs/>
                <w:sz w:val="28"/>
                <w:szCs w:val="28"/>
              </w:rPr>
              <w:t>2</w:t>
            </w:r>
            <w:r w:rsidR="000C5FB9" w:rsidRPr="000C5FB9">
              <w:rPr>
                <w:rFonts w:ascii="Times New Roman" w:hAnsi="Times New Roman"/>
                <w:b/>
                <w:bCs/>
                <w:sz w:val="28"/>
                <w:szCs w:val="28"/>
              </w:rPr>
              <w:t>1</w:t>
            </w:r>
            <w:r w:rsidRPr="000C5FB9">
              <w:rPr>
                <w:rFonts w:ascii="Times New Roman" w:hAnsi="Times New Roman"/>
                <w:b/>
                <w:bCs/>
                <w:sz w:val="28"/>
                <w:szCs w:val="28"/>
              </w:rPr>
              <w:t xml:space="preserve"> г.</w:t>
            </w:r>
          </w:p>
        </w:tc>
        <w:tc>
          <w:tcPr>
            <w:tcW w:w="2715" w:type="dxa"/>
            <w:tcBorders>
              <w:left w:val="single" w:sz="4" w:space="0" w:color="auto"/>
              <w:right w:val="single" w:sz="4" w:space="0" w:color="auto"/>
            </w:tcBorders>
          </w:tcPr>
          <w:p w14:paraId="517EDCBD" w14:textId="4D08FDF0" w:rsidR="002002E9" w:rsidRPr="000C5FB9" w:rsidRDefault="002002E9" w:rsidP="000C5FB9">
            <w:pPr>
              <w:spacing w:after="0" w:line="240" w:lineRule="auto"/>
              <w:jc w:val="center"/>
              <w:rPr>
                <w:rFonts w:ascii="Times New Roman" w:hAnsi="Times New Roman" w:cs="Times New Roman"/>
                <w:bCs/>
                <w:sz w:val="28"/>
                <w:szCs w:val="28"/>
              </w:rPr>
            </w:pPr>
            <w:r w:rsidRPr="000C5FB9">
              <w:rPr>
                <w:rFonts w:ascii="Times New Roman" w:hAnsi="Times New Roman" w:cs="Times New Roman"/>
                <w:bCs/>
                <w:sz w:val="28"/>
                <w:szCs w:val="28"/>
              </w:rPr>
              <w:t>20</w:t>
            </w:r>
            <w:r w:rsidR="000C5FB9" w:rsidRPr="000C5FB9">
              <w:rPr>
                <w:rFonts w:ascii="Times New Roman" w:hAnsi="Times New Roman" w:cs="Times New Roman"/>
                <w:bCs/>
                <w:sz w:val="28"/>
                <w:szCs w:val="28"/>
              </w:rPr>
              <w:t>20</w:t>
            </w:r>
            <w:r w:rsidRPr="000C5FB9">
              <w:rPr>
                <w:rFonts w:ascii="Times New Roman" w:hAnsi="Times New Roman" w:cs="Times New Roman"/>
                <w:bCs/>
                <w:sz w:val="28"/>
                <w:szCs w:val="28"/>
              </w:rPr>
              <w:t xml:space="preserve"> г.</w:t>
            </w:r>
          </w:p>
        </w:tc>
        <w:tc>
          <w:tcPr>
            <w:tcW w:w="2715" w:type="dxa"/>
            <w:tcBorders>
              <w:left w:val="single" w:sz="4" w:space="0" w:color="auto"/>
            </w:tcBorders>
          </w:tcPr>
          <w:p w14:paraId="0AE7108F" w14:textId="1D487470" w:rsidR="002002E9" w:rsidRPr="000C5FB9" w:rsidRDefault="002002E9" w:rsidP="000C5FB9">
            <w:pPr>
              <w:spacing w:after="0" w:line="240" w:lineRule="auto"/>
              <w:jc w:val="center"/>
              <w:rPr>
                <w:rFonts w:ascii="Times New Roman" w:hAnsi="Times New Roman"/>
                <w:bCs/>
                <w:sz w:val="28"/>
                <w:szCs w:val="28"/>
              </w:rPr>
            </w:pPr>
            <w:r w:rsidRPr="000C5FB9">
              <w:rPr>
                <w:rFonts w:ascii="Times New Roman" w:hAnsi="Times New Roman"/>
                <w:bCs/>
                <w:sz w:val="28"/>
                <w:szCs w:val="28"/>
              </w:rPr>
              <w:t>201</w:t>
            </w:r>
            <w:r w:rsidR="000C5FB9" w:rsidRPr="000C5FB9">
              <w:rPr>
                <w:rFonts w:ascii="Times New Roman" w:hAnsi="Times New Roman"/>
                <w:bCs/>
                <w:sz w:val="28"/>
                <w:szCs w:val="28"/>
              </w:rPr>
              <w:t>9</w:t>
            </w:r>
            <w:r w:rsidRPr="000C5FB9">
              <w:rPr>
                <w:rFonts w:ascii="Times New Roman" w:hAnsi="Times New Roman"/>
                <w:bCs/>
                <w:sz w:val="28"/>
                <w:szCs w:val="28"/>
              </w:rPr>
              <w:t xml:space="preserve"> г.</w:t>
            </w:r>
          </w:p>
        </w:tc>
      </w:tr>
      <w:tr w:rsidR="002002E9" w:rsidRPr="000C5FB9" w14:paraId="57F3EF7F" w14:textId="77777777" w:rsidTr="002002E9">
        <w:trPr>
          <w:jc w:val="center"/>
        </w:trPr>
        <w:tc>
          <w:tcPr>
            <w:tcW w:w="2715" w:type="dxa"/>
            <w:tcBorders>
              <w:left w:val="single" w:sz="4" w:space="0" w:color="auto"/>
            </w:tcBorders>
          </w:tcPr>
          <w:p w14:paraId="20B570F7" w14:textId="2BEAA640" w:rsidR="002002E9" w:rsidRPr="000C5FB9" w:rsidRDefault="000C5FB9" w:rsidP="00E45E87">
            <w:pPr>
              <w:spacing w:after="0" w:line="240" w:lineRule="auto"/>
              <w:jc w:val="center"/>
              <w:rPr>
                <w:rFonts w:ascii="Times New Roman" w:hAnsi="Times New Roman"/>
                <w:b/>
                <w:sz w:val="28"/>
                <w:szCs w:val="28"/>
              </w:rPr>
            </w:pPr>
            <w:r w:rsidRPr="000C5FB9">
              <w:rPr>
                <w:rFonts w:ascii="Times New Roman" w:hAnsi="Times New Roman"/>
                <w:b/>
                <w:sz w:val="28"/>
                <w:szCs w:val="28"/>
              </w:rPr>
              <w:t>1</w:t>
            </w:r>
            <w:r w:rsidR="00E45E87">
              <w:rPr>
                <w:rFonts w:ascii="Times New Roman" w:hAnsi="Times New Roman"/>
                <w:b/>
                <w:sz w:val="28"/>
                <w:szCs w:val="28"/>
              </w:rPr>
              <w:t>4</w:t>
            </w:r>
            <w:r w:rsidR="00FC0212" w:rsidRPr="000C5FB9">
              <w:rPr>
                <w:rFonts w:ascii="Times New Roman" w:hAnsi="Times New Roman"/>
                <w:b/>
                <w:sz w:val="28"/>
                <w:szCs w:val="28"/>
              </w:rPr>
              <w:t xml:space="preserve"> обв. лица</w:t>
            </w:r>
          </w:p>
        </w:tc>
        <w:tc>
          <w:tcPr>
            <w:tcW w:w="2715" w:type="dxa"/>
            <w:tcBorders>
              <w:left w:val="single" w:sz="4" w:space="0" w:color="auto"/>
              <w:right w:val="single" w:sz="4" w:space="0" w:color="auto"/>
            </w:tcBorders>
          </w:tcPr>
          <w:p w14:paraId="6BBB809B" w14:textId="29BF0228" w:rsidR="002002E9" w:rsidRPr="000C5FB9" w:rsidRDefault="00E45E87" w:rsidP="00E45E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12 </w:t>
            </w:r>
            <w:r w:rsidR="002002E9" w:rsidRPr="000C5FB9">
              <w:rPr>
                <w:rFonts w:ascii="Times New Roman" w:hAnsi="Times New Roman" w:cs="Times New Roman"/>
                <w:sz w:val="28"/>
                <w:szCs w:val="28"/>
              </w:rPr>
              <w:t>обв. лица</w:t>
            </w:r>
          </w:p>
        </w:tc>
        <w:tc>
          <w:tcPr>
            <w:tcW w:w="2715" w:type="dxa"/>
            <w:tcBorders>
              <w:left w:val="single" w:sz="4" w:space="0" w:color="auto"/>
            </w:tcBorders>
          </w:tcPr>
          <w:p w14:paraId="1341A216" w14:textId="71AAD0D2" w:rsidR="002002E9" w:rsidRPr="000C5FB9" w:rsidRDefault="00E45E87" w:rsidP="00E45E87">
            <w:pPr>
              <w:spacing w:after="0" w:line="240" w:lineRule="auto"/>
              <w:jc w:val="center"/>
              <w:rPr>
                <w:rFonts w:ascii="Times New Roman" w:hAnsi="Times New Roman" w:cs="Baskerville Old Face"/>
                <w:sz w:val="28"/>
                <w:szCs w:val="28"/>
              </w:rPr>
            </w:pPr>
            <w:r>
              <w:rPr>
                <w:rFonts w:ascii="Times New Roman" w:hAnsi="Times New Roman" w:cs="Baskerville Old Face"/>
                <w:sz w:val="28"/>
                <w:szCs w:val="28"/>
              </w:rPr>
              <w:t>24</w:t>
            </w:r>
            <w:r w:rsidR="002002E9" w:rsidRPr="000C5FB9">
              <w:rPr>
                <w:rFonts w:ascii="Times New Roman" w:hAnsi="Times New Roman" w:cs="Baskerville Old Face"/>
                <w:sz w:val="28"/>
                <w:szCs w:val="28"/>
              </w:rPr>
              <w:t xml:space="preserve"> обв. лица</w:t>
            </w:r>
          </w:p>
        </w:tc>
      </w:tr>
    </w:tbl>
    <w:p w14:paraId="4437BC3E" w14:textId="77777777" w:rsidR="00897C29" w:rsidRPr="000C5FB9" w:rsidRDefault="00897C29" w:rsidP="00DB21A8">
      <w:pPr>
        <w:spacing w:after="0" w:line="240" w:lineRule="auto"/>
        <w:ind w:firstLine="709"/>
        <w:jc w:val="both"/>
        <w:rPr>
          <w:rFonts w:ascii="Times New Roman" w:hAnsi="Times New Roman" w:cs="Baskerville Old Face"/>
          <w:sz w:val="28"/>
          <w:szCs w:val="28"/>
        </w:rPr>
      </w:pPr>
    </w:p>
    <w:p w14:paraId="293D7FF3" w14:textId="77777777" w:rsidR="00897C29" w:rsidRPr="000C5FB9" w:rsidRDefault="00897C29" w:rsidP="00DB21A8">
      <w:pPr>
        <w:spacing w:after="0" w:line="240" w:lineRule="auto"/>
        <w:ind w:firstLine="709"/>
        <w:jc w:val="both"/>
        <w:rPr>
          <w:rFonts w:ascii="Times New Roman" w:hAnsi="Times New Roman" w:cs="Baskerville Old Face"/>
          <w:sz w:val="28"/>
          <w:szCs w:val="28"/>
        </w:rPr>
      </w:pPr>
      <w:r w:rsidRPr="000C5FB9">
        <w:rPr>
          <w:rFonts w:ascii="Times New Roman" w:hAnsi="Times New Roman" w:cs="Baskerville Old Face"/>
          <w:sz w:val="28"/>
          <w:szCs w:val="28"/>
        </w:rPr>
        <w:t xml:space="preserve">По </w:t>
      </w:r>
      <w:r w:rsidRPr="000C5FB9">
        <w:rPr>
          <w:rFonts w:ascii="Times New Roman" w:hAnsi="Times New Roman" w:cs="Baskerville Old Face"/>
          <w:sz w:val="28"/>
          <w:szCs w:val="28"/>
          <w:u w:val="single"/>
        </w:rPr>
        <w:t>начин на приключване</w:t>
      </w:r>
      <w:r w:rsidRPr="000C5FB9">
        <w:rPr>
          <w:rFonts w:ascii="Times New Roman" w:hAnsi="Times New Roman" w:cs="Baskerville Old Face"/>
          <w:sz w:val="28"/>
          <w:szCs w:val="28"/>
        </w:rPr>
        <w:t xml:space="preserve"> на досъдебните производства от следователите в следствения отдел абсолютните стойности са следните:</w:t>
      </w:r>
    </w:p>
    <w:p w14:paraId="3762568F" w14:textId="77777777" w:rsidR="00897C29" w:rsidRPr="008B000A" w:rsidRDefault="00897C29" w:rsidP="00DB21A8">
      <w:pPr>
        <w:spacing w:after="0" w:line="240" w:lineRule="auto"/>
        <w:ind w:firstLine="709"/>
        <w:jc w:val="both"/>
        <w:rPr>
          <w:rFonts w:ascii="Times New Roman" w:hAnsi="Times New Roman" w:cs="Baskerville Old Face"/>
          <w:sz w:val="28"/>
          <w:szCs w:val="28"/>
          <w:highlight w:val="green"/>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6"/>
        <w:gridCol w:w="2012"/>
        <w:gridCol w:w="2012"/>
        <w:gridCol w:w="2012"/>
      </w:tblGrid>
      <w:tr w:rsidR="00DB21A8" w:rsidRPr="008B000A" w14:paraId="1B4BB175" w14:textId="77777777" w:rsidTr="00DB21A8">
        <w:trPr>
          <w:jc w:val="center"/>
        </w:trPr>
        <w:tc>
          <w:tcPr>
            <w:tcW w:w="2606" w:type="dxa"/>
            <w:tcBorders>
              <w:right w:val="single" w:sz="4" w:space="0" w:color="auto"/>
            </w:tcBorders>
          </w:tcPr>
          <w:p w14:paraId="529F7827" w14:textId="77777777" w:rsidR="00DB21A8" w:rsidRPr="00C03607" w:rsidRDefault="00DB21A8" w:rsidP="00DB21A8">
            <w:pPr>
              <w:spacing w:after="0" w:line="240" w:lineRule="auto"/>
              <w:rPr>
                <w:rFonts w:ascii="Times New Roman" w:hAnsi="Times New Roman"/>
                <w:b/>
                <w:bCs/>
                <w:sz w:val="28"/>
                <w:szCs w:val="28"/>
              </w:rPr>
            </w:pPr>
            <w:r w:rsidRPr="00C03607">
              <w:rPr>
                <w:rFonts w:ascii="Times New Roman" w:hAnsi="Times New Roman"/>
                <w:b/>
                <w:bCs/>
                <w:sz w:val="28"/>
                <w:szCs w:val="28"/>
              </w:rPr>
              <w:t>година</w:t>
            </w:r>
          </w:p>
        </w:tc>
        <w:tc>
          <w:tcPr>
            <w:tcW w:w="2012" w:type="dxa"/>
            <w:tcBorders>
              <w:left w:val="single" w:sz="4" w:space="0" w:color="auto"/>
              <w:right w:val="single" w:sz="4" w:space="0" w:color="auto"/>
            </w:tcBorders>
            <w:shd w:val="clear" w:color="auto" w:fill="C2D69B" w:themeFill="accent3" w:themeFillTint="99"/>
          </w:tcPr>
          <w:p w14:paraId="4AD13F97" w14:textId="230173F3" w:rsidR="00DB21A8" w:rsidRPr="00C03607" w:rsidRDefault="00DB21A8" w:rsidP="00E45E87">
            <w:pPr>
              <w:spacing w:after="0" w:line="240" w:lineRule="auto"/>
              <w:jc w:val="center"/>
              <w:rPr>
                <w:rFonts w:ascii="Times New Roman" w:hAnsi="Times New Roman"/>
                <w:bCs/>
                <w:sz w:val="28"/>
                <w:szCs w:val="28"/>
              </w:rPr>
            </w:pPr>
            <w:r w:rsidRPr="00C03607">
              <w:rPr>
                <w:rFonts w:ascii="Times New Roman" w:hAnsi="Times New Roman"/>
                <w:bCs/>
                <w:sz w:val="28"/>
                <w:szCs w:val="28"/>
              </w:rPr>
              <w:t>202</w:t>
            </w:r>
            <w:r w:rsidR="00E45E87">
              <w:rPr>
                <w:rFonts w:ascii="Times New Roman" w:hAnsi="Times New Roman"/>
                <w:bCs/>
                <w:sz w:val="28"/>
                <w:szCs w:val="28"/>
              </w:rPr>
              <w:t>2</w:t>
            </w:r>
            <w:r w:rsidRPr="00C03607">
              <w:rPr>
                <w:rFonts w:ascii="Times New Roman" w:hAnsi="Times New Roman"/>
                <w:bCs/>
                <w:sz w:val="28"/>
                <w:szCs w:val="28"/>
              </w:rPr>
              <w:t xml:space="preserve"> г.</w:t>
            </w:r>
          </w:p>
        </w:tc>
        <w:tc>
          <w:tcPr>
            <w:tcW w:w="2012" w:type="dxa"/>
            <w:tcBorders>
              <w:left w:val="single" w:sz="4" w:space="0" w:color="auto"/>
              <w:right w:val="single" w:sz="4" w:space="0" w:color="auto"/>
            </w:tcBorders>
          </w:tcPr>
          <w:p w14:paraId="58817260" w14:textId="70905F31" w:rsidR="00DB21A8" w:rsidRPr="000C5FB9" w:rsidRDefault="000C5FB9" w:rsidP="00E45E87">
            <w:pPr>
              <w:spacing w:after="0" w:line="240" w:lineRule="auto"/>
              <w:jc w:val="center"/>
              <w:rPr>
                <w:rFonts w:ascii="Times New Roman" w:hAnsi="Times New Roman"/>
                <w:bCs/>
                <w:sz w:val="28"/>
                <w:szCs w:val="28"/>
              </w:rPr>
            </w:pPr>
            <w:r w:rsidRPr="000C5FB9">
              <w:rPr>
                <w:rFonts w:ascii="Times New Roman" w:hAnsi="Times New Roman"/>
                <w:bCs/>
                <w:sz w:val="28"/>
                <w:szCs w:val="28"/>
              </w:rPr>
              <w:t>202</w:t>
            </w:r>
            <w:r w:rsidR="00E45E87">
              <w:rPr>
                <w:rFonts w:ascii="Times New Roman" w:hAnsi="Times New Roman"/>
                <w:bCs/>
                <w:sz w:val="28"/>
                <w:szCs w:val="28"/>
              </w:rPr>
              <w:t>1</w:t>
            </w:r>
            <w:r w:rsidR="00DB21A8" w:rsidRPr="000C5FB9">
              <w:rPr>
                <w:rFonts w:ascii="Times New Roman" w:hAnsi="Times New Roman"/>
                <w:bCs/>
                <w:sz w:val="28"/>
                <w:szCs w:val="28"/>
              </w:rPr>
              <w:t xml:space="preserve"> г.</w:t>
            </w:r>
          </w:p>
        </w:tc>
        <w:tc>
          <w:tcPr>
            <w:tcW w:w="2012" w:type="dxa"/>
            <w:tcBorders>
              <w:left w:val="single" w:sz="4" w:space="0" w:color="auto"/>
              <w:right w:val="single" w:sz="4" w:space="0" w:color="auto"/>
            </w:tcBorders>
          </w:tcPr>
          <w:p w14:paraId="790DA3A4" w14:textId="471034E9" w:rsidR="00DB21A8" w:rsidRPr="000C5FB9" w:rsidRDefault="00DB21A8" w:rsidP="00E45E87">
            <w:pPr>
              <w:spacing w:after="0" w:line="240" w:lineRule="auto"/>
              <w:jc w:val="center"/>
              <w:rPr>
                <w:rFonts w:ascii="Times New Roman" w:hAnsi="Times New Roman"/>
                <w:bCs/>
                <w:sz w:val="28"/>
                <w:szCs w:val="28"/>
              </w:rPr>
            </w:pPr>
            <w:r w:rsidRPr="000C5FB9">
              <w:rPr>
                <w:rFonts w:ascii="Times New Roman" w:hAnsi="Times New Roman"/>
                <w:bCs/>
                <w:sz w:val="28"/>
                <w:szCs w:val="28"/>
              </w:rPr>
              <w:t>20</w:t>
            </w:r>
            <w:r w:rsidR="00E45E87">
              <w:rPr>
                <w:rFonts w:ascii="Times New Roman" w:hAnsi="Times New Roman"/>
                <w:bCs/>
                <w:sz w:val="28"/>
                <w:szCs w:val="28"/>
              </w:rPr>
              <w:t>20</w:t>
            </w:r>
            <w:r w:rsidRPr="000C5FB9">
              <w:rPr>
                <w:rFonts w:ascii="Times New Roman" w:hAnsi="Times New Roman"/>
                <w:bCs/>
                <w:sz w:val="28"/>
                <w:szCs w:val="28"/>
              </w:rPr>
              <w:t xml:space="preserve"> г.</w:t>
            </w:r>
          </w:p>
        </w:tc>
      </w:tr>
      <w:tr w:rsidR="00E45E87" w:rsidRPr="008B000A" w14:paraId="56FE1127" w14:textId="77777777" w:rsidTr="00DB21A8">
        <w:trPr>
          <w:jc w:val="center"/>
        </w:trPr>
        <w:tc>
          <w:tcPr>
            <w:tcW w:w="2606" w:type="dxa"/>
            <w:tcBorders>
              <w:right w:val="single" w:sz="4" w:space="0" w:color="auto"/>
            </w:tcBorders>
          </w:tcPr>
          <w:p w14:paraId="41E3981E" w14:textId="77777777" w:rsidR="00E45E87" w:rsidRPr="00C03607" w:rsidRDefault="00E45E87" w:rsidP="00DB21A8">
            <w:pPr>
              <w:spacing w:after="0" w:line="240" w:lineRule="auto"/>
              <w:rPr>
                <w:rFonts w:ascii="Times New Roman" w:hAnsi="Times New Roman"/>
                <w:sz w:val="28"/>
                <w:szCs w:val="28"/>
              </w:rPr>
            </w:pPr>
            <w:r w:rsidRPr="00C03607">
              <w:rPr>
                <w:rFonts w:ascii="Times New Roman" w:hAnsi="Times New Roman"/>
                <w:sz w:val="28"/>
                <w:szCs w:val="28"/>
              </w:rPr>
              <w:t>приключ. общо</w:t>
            </w:r>
          </w:p>
        </w:tc>
        <w:tc>
          <w:tcPr>
            <w:tcW w:w="2012" w:type="dxa"/>
            <w:tcBorders>
              <w:left w:val="single" w:sz="4" w:space="0" w:color="auto"/>
              <w:right w:val="single" w:sz="4" w:space="0" w:color="auto"/>
            </w:tcBorders>
            <w:shd w:val="clear" w:color="auto" w:fill="C2D69B" w:themeFill="accent3" w:themeFillTint="99"/>
          </w:tcPr>
          <w:p w14:paraId="534F7CBB" w14:textId="5C1FE550" w:rsidR="00E45E87" w:rsidRPr="00C03607" w:rsidRDefault="00E45E87" w:rsidP="00E45E87">
            <w:pPr>
              <w:spacing w:after="0" w:line="240" w:lineRule="auto"/>
              <w:jc w:val="center"/>
              <w:rPr>
                <w:rFonts w:ascii="Times New Roman" w:hAnsi="Times New Roman"/>
                <w:sz w:val="28"/>
                <w:szCs w:val="28"/>
              </w:rPr>
            </w:pPr>
            <w:r>
              <w:rPr>
                <w:rFonts w:ascii="Times New Roman" w:hAnsi="Times New Roman"/>
                <w:sz w:val="28"/>
                <w:szCs w:val="28"/>
              </w:rPr>
              <w:t>51</w:t>
            </w:r>
          </w:p>
        </w:tc>
        <w:tc>
          <w:tcPr>
            <w:tcW w:w="2012" w:type="dxa"/>
            <w:tcBorders>
              <w:left w:val="single" w:sz="4" w:space="0" w:color="auto"/>
              <w:right w:val="single" w:sz="4" w:space="0" w:color="auto"/>
            </w:tcBorders>
          </w:tcPr>
          <w:p w14:paraId="2B70F6DD" w14:textId="7E2906C2" w:rsidR="00E45E87" w:rsidRPr="00E45E87" w:rsidRDefault="00E45E87" w:rsidP="00DB21A8">
            <w:pPr>
              <w:spacing w:after="0" w:line="240" w:lineRule="auto"/>
              <w:jc w:val="center"/>
              <w:rPr>
                <w:rFonts w:ascii="Times New Roman" w:hAnsi="Times New Roman"/>
                <w:bCs/>
                <w:sz w:val="28"/>
                <w:szCs w:val="28"/>
              </w:rPr>
            </w:pPr>
            <w:r w:rsidRPr="00E45E87">
              <w:rPr>
                <w:rFonts w:ascii="Times New Roman" w:hAnsi="Times New Roman"/>
                <w:bCs/>
                <w:sz w:val="28"/>
                <w:szCs w:val="28"/>
              </w:rPr>
              <w:t>79</w:t>
            </w:r>
          </w:p>
        </w:tc>
        <w:tc>
          <w:tcPr>
            <w:tcW w:w="2012" w:type="dxa"/>
            <w:tcBorders>
              <w:left w:val="single" w:sz="4" w:space="0" w:color="auto"/>
              <w:right w:val="single" w:sz="4" w:space="0" w:color="auto"/>
            </w:tcBorders>
          </w:tcPr>
          <w:p w14:paraId="27BB4977" w14:textId="0A5A5DFA" w:rsidR="00E45E87" w:rsidRPr="00E45E87" w:rsidRDefault="00E45E87" w:rsidP="00DB21A8">
            <w:pPr>
              <w:spacing w:after="0" w:line="240" w:lineRule="auto"/>
              <w:jc w:val="center"/>
              <w:rPr>
                <w:rFonts w:ascii="Times New Roman" w:hAnsi="Times New Roman"/>
                <w:bCs/>
                <w:sz w:val="28"/>
                <w:szCs w:val="28"/>
              </w:rPr>
            </w:pPr>
            <w:r w:rsidRPr="00E45E87">
              <w:rPr>
                <w:rFonts w:ascii="Times New Roman" w:hAnsi="Times New Roman"/>
                <w:bCs/>
                <w:sz w:val="28"/>
                <w:szCs w:val="28"/>
              </w:rPr>
              <w:t>92</w:t>
            </w:r>
          </w:p>
        </w:tc>
      </w:tr>
      <w:tr w:rsidR="00E45E87" w:rsidRPr="008B000A" w14:paraId="2F4C0129" w14:textId="77777777" w:rsidTr="00DB21A8">
        <w:trPr>
          <w:jc w:val="center"/>
        </w:trPr>
        <w:tc>
          <w:tcPr>
            <w:tcW w:w="2606" w:type="dxa"/>
            <w:tcBorders>
              <w:right w:val="single" w:sz="4" w:space="0" w:color="auto"/>
            </w:tcBorders>
          </w:tcPr>
          <w:p w14:paraId="6BE4E479" w14:textId="77777777" w:rsidR="00E45E87" w:rsidRPr="00C03607" w:rsidRDefault="00E45E87" w:rsidP="00DB21A8">
            <w:pPr>
              <w:spacing w:after="0" w:line="240" w:lineRule="auto"/>
              <w:rPr>
                <w:rFonts w:ascii="Times New Roman" w:hAnsi="Times New Roman"/>
                <w:sz w:val="28"/>
                <w:szCs w:val="28"/>
              </w:rPr>
            </w:pPr>
            <w:r w:rsidRPr="00C03607">
              <w:rPr>
                <w:rFonts w:ascii="Times New Roman" w:hAnsi="Times New Roman"/>
                <w:sz w:val="28"/>
                <w:szCs w:val="28"/>
              </w:rPr>
              <w:t>приключ. за съд</w:t>
            </w:r>
          </w:p>
        </w:tc>
        <w:tc>
          <w:tcPr>
            <w:tcW w:w="2012" w:type="dxa"/>
            <w:tcBorders>
              <w:left w:val="single" w:sz="4" w:space="0" w:color="auto"/>
            </w:tcBorders>
            <w:shd w:val="clear" w:color="auto" w:fill="C2D69B" w:themeFill="accent3" w:themeFillTint="99"/>
          </w:tcPr>
          <w:p w14:paraId="471DF7F5" w14:textId="61B59C53" w:rsidR="00E45E87" w:rsidRPr="00C03607" w:rsidRDefault="00E45E87" w:rsidP="00E45E87">
            <w:pPr>
              <w:spacing w:after="0" w:line="240" w:lineRule="auto"/>
              <w:jc w:val="center"/>
              <w:rPr>
                <w:rFonts w:ascii="Times New Roman" w:hAnsi="Times New Roman"/>
                <w:sz w:val="28"/>
                <w:szCs w:val="28"/>
              </w:rPr>
            </w:pPr>
            <w:r w:rsidRPr="00C03607">
              <w:rPr>
                <w:rFonts w:ascii="Times New Roman" w:hAnsi="Times New Roman"/>
                <w:sz w:val="28"/>
                <w:szCs w:val="28"/>
              </w:rPr>
              <w:t>1</w:t>
            </w:r>
            <w:r>
              <w:rPr>
                <w:rFonts w:ascii="Times New Roman" w:hAnsi="Times New Roman"/>
                <w:sz w:val="28"/>
                <w:szCs w:val="28"/>
              </w:rPr>
              <w:t>3</w:t>
            </w:r>
          </w:p>
        </w:tc>
        <w:tc>
          <w:tcPr>
            <w:tcW w:w="2012" w:type="dxa"/>
            <w:tcBorders>
              <w:left w:val="single" w:sz="4" w:space="0" w:color="auto"/>
              <w:right w:val="single" w:sz="4" w:space="0" w:color="auto"/>
            </w:tcBorders>
          </w:tcPr>
          <w:p w14:paraId="63BE5189" w14:textId="2B48C3D7" w:rsidR="00E45E87" w:rsidRPr="00E45E87" w:rsidRDefault="00E45E87" w:rsidP="000C5FB9">
            <w:pPr>
              <w:spacing w:after="0" w:line="240" w:lineRule="auto"/>
              <w:jc w:val="center"/>
              <w:rPr>
                <w:rFonts w:ascii="Times New Roman" w:hAnsi="Times New Roman"/>
                <w:bCs/>
                <w:sz w:val="28"/>
                <w:szCs w:val="28"/>
              </w:rPr>
            </w:pPr>
            <w:r w:rsidRPr="00E45E87">
              <w:rPr>
                <w:rFonts w:ascii="Times New Roman" w:hAnsi="Times New Roman"/>
                <w:bCs/>
                <w:sz w:val="28"/>
                <w:szCs w:val="28"/>
              </w:rPr>
              <w:t>11</w:t>
            </w:r>
          </w:p>
        </w:tc>
        <w:tc>
          <w:tcPr>
            <w:tcW w:w="2012" w:type="dxa"/>
            <w:tcBorders>
              <w:left w:val="single" w:sz="4" w:space="0" w:color="auto"/>
              <w:right w:val="single" w:sz="4" w:space="0" w:color="auto"/>
            </w:tcBorders>
          </w:tcPr>
          <w:p w14:paraId="174AE551" w14:textId="5A5F9268" w:rsidR="00E45E87" w:rsidRPr="00E45E87" w:rsidRDefault="00E45E87" w:rsidP="000C5FB9">
            <w:pPr>
              <w:spacing w:after="0" w:line="240" w:lineRule="auto"/>
              <w:jc w:val="center"/>
              <w:rPr>
                <w:rFonts w:ascii="Times New Roman" w:hAnsi="Times New Roman"/>
                <w:bCs/>
                <w:sz w:val="28"/>
                <w:szCs w:val="28"/>
              </w:rPr>
            </w:pPr>
            <w:r w:rsidRPr="00E45E87">
              <w:rPr>
                <w:rFonts w:ascii="Times New Roman" w:hAnsi="Times New Roman"/>
                <w:bCs/>
                <w:sz w:val="28"/>
                <w:szCs w:val="28"/>
              </w:rPr>
              <w:t>22</w:t>
            </w:r>
          </w:p>
        </w:tc>
      </w:tr>
      <w:tr w:rsidR="00E45E87" w:rsidRPr="008B000A" w14:paraId="0E9B6449" w14:textId="77777777" w:rsidTr="00DB21A8">
        <w:trPr>
          <w:jc w:val="center"/>
        </w:trPr>
        <w:tc>
          <w:tcPr>
            <w:tcW w:w="2606" w:type="dxa"/>
            <w:tcBorders>
              <w:right w:val="single" w:sz="4" w:space="0" w:color="auto"/>
            </w:tcBorders>
          </w:tcPr>
          <w:p w14:paraId="11D5463B" w14:textId="77777777" w:rsidR="00E45E87" w:rsidRPr="00C03607" w:rsidRDefault="00E45E87" w:rsidP="00DB21A8">
            <w:pPr>
              <w:spacing w:after="0" w:line="240" w:lineRule="auto"/>
              <w:rPr>
                <w:rFonts w:ascii="Times New Roman" w:hAnsi="Times New Roman"/>
                <w:sz w:val="28"/>
                <w:szCs w:val="28"/>
              </w:rPr>
            </w:pPr>
            <w:r w:rsidRPr="00C03607">
              <w:rPr>
                <w:rFonts w:ascii="Times New Roman" w:hAnsi="Times New Roman"/>
                <w:sz w:val="28"/>
                <w:szCs w:val="28"/>
              </w:rPr>
              <w:t>за прекратяване</w:t>
            </w:r>
          </w:p>
        </w:tc>
        <w:tc>
          <w:tcPr>
            <w:tcW w:w="2012" w:type="dxa"/>
            <w:tcBorders>
              <w:left w:val="single" w:sz="4" w:space="0" w:color="auto"/>
            </w:tcBorders>
            <w:shd w:val="clear" w:color="auto" w:fill="C2D69B" w:themeFill="accent3" w:themeFillTint="99"/>
          </w:tcPr>
          <w:p w14:paraId="3DF41216" w14:textId="212A8FA3" w:rsidR="00E45E87" w:rsidRPr="00C03607" w:rsidRDefault="00E45E87" w:rsidP="00E45E87">
            <w:pPr>
              <w:spacing w:after="0" w:line="240" w:lineRule="auto"/>
              <w:jc w:val="center"/>
              <w:rPr>
                <w:rFonts w:ascii="Times New Roman" w:hAnsi="Times New Roman"/>
                <w:sz w:val="28"/>
                <w:szCs w:val="28"/>
              </w:rPr>
            </w:pPr>
            <w:r>
              <w:rPr>
                <w:rFonts w:ascii="Times New Roman" w:hAnsi="Times New Roman"/>
                <w:sz w:val="28"/>
                <w:szCs w:val="28"/>
              </w:rPr>
              <w:t>32</w:t>
            </w:r>
          </w:p>
        </w:tc>
        <w:tc>
          <w:tcPr>
            <w:tcW w:w="2012" w:type="dxa"/>
            <w:tcBorders>
              <w:left w:val="single" w:sz="4" w:space="0" w:color="auto"/>
              <w:right w:val="single" w:sz="4" w:space="0" w:color="auto"/>
            </w:tcBorders>
          </w:tcPr>
          <w:p w14:paraId="5766A8DD" w14:textId="206767AF" w:rsidR="00E45E87" w:rsidRPr="00E45E87" w:rsidRDefault="00E45E87" w:rsidP="00DB21A8">
            <w:pPr>
              <w:spacing w:after="0" w:line="240" w:lineRule="auto"/>
              <w:jc w:val="center"/>
              <w:rPr>
                <w:rFonts w:ascii="Times New Roman" w:hAnsi="Times New Roman"/>
                <w:bCs/>
                <w:sz w:val="28"/>
                <w:szCs w:val="28"/>
              </w:rPr>
            </w:pPr>
            <w:r w:rsidRPr="00E45E87">
              <w:rPr>
                <w:rFonts w:ascii="Times New Roman" w:hAnsi="Times New Roman"/>
                <w:bCs/>
                <w:sz w:val="28"/>
                <w:szCs w:val="28"/>
              </w:rPr>
              <w:t>46</w:t>
            </w:r>
          </w:p>
        </w:tc>
        <w:tc>
          <w:tcPr>
            <w:tcW w:w="2012" w:type="dxa"/>
            <w:tcBorders>
              <w:left w:val="single" w:sz="4" w:space="0" w:color="auto"/>
              <w:right w:val="single" w:sz="4" w:space="0" w:color="auto"/>
            </w:tcBorders>
          </w:tcPr>
          <w:p w14:paraId="1868FC15" w14:textId="62FA411B" w:rsidR="00E45E87" w:rsidRPr="00E45E87" w:rsidRDefault="00E45E87" w:rsidP="00DB21A8">
            <w:pPr>
              <w:spacing w:after="0" w:line="240" w:lineRule="auto"/>
              <w:jc w:val="center"/>
              <w:rPr>
                <w:rFonts w:ascii="Times New Roman" w:hAnsi="Times New Roman"/>
                <w:bCs/>
                <w:sz w:val="28"/>
                <w:szCs w:val="28"/>
              </w:rPr>
            </w:pPr>
            <w:r w:rsidRPr="00E45E87">
              <w:rPr>
                <w:rFonts w:ascii="Times New Roman" w:hAnsi="Times New Roman"/>
                <w:bCs/>
                <w:sz w:val="28"/>
                <w:szCs w:val="28"/>
              </w:rPr>
              <w:t>56</w:t>
            </w:r>
          </w:p>
        </w:tc>
      </w:tr>
      <w:tr w:rsidR="00E45E87" w:rsidRPr="008B000A" w14:paraId="54FA56F6" w14:textId="77777777" w:rsidTr="00DB21A8">
        <w:trPr>
          <w:jc w:val="center"/>
        </w:trPr>
        <w:tc>
          <w:tcPr>
            <w:tcW w:w="2606" w:type="dxa"/>
            <w:tcBorders>
              <w:right w:val="single" w:sz="4" w:space="0" w:color="auto"/>
            </w:tcBorders>
          </w:tcPr>
          <w:p w14:paraId="7A62EFE6" w14:textId="77777777" w:rsidR="00E45E87" w:rsidRPr="00C03607" w:rsidRDefault="00E45E87" w:rsidP="00DB21A8">
            <w:pPr>
              <w:spacing w:after="0" w:line="240" w:lineRule="auto"/>
              <w:rPr>
                <w:rFonts w:ascii="Times New Roman" w:hAnsi="Times New Roman"/>
                <w:sz w:val="28"/>
                <w:szCs w:val="28"/>
              </w:rPr>
            </w:pPr>
            <w:r w:rsidRPr="00C03607">
              <w:rPr>
                <w:rFonts w:ascii="Times New Roman" w:hAnsi="Times New Roman"/>
                <w:sz w:val="28"/>
                <w:szCs w:val="28"/>
              </w:rPr>
              <w:t>за спиране</w:t>
            </w:r>
          </w:p>
        </w:tc>
        <w:tc>
          <w:tcPr>
            <w:tcW w:w="2012" w:type="dxa"/>
            <w:tcBorders>
              <w:left w:val="single" w:sz="4" w:space="0" w:color="auto"/>
            </w:tcBorders>
            <w:shd w:val="clear" w:color="auto" w:fill="C2D69B" w:themeFill="accent3" w:themeFillTint="99"/>
          </w:tcPr>
          <w:p w14:paraId="409A5147" w14:textId="211F21F3" w:rsidR="00E45E87" w:rsidRPr="00C03607" w:rsidRDefault="00E45E87" w:rsidP="00DB21A8">
            <w:pPr>
              <w:spacing w:after="0" w:line="240" w:lineRule="auto"/>
              <w:jc w:val="center"/>
              <w:rPr>
                <w:rFonts w:ascii="Times New Roman" w:hAnsi="Times New Roman"/>
                <w:sz w:val="28"/>
                <w:szCs w:val="28"/>
              </w:rPr>
            </w:pPr>
            <w:r>
              <w:rPr>
                <w:rFonts w:ascii="Times New Roman" w:hAnsi="Times New Roman"/>
                <w:sz w:val="28"/>
                <w:szCs w:val="28"/>
              </w:rPr>
              <w:t>5</w:t>
            </w:r>
          </w:p>
        </w:tc>
        <w:tc>
          <w:tcPr>
            <w:tcW w:w="2012" w:type="dxa"/>
            <w:tcBorders>
              <w:left w:val="single" w:sz="4" w:space="0" w:color="auto"/>
              <w:right w:val="single" w:sz="4" w:space="0" w:color="auto"/>
            </w:tcBorders>
          </w:tcPr>
          <w:p w14:paraId="7B2CDB0B" w14:textId="6B9B36A3" w:rsidR="00E45E87" w:rsidRPr="00E45E87" w:rsidRDefault="00E45E87" w:rsidP="00DB21A8">
            <w:pPr>
              <w:spacing w:after="0" w:line="240" w:lineRule="auto"/>
              <w:jc w:val="center"/>
              <w:rPr>
                <w:rFonts w:ascii="Times New Roman" w:hAnsi="Times New Roman"/>
                <w:bCs/>
                <w:sz w:val="28"/>
                <w:szCs w:val="28"/>
              </w:rPr>
            </w:pPr>
            <w:r w:rsidRPr="00E45E87">
              <w:rPr>
                <w:rFonts w:ascii="Times New Roman" w:hAnsi="Times New Roman"/>
                <w:bCs/>
                <w:sz w:val="28"/>
                <w:szCs w:val="28"/>
              </w:rPr>
              <w:t>13</w:t>
            </w:r>
          </w:p>
        </w:tc>
        <w:tc>
          <w:tcPr>
            <w:tcW w:w="2012" w:type="dxa"/>
            <w:tcBorders>
              <w:left w:val="single" w:sz="4" w:space="0" w:color="auto"/>
              <w:right w:val="single" w:sz="4" w:space="0" w:color="auto"/>
            </w:tcBorders>
          </w:tcPr>
          <w:p w14:paraId="02DC356D" w14:textId="5F632A72" w:rsidR="00E45E87" w:rsidRPr="00E45E87" w:rsidRDefault="00E45E87" w:rsidP="00DB21A8">
            <w:pPr>
              <w:spacing w:after="0" w:line="240" w:lineRule="auto"/>
              <w:jc w:val="center"/>
              <w:rPr>
                <w:rFonts w:ascii="Times New Roman" w:hAnsi="Times New Roman"/>
                <w:bCs/>
                <w:sz w:val="28"/>
                <w:szCs w:val="28"/>
              </w:rPr>
            </w:pPr>
            <w:r w:rsidRPr="00E45E87">
              <w:rPr>
                <w:rFonts w:ascii="Times New Roman" w:hAnsi="Times New Roman"/>
                <w:bCs/>
                <w:sz w:val="28"/>
                <w:szCs w:val="28"/>
              </w:rPr>
              <w:t>8</w:t>
            </w:r>
          </w:p>
        </w:tc>
      </w:tr>
      <w:tr w:rsidR="00E45E87" w:rsidRPr="008B000A" w14:paraId="1C9B9EC1" w14:textId="77777777" w:rsidTr="00DB21A8">
        <w:trPr>
          <w:jc w:val="center"/>
        </w:trPr>
        <w:tc>
          <w:tcPr>
            <w:tcW w:w="2606" w:type="dxa"/>
            <w:tcBorders>
              <w:right w:val="single" w:sz="4" w:space="0" w:color="auto"/>
            </w:tcBorders>
          </w:tcPr>
          <w:p w14:paraId="22E6F656" w14:textId="77777777" w:rsidR="00E45E87" w:rsidRPr="00C03607" w:rsidRDefault="00E45E87" w:rsidP="00DB21A8">
            <w:pPr>
              <w:spacing w:after="0" w:line="240" w:lineRule="auto"/>
              <w:rPr>
                <w:rFonts w:ascii="Times New Roman" w:hAnsi="Times New Roman"/>
                <w:sz w:val="28"/>
                <w:szCs w:val="28"/>
              </w:rPr>
            </w:pPr>
            <w:r w:rsidRPr="00C03607">
              <w:rPr>
                <w:rFonts w:ascii="Times New Roman" w:hAnsi="Times New Roman"/>
                <w:sz w:val="28"/>
                <w:szCs w:val="28"/>
              </w:rPr>
              <w:t>по компетентност</w:t>
            </w:r>
          </w:p>
        </w:tc>
        <w:tc>
          <w:tcPr>
            <w:tcW w:w="2012" w:type="dxa"/>
            <w:tcBorders>
              <w:left w:val="single" w:sz="4" w:space="0" w:color="auto"/>
            </w:tcBorders>
            <w:shd w:val="clear" w:color="auto" w:fill="C2D69B" w:themeFill="accent3" w:themeFillTint="99"/>
          </w:tcPr>
          <w:p w14:paraId="1184F8FE" w14:textId="64C39143" w:rsidR="00E45E87" w:rsidRPr="00C03607" w:rsidRDefault="00E45E87" w:rsidP="00E45E87">
            <w:pPr>
              <w:spacing w:after="0" w:line="240" w:lineRule="auto"/>
              <w:jc w:val="center"/>
              <w:rPr>
                <w:rFonts w:ascii="Times New Roman" w:hAnsi="Times New Roman"/>
                <w:sz w:val="28"/>
                <w:szCs w:val="28"/>
              </w:rPr>
            </w:pPr>
            <w:r>
              <w:rPr>
                <w:rFonts w:ascii="Times New Roman" w:hAnsi="Times New Roman"/>
                <w:sz w:val="28"/>
                <w:szCs w:val="28"/>
              </w:rPr>
              <w:t>1</w:t>
            </w:r>
          </w:p>
        </w:tc>
        <w:tc>
          <w:tcPr>
            <w:tcW w:w="2012" w:type="dxa"/>
            <w:tcBorders>
              <w:left w:val="single" w:sz="4" w:space="0" w:color="auto"/>
              <w:right w:val="single" w:sz="4" w:space="0" w:color="auto"/>
            </w:tcBorders>
          </w:tcPr>
          <w:p w14:paraId="3550E125" w14:textId="5C30C407" w:rsidR="00E45E87" w:rsidRPr="00E45E87" w:rsidRDefault="00E45E87" w:rsidP="00DB21A8">
            <w:pPr>
              <w:spacing w:after="0" w:line="240" w:lineRule="auto"/>
              <w:jc w:val="center"/>
              <w:rPr>
                <w:rFonts w:ascii="Times New Roman" w:hAnsi="Times New Roman"/>
                <w:bCs/>
                <w:sz w:val="28"/>
                <w:szCs w:val="28"/>
              </w:rPr>
            </w:pPr>
            <w:r w:rsidRPr="00E45E87">
              <w:rPr>
                <w:rFonts w:ascii="Times New Roman" w:hAnsi="Times New Roman"/>
                <w:bCs/>
                <w:sz w:val="28"/>
                <w:szCs w:val="28"/>
              </w:rPr>
              <w:t>9</w:t>
            </w:r>
          </w:p>
        </w:tc>
        <w:tc>
          <w:tcPr>
            <w:tcW w:w="2012" w:type="dxa"/>
            <w:tcBorders>
              <w:left w:val="single" w:sz="4" w:space="0" w:color="auto"/>
              <w:right w:val="single" w:sz="4" w:space="0" w:color="auto"/>
            </w:tcBorders>
          </w:tcPr>
          <w:p w14:paraId="7ADA1D1B" w14:textId="1FCB21F2" w:rsidR="00E45E87" w:rsidRPr="00E45E87" w:rsidRDefault="00E45E87" w:rsidP="00DB21A8">
            <w:pPr>
              <w:spacing w:after="0" w:line="240" w:lineRule="auto"/>
              <w:jc w:val="center"/>
              <w:rPr>
                <w:rFonts w:ascii="Times New Roman" w:hAnsi="Times New Roman"/>
                <w:bCs/>
                <w:sz w:val="28"/>
                <w:szCs w:val="28"/>
              </w:rPr>
            </w:pPr>
            <w:r w:rsidRPr="00E45E87">
              <w:rPr>
                <w:rFonts w:ascii="Times New Roman" w:hAnsi="Times New Roman"/>
                <w:bCs/>
                <w:sz w:val="28"/>
                <w:szCs w:val="28"/>
              </w:rPr>
              <w:t>6</w:t>
            </w:r>
          </w:p>
        </w:tc>
      </w:tr>
    </w:tbl>
    <w:p w14:paraId="19261507" w14:textId="77777777" w:rsidR="00897C29" w:rsidRPr="008B000A" w:rsidRDefault="00897C29" w:rsidP="00DB21A8">
      <w:pPr>
        <w:spacing w:after="0" w:line="240" w:lineRule="auto"/>
        <w:ind w:firstLine="709"/>
        <w:jc w:val="both"/>
        <w:rPr>
          <w:rFonts w:ascii="Times New Roman" w:hAnsi="Times New Roman" w:cs="Baskerville Old Face"/>
          <w:sz w:val="28"/>
          <w:szCs w:val="28"/>
          <w:highlight w:val="green"/>
        </w:rPr>
      </w:pPr>
    </w:p>
    <w:p w14:paraId="75795FC0" w14:textId="77777777" w:rsidR="007349AC" w:rsidRDefault="00897C29" w:rsidP="00C03607">
      <w:pPr>
        <w:spacing w:after="0" w:line="240" w:lineRule="auto"/>
        <w:ind w:firstLine="709"/>
        <w:jc w:val="both"/>
        <w:rPr>
          <w:rFonts w:ascii="Times New Roman" w:hAnsi="Times New Roman" w:cs="Baskerville Old Face"/>
          <w:sz w:val="28"/>
          <w:szCs w:val="28"/>
        </w:rPr>
      </w:pPr>
      <w:r w:rsidRPr="00C03607">
        <w:rPr>
          <w:rFonts w:ascii="Times New Roman" w:hAnsi="Times New Roman" w:cs="Baskerville Old Face"/>
          <w:sz w:val="28"/>
          <w:szCs w:val="28"/>
        </w:rPr>
        <w:t xml:space="preserve">От тази таблица е видно </w:t>
      </w:r>
      <w:r w:rsidR="00E45E87">
        <w:rPr>
          <w:rFonts w:ascii="Times New Roman" w:hAnsi="Times New Roman" w:cs="Baskerville Old Face"/>
          <w:sz w:val="28"/>
          <w:szCs w:val="28"/>
        </w:rPr>
        <w:t xml:space="preserve">увеличаване </w:t>
      </w:r>
      <w:r w:rsidR="00DB21A8" w:rsidRPr="00C03607">
        <w:rPr>
          <w:rFonts w:ascii="Times New Roman" w:hAnsi="Times New Roman" w:cs="Baskerville Old Face"/>
          <w:sz w:val="28"/>
          <w:szCs w:val="28"/>
        </w:rPr>
        <w:t>броя</w:t>
      </w:r>
      <w:r w:rsidR="002A1BE4" w:rsidRPr="00C03607">
        <w:rPr>
          <w:rFonts w:ascii="Times New Roman" w:hAnsi="Times New Roman" w:cs="Baskerville Old Face"/>
          <w:sz w:val="28"/>
          <w:szCs w:val="28"/>
        </w:rPr>
        <w:t xml:space="preserve"> на</w:t>
      </w:r>
      <w:r w:rsidRPr="00C03607">
        <w:rPr>
          <w:rFonts w:ascii="Times New Roman" w:hAnsi="Times New Roman" w:cs="Baskerville Old Face"/>
          <w:sz w:val="28"/>
          <w:szCs w:val="28"/>
        </w:rPr>
        <w:t xml:space="preserve"> приключените дела за съд</w:t>
      </w:r>
      <w:r w:rsidR="002A1BE4" w:rsidRPr="00C03607">
        <w:rPr>
          <w:rFonts w:ascii="Times New Roman" w:hAnsi="Times New Roman" w:cs="Baskerville Old Face"/>
          <w:sz w:val="28"/>
          <w:szCs w:val="28"/>
        </w:rPr>
        <w:t xml:space="preserve"> спрямо </w:t>
      </w:r>
      <w:r w:rsidR="00C03607" w:rsidRPr="00C03607">
        <w:rPr>
          <w:rFonts w:ascii="Times New Roman" w:hAnsi="Times New Roman" w:cs="Baskerville Old Face"/>
          <w:sz w:val="28"/>
          <w:szCs w:val="28"/>
        </w:rPr>
        <w:t>202</w:t>
      </w:r>
      <w:r w:rsidR="00E45E87">
        <w:rPr>
          <w:rFonts w:ascii="Times New Roman" w:hAnsi="Times New Roman" w:cs="Baskerville Old Face"/>
          <w:sz w:val="28"/>
          <w:szCs w:val="28"/>
        </w:rPr>
        <w:t>1</w:t>
      </w:r>
      <w:r w:rsidR="00C03607" w:rsidRPr="00C03607">
        <w:rPr>
          <w:rFonts w:ascii="Times New Roman" w:hAnsi="Times New Roman" w:cs="Baskerville Old Face"/>
          <w:sz w:val="28"/>
          <w:szCs w:val="28"/>
        </w:rPr>
        <w:t xml:space="preserve"> г. и </w:t>
      </w:r>
      <w:r w:rsidR="00E45E87" w:rsidRPr="00C03607">
        <w:rPr>
          <w:rFonts w:ascii="Times New Roman" w:hAnsi="Times New Roman" w:cs="Baskerville Old Face"/>
          <w:sz w:val="28"/>
          <w:szCs w:val="28"/>
        </w:rPr>
        <w:t xml:space="preserve">намаляване </w:t>
      </w:r>
      <w:r w:rsidR="00E45E87">
        <w:rPr>
          <w:rFonts w:ascii="Times New Roman" w:hAnsi="Times New Roman" w:cs="Baskerville Old Face"/>
          <w:sz w:val="28"/>
          <w:szCs w:val="28"/>
        </w:rPr>
        <w:t>спрямо 2020</w:t>
      </w:r>
      <w:r w:rsidR="002A1BE4" w:rsidRPr="00C03607">
        <w:rPr>
          <w:rFonts w:ascii="Times New Roman" w:hAnsi="Times New Roman" w:cs="Baskerville Old Face"/>
          <w:sz w:val="28"/>
          <w:szCs w:val="28"/>
        </w:rPr>
        <w:t xml:space="preserve"> г.</w:t>
      </w:r>
      <w:r w:rsidR="007349AC">
        <w:rPr>
          <w:rFonts w:ascii="Times New Roman" w:hAnsi="Times New Roman" w:cs="Baskerville Old Face"/>
          <w:sz w:val="28"/>
          <w:szCs w:val="28"/>
        </w:rPr>
        <w:t xml:space="preserve"> По отношение </w:t>
      </w:r>
      <w:r w:rsidR="00E45E87">
        <w:rPr>
          <w:rFonts w:ascii="Times New Roman" w:hAnsi="Times New Roman" w:cs="Baskerville Old Face"/>
          <w:sz w:val="28"/>
          <w:szCs w:val="28"/>
        </w:rPr>
        <w:t>броя на приключените с мнение за спиране, за пре</w:t>
      </w:r>
      <w:r w:rsidR="007349AC">
        <w:rPr>
          <w:rFonts w:ascii="Times New Roman" w:hAnsi="Times New Roman" w:cs="Baskerville Old Face"/>
          <w:sz w:val="28"/>
          <w:szCs w:val="28"/>
        </w:rPr>
        <w:t>к</w:t>
      </w:r>
      <w:r w:rsidR="00E45E87">
        <w:rPr>
          <w:rFonts w:ascii="Times New Roman" w:hAnsi="Times New Roman" w:cs="Baskerville Old Face"/>
          <w:sz w:val="28"/>
          <w:szCs w:val="28"/>
        </w:rPr>
        <w:t>ратяване и за изпращане по компетентност спрямо 2021 г. и 2020 г.</w:t>
      </w:r>
      <w:r w:rsidR="00C03607" w:rsidRPr="00C03607">
        <w:rPr>
          <w:rFonts w:ascii="Times New Roman" w:hAnsi="Times New Roman" w:cs="Baskerville Old Face"/>
          <w:sz w:val="28"/>
          <w:szCs w:val="28"/>
        </w:rPr>
        <w:t xml:space="preserve"> </w:t>
      </w:r>
      <w:r w:rsidR="007349AC">
        <w:rPr>
          <w:rFonts w:ascii="Times New Roman" w:hAnsi="Times New Roman" w:cs="Baskerville Old Face"/>
          <w:sz w:val="28"/>
          <w:szCs w:val="28"/>
        </w:rPr>
        <w:t>се наблюдава намаляване.</w:t>
      </w:r>
    </w:p>
    <w:p w14:paraId="0221A0EA" w14:textId="77777777" w:rsidR="00897C29" w:rsidRPr="00C03607" w:rsidRDefault="00897C29" w:rsidP="00FA444C">
      <w:pPr>
        <w:spacing w:after="0" w:line="240" w:lineRule="auto"/>
        <w:ind w:firstLine="709"/>
        <w:jc w:val="both"/>
        <w:rPr>
          <w:rFonts w:ascii="Times New Roman" w:hAnsi="Times New Roman"/>
          <w:sz w:val="28"/>
          <w:szCs w:val="28"/>
        </w:rPr>
      </w:pPr>
    </w:p>
    <w:p w14:paraId="5F26D951" w14:textId="766680E1" w:rsidR="00897C29" w:rsidRPr="008B000A" w:rsidRDefault="0095482A" w:rsidP="0095482A">
      <w:pPr>
        <w:ind w:firstLine="708"/>
        <w:rPr>
          <w:rFonts w:ascii="Times New Roman" w:hAnsi="Times New Roman" w:cs="Times New Roman"/>
          <w:b/>
          <w:i/>
          <w:sz w:val="28"/>
          <w:szCs w:val="28"/>
          <w:highlight w:val="green"/>
        </w:rPr>
      </w:pPr>
      <w:r w:rsidRPr="00C03607">
        <w:rPr>
          <w:rFonts w:ascii="Times New Roman" w:hAnsi="Times New Roman" w:cs="Times New Roman"/>
          <w:b/>
          <w:i/>
          <w:sz w:val="28"/>
          <w:szCs w:val="28"/>
        </w:rPr>
        <w:t xml:space="preserve">5.1.2. </w:t>
      </w:r>
      <w:r w:rsidR="00897C29" w:rsidRPr="00C03607">
        <w:rPr>
          <w:rFonts w:ascii="Times New Roman" w:hAnsi="Times New Roman" w:cs="Times New Roman"/>
          <w:b/>
          <w:i/>
          <w:sz w:val="28"/>
          <w:szCs w:val="28"/>
        </w:rPr>
        <w:t xml:space="preserve">Обем по изпълнени действия по </w:t>
      </w:r>
      <w:r w:rsidR="00897C29" w:rsidRPr="00CB6668">
        <w:rPr>
          <w:rFonts w:ascii="Times New Roman" w:hAnsi="Times New Roman" w:cs="Times New Roman"/>
          <w:b/>
          <w:i/>
          <w:sz w:val="28"/>
          <w:szCs w:val="28"/>
        </w:rPr>
        <w:t>делегация:</w:t>
      </w:r>
    </w:p>
    <w:p w14:paraId="0CCBF3C6" w14:textId="7B367EAA" w:rsidR="00FA444C" w:rsidRPr="00CB6668" w:rsidRDefault="00FA444C" w:rsidP="00FA444C">
      <w:pPr>
        <w:spacing w:after="0" w:line="240" w:lineRule="auto"/>
        <w:ind w:firstLine="720"/>
        <w:jc w:val="both"/>
        <w:rPr>
          <w:rFonts w:ascii="Times New Roman" w:eastAsia="Times New Roman" w:hAnsi="Times New Roman" w:cs="Baskerville Old Face"/>
          <w:sz w:val="28"/>
          <w:szCs w:val="28"/>
        </w:rPr>
      </w:pPr>
      <w:r w:rsidRPr="00CB6668">
        <w:rPr>
          <w:rFonts w:ascii="Times New Roman" w:eastAsia="Times New Roman" w:hAnsi="Times New Roman" w:cs="Baskerville Old Face"/>
          <w:sz w:val="28"/>
          <w:szCs w:val="28"/>
        </w:rPr>
        <w:t>През отчетната 202</w:t>
      </w:r>
      <w:r w:rsidR="007349AC">
        <w:rPr>
          <w:rFonts w:ascii="Times New Roman" w:eastAsia="Times New Roman" w:hAnsi="Times New Roman" w:cs="Baskerville Old Face"/>
          <w:sz w:val="28"/>
          <w:szCs w:val="28"/>
        </w:rPr>
        <w:t>2</w:t>
      </w:r>
      <w:r w:rsidRPr="00CB6668">
        <w:rPr>
          <w:rFonts w:ascii="Times New Roman" w:eastAsia="Times New Roman" w:hAnsi="Times New Roman" w:cs="Baskerville Old Face"/>
          <w:sz w:val="28"/>
          <w:szCs w:val="28"/>
        </w:rPr>
        <w:t xml:space="preserve">  година следователите от Окръжен следствен отдел в Окръжна прокуратура – Монтана са изпълнили общо </w:t>
      </w:r>
      <w:r w:rsidRPr="00CB6668">
        <w:rPr>
          <w:rFonts w:ascii="Times New Roman" w:eastAsia="Times New Roman" w:hAnsi="Times New Roman" w:cs="Baskerville Old Face"/>
          <w:b/>
          <w:sz w:val="28"/>
          <w:szCs w:val="28"/>
          <w:u w:val="single"/>
        </w:rPr>
        <w:t>2</w:t>
      </w:r>
      <w:r w:rsidR="007349AC">
        <w:rPr>
          <w:rFonts w:ascii="Times New Roman" w:eastAsia="Times New Roman" w:hAnsi="Times New Roman" w:cs="Baskerville Old Face"/>
          <w:b/>
          <w:sz w:val="28"/>
          <w:szCs w:val="28"/>
          <w:u w:val="single"/>
        </w:rPr>
        <w:t>27</w:t>
      </w:r>
      <w:r w:rsidRPr="00CB6668">
        <w:rPr>
          <w:rFonts w:ascii="Times New Roman" w:eastAsia="Times New Roman" w:hAnsi="Times New Roman" w:cs="Baskerville Old Face"/>
          <w:sz w:val="28"/>
          <w:szCs w:val="28"/>
          <w:u w:val="single"/>
        </w:rPr>
        <w:t xml:space="preserve"> броя следствени поръчки</w:t>
      </w:r>
      <w:r w:rsidRPr="00CB6668">
        <w:rPr>
          <w:rFonts w:ascii="Times New Roman" w:eastAsia="Times New Roman" w:hAnsi="Times New Roman" w:cs="Baskerville Old Face"/>
          <w:sz w:val="28"/>
          <w:szCs w:val="28"/>
        </w:rPr>
        <w:t xml:space="preserve">, в т.ч. </w:t>
      </w:r>
      <w:r w:rsidR="00C03607" w:rsidRPr="00CB6668">
        <w:rPr>
          <w:rFonts w:ascii="Times New Roman" w:eastAsia="Times New Roman" w:hAnsi="Times New Roman" w:cs="Baskerville Old Face"/>
          <w:b/>
          <w:sz w:val="28"/>
          <w:szCs w:val="28"/>
          <w:u w:val="single"/>
        </w:rPr>
        <w:t>1</w:t>
      </w:r>
      <w:r w:rsidR="007349AC">
        <w:rPr>
          <w:rFonts w:ascii="Times New Roman" w:eastAsia="Times New Roman" w:hAnsi="Times New Roman" w:cs="Baskerville Old Face"/>
          <w:b/>
          <w:sz w:val="28"/>
          <w:szCs w:val="28"/>
          <w:u w:val="single"/>
        </w:rPr>
        <w:t>7</w:t>
      </w:r>
      <w:r w:rsidRPr="00CB6668">
        <w:rPr>
          <w:rFonts w:ascii="Times New Roman" w:eastAsia="Times New Roman" w:hAnsi="Times New Roman" w:cs="Baskerville Old Face"/>
          <w:sz w:val="28"/>
          <w:szCs w:val="28"/>
          <w:u w:val="single"/>
        </w:rPr>
        <w:t xml:space="preserve"> броя са международни  следствени поръчни.</w:t>
      </w:r>
      <w:r w:rsidRPr="00CB6668">
        <w:rPr>
          <w:rFonts w:ascii="Times New Roman" w:eastAsia="Times New Roman" w:hAnsi="Times New Roman" w:cs="Baskerville Old Face"/>
          <w:sz w:val="28"/>
          <w:szCs w:val="28"/>
        </w:rPr>
        <w:t xml:space="preserve"> </w:t>
      </w:r>
    </w:p>
    <w:p w14:paraId="706BEDFD" w14:textId="48F12311" w:rsidR="00897C29" w:rsidRPr="00CB6668" w:rsidRDefault="00FA444C" w:rsidP="00FA444C">
      <w:pPr>
        <w:spacing w:after="0" w:line="240" w:lineRule="auto"/>
        <w:ind w:firstLine="720"/>
        <w:jc w:val="both"/>
        <w:rPr>
          <w:rFonts w:ascii="Times New Roman" w:eastAsia="Times New Roman" w:hAnsi="Times New Roman" w:cs="Baskerville Old Face"/>
          <w:sz w:val="28"/>
          <w:szCs w:val="28"/>
          <w:u w:val="single"/>
        </w:rPr>
      </w:pPr>
      <w:r w:rsidRPr="00CB6668">
        <w:rPr>
          <w:rFonts w:ascii="Times New Roman" w:eastAsia="Times New Roman" w:hAnsi="Times New Roman" w:cs="Baskerville Old Face"/>
          <w:sz w:val="28"/>
          <w:szCs w:val="28"/>
        </w:rPr>
        <w:t xml:space="preserve">С </w:t>
      </w:r>
      <w:r w:rsidR="007349AC">
        <w:rPr>
          <w:rFonts w:ascii="Times New Roman" w:eastAsia="Times New Roman" w:hAnsi="Times New Roman" w:cs="Baskerville Old Face"/>
          <w:sz w:val="28"/>
          <w:szCs w:val="28"/>
        </w:rPr>
        <w:t>8</w:t>
      </w:r>
      <w:r w:rsidRPr="00CB6668">
        <w:rPr>
          <w:rFonts w:ascii="Times New Roman" w:eastAsia="Times New Roman" w:hAnsi="Times New Roman" w:cs="Baskerville Old Face"/>
          <w:sz w:val="28"/>
          <w:szCs w:val="28"/>
        </w:rPr>
        <w:t xml:space="preserve"> бр. или </w:t>
      </w:r>
      <w:r w:rsidR="007349AC">
        <w:rPr>
          <w:rFonts w:ascii="Times New Roman" w:eastAsia="Times New Roman" w:hAnsi="Times New Roman" w:cs="Baskerville Old Face"/>
          <w:sz w:val="28"/>
          <w:szCs w:val="28"/>
        </w:rPr>
        <w:t xml:space="preserve">3,4 </w:t>
      </w:r>
      <w:r w:rsidRPr="00CB6668">
        <w:rPr>
          <w:rFonts w:ascii="Times New Roman" w:eastAsia="Times New Roman" w:hAnsi="Times New Roman" w:cs="Baskerville Old Face"/>
          <w:sz w:val="28"/>
          <w:szCs w:val="28"/>
        </w:rPr>
        <w:t xml:space="preserve">%  са </w:t>
      </w:r>
      <w:r w:rsidR="00C03607" w:rsidRPr="00CB6668">
        <w:rPr>
          <w:rFonts w:ascii="Times New Roman" w:eastAsia="Times New Roman" w:hAnsi="Times New Roman" w:cs="Baskerville Old Face"/>
          <w:sz w:val="28"/>
          <w:szCs w:val="28"/>
        </w:rPr>
        <w:t>намалели</w:t>
      </w:r>
      <w:r w:rsidRPr="00CB6668">
        <w:rPr>
          <w:rFonts w:ascii="Times New Roman" w:eastAsia="Times New Roman" w:hAnsi="Times New Roman" w:cs="Baskerville Old Face"/>
          <w:sz w:val="28"/>
          <w:szCs w:val="28"/>
        </w:rPr>
        <w:t xml:space="preserve"> следствените поръчки, спрямо 20</w:t>
      </w:r>
      <w:r w:rsidR="00C03607" w:rsidRPr="00CB6668">
        <w:rPr>
          <w:rFonts w:ascii="Times New Roman" w:eastAsia="Times New Roman" w:hAnsi="Times New Roman" w:cs="Baskerville Old Face"/>
          <w:sz w:val="28"/>
          <w:szCs w:val="28"/>
        </w:rPr>
        <w:t>2</w:t>
      </w:r>
      <w:r w:rsidR="007349AC">
        <w:rPr>
          <w:rFonts w:ascii="Times New Roman" w:eastAsia="Times New Roman" w:hAnsi="Times New Roman" w:cs="Baskerville Old Face"/>
          <w:sz w:val="28"/>
          <w:szCs w:val="28"/>
        </w:rPr>
        <w:t>1</w:t>
      </w:r>
      <w:r w:rsidRPr="00CB6668">
        <w:rPr>
          <w:rFonts w:ascii="Times New Roman" w:eastAsia="Times New Roman" w:hAnsi="Times New Roman" w:cs="Baskerville Old Face"/>
          <w:sz w:val="28"/>
          <w:szCs w:val="28"/>
        </w:rPr>
        <w:t xml:space="preserve"> г., ко</w:t>
      </w:r>
      <w:r w:rsidR="00CB6668" w:rsidRPr="00CB6668">
        <w:rPr>
          <w:rFonts w:ascii="Times New Roman" w:eastAsia="Times New Roman" w:hAnsi="Times New Roman" w:cs="Baskerville Old Face"/>
          <w:sz w:val="28"/>
          <w:szCs w:val="28"/>
        </w:rPr>
        <w:t>гато</w:t>
      </w:r>
      <w:r w:rsidRPr="00CB6668">
        <w:rPr>
          <w:rFonts w:ascii="Times New Roman" w:eastAsia="Times New Roman" w:hAnsi="Times New Roman" w:cs="Baskerville Old Face"/>
          <w:sz w:val="28"/>
          <w:szCs w:val="28"/>
        </w:rPr>
        <w:t xml:space="preserve"> са </w:t>
      </w:r>
      <w:r w:rsidR="00CB6668" w:rsidRPr="00CB6668">
        <w:rPr>
          <w:rFonts w:ascii="Times New Roman" w:eastAsia="Times New Roman" w:hAnsi="Times New Roman" w:cs="Baskerville Old Face"/>
          <w:sz w:val="28"/>
          <w:szCs w:val="28"/>
        </w:rPr>
        <w:t>били 23</w:t>
      </w:r>
      <w:r w:rsidR="007349AC">
        <w:rPr>
          <w:rFonts w:ascii="Times New Roman" w:eastAsia="Times New Roman" w:hAnsi="Times New Roman" w:cs="Baskerville Old Face"/>
          <w:sz w:val="28"/>
          <w:szCs w:val="28"/>
        </w:rPr>
        <w:t>5</w:t>
      </w:r>
      <w:r w:rsidR="00CB6668" w:rsidRPr="00CB6668">
        <w:rPr>
          <w:rFonts w:ascii="Times New Roman" w:eastAsia="Times New Roman" w:hAnsi="Times New Roman" w:cs="Baskerville Old Face"/>
          <w:sz w:val="28"/>
          <w:szCs w:val="28"/>
        </w:rPr>
        <w:t xml:space="preserve"> </w:t>
      </w:r>
      <w:r w:rsidRPr="00CB6668">
        <w:rPr>
          <w:rFonts w:ascii="Times New Roman" w:eastAsia="Times New Roman" w:hAnsi="Times New Roman" w:cs="Baskerville Old Face"/>
          <w:sz w:val="28"/>
          <w:szCs w:val="28"/>
        </w:rPr>
        <w:t xml:space="preserve">бр. в т.ч. </w:t>
      </w:r>
      <w:r w:rsidR="007349AC">
        <w:rPr>
          <w:rFonts w:ascii="Times New Roman" w:eastAsia="Times New Roman" w:hAnsi="Times New Roman" w:cs="Baskerville Old Face"/>
          <w:b/>
          <w:sz w:val="28"/>
          <w:szCs w:val="28"/>
          <w:u w:val="single"/>
        </w:rPr>
        <w:t>11</w:t>
      </w:r>
      <w:r w:rsidRPr="00CB6668">
        <w:rPr>
          <w:rFonts w:ascii="Times New Roman" w:eastAsia="Times New Roman" w:hAnsi="Times New Roman" w:cs="Baskerville Old Face"/>
          <w:sz w:val="28"/>
          <w:szCs w:val="28"/>
          <w:u w:val="single"/>
        </w:rPr>
        <w:t xml:space="preserve"> бр.  международни  следствени поръчки </w:t>
      </w:r>
      <w:r w:rsidRPr="00CB6668">
        <w:rPr>
          <w:rFonts w:ascii="Times New Roman" w:eastAsia="Times New Roman" w:hAnsi="Times New Roman" w:cs="Baskerville Old Face"/>
          <w:sz w:val="28"/>
          <w:szCs w:val="28"/>
        </w:rPr>
        <w:t xml:space="preserve">и със </w:t>
      </w:r>
      <w:r w:rsidR="007349AC">
        <w:rPr>
          <w:rFonts w:ascii="Times New Roman" w:eastAsia="Times New Roman" w:hAnsi="Times New Roman" w:cs="Baskerville Old Face"/>
          <w:sz w:val="28"/>
          <w:szCs w:val="28"/>
        </w:rPr>
        <w:t>9</w:t>
      </w:r>
      <w:r w:rsidRPr="00CB6668">
        <w:rPr>
          <w:rFonts w:ascii="Times New Roman" w:eastAsia="Times New Roman" w:hAnsi="Times New Roman" w:cs="Baskerville Old Face"/>
          <w:sz w:val="28"/>
          <w:szCs w:val="28"/>
        </w:rPr>
        <w:t xml:space="preserve"> бр. или </w:t>
      </w:r>
      <w:r w:rsidR="007349AC">
        <w:rPr>
          <w:rFonts w:ascii="Times New Roman" w:eastAsia="Times New Roman" w:hAnsi="Times New Roman" w:cs="Baskerville Old Face"/>
          <w:sz w:val="28"/>
          <w:szCs w:val="28"/>
        </w:rPr>
        <w:t xml:space="preserve">3,8 </w:t>
      </w:r>
      <w:r w:rsidRPr="00CB6668">
        <w:rPr>
          <w:rFonts w:ascii="Times New Roman" w:eastAsia="Times New Roman" w:hAnsi="Times New Roman" w:cs="Baskerville Old Face"/>
          <w:sz w:val="28"/>
          <w:szCs w:val="28"/>
        </w:rPr>
        <w:t>% спрямо 20</w:t>
      </w:r>
      <w:r w:rsidR="007349AC">
        <w:rPr>
          <w:rFonts w:ascii="Times New Roman" w:eastAsia="Times New Roman" w:hAnsi="Times New Roman" w:cs="Baskerville Old Face"/>
          <w:sz w:val="28"/>
          <w:szCs w:val="28"/>
        </w:rPr>
        <w:t>20</w:t>
      </w:r>
      <w:r w:rsidRPr="00CB6668">
        <w:rPr>
          <w:rFonts w:ascii="Times New Roman" w:eastAsia="Times New Roman" w:hAnsi="Times New Roman" w:cs="Baskerville Old Face"/>
          <w:sz w:val="28"/>
          <w:szCs w:val="28"/>
        </w:rPr>
        <w:t xml:space="preserve"> г., ко</w:t>
      </w:r>
      <w:r w:rsidR="00CB6668" w:rsidRPr="00CB6668">
        <w:rPr>
          <w:rFonts w:ascii="Times New Roman" w:eastAsia="Times New Roman" w:hAnsi="Times New Roman" w:cs="Baskerville Old Face"/>
          <w:sz w:val="28"/>
          <w:szCs w:val="28"/>
        </w:rPr>
        <w:t>гато</w:t>
      </w:r>
      <w:r w:rsidRPr="00CB6668">
        <w:rPr>
          <w:rFonts w:ascii="Times New Roman" w:eastAsia="Times New Roman" w:hAnsi="Times New Roman" w:cs="Baskerville Old Face"/>
          <w:sz w:val="28"/>
          <w:szCs w:val="28"/>
        </w:rPr>
        <w:t xml:space="preserve"> са </w:t>
      </w:r>
      <w:r w:rsidR="00CB6668" w:rsidRPr="00CB6668">
        <w:rPr>
          <w:rFonts w:ascii="Times New Roman" w:eastAsia="Times New Roman" w:hAnsi="Times New Roman" w:cs="Baskerville Old Face"/>
          <w:sz w:val="28"/>
          <w:szCs w:val="28"/>
        </w:rPr>
        <w:t>били 2</w:t>
      </w:r>
      <w:r w:rsidR="007349AC">
        <w:rPr>
          <w:rFonts w:ascii="Times New Roman" w:eastAsia="Times New Roman" w:hAnsi="Times New Roman" w:cs="Baskerville Old Face"/>
          <w:sz w:val="28"/>
          <w:szCs w:val="28"/>
        </w:rPr>
        <w:t>36</w:t>
      </w:r>
      <w:r w:rsidRPr="00CB6668">
        <w:rPr>
          <w:rFonts w:ascii="Times New Roman" w:eastAsia="Times New Roman" w:hAnsi="Times New Roman" w:cs="Baskerville Old Face"/>
          <w:sz w:val="28"/>
          <w:szCs w:val="28"/>
        </w:rPr>
        <w:t xml:space="preserve"> бр. в т.ч. </w:t>
      </w:r>
      <w:r w:rsidR="007349AC">
        <w:rPr>
          <w:rFonts w:ascii="Times New Roman" w:eastAsia="Times New Roman" w:hAnsi="Times New Roman" w:cs="Baskerville Old Face"/>
          <w:b/>
          <w:sz w:val="28"/>
          <w:szCs w:val="28"/>
          <w:u w:val="single"/>
        </w:rPr>
        <w:t>6</w:t>
      </w:r>
      <w:r w:rsidRPr="00CB6668">
        <w:rPr>
          <w:rFonts w:ascii="Times New Roman" w:eastAsia="Times New Roman" w:hAnsi="Times New Roman" w:cs="Baskerville Old Face"/>
          <w:sz w:val="28"/>
          <w:szCs w:val="28"/>
          <w:u w:val="single"/>
        </w:rPr>
        <w:t xml:space="preserve"> бр.  международни следствени поръчки</w:t>
      </w:r>
      <w:r w:rsidRPr="00CB6668">
        <w:rPr>
          <w:rFonts w:ascii="Times New Roman" w:eastAsia="Times New Roman" w:hAnsi="Times New Roman" w:cs="Baskerville Old Face"/>
          <w:sz w:val="28"/>
          <w:szCs w:val="28"/>
        </w:rPr>
        <w:t xml:space="preserve">. </w:t>
      </w:r>
      <w:r w:rsidR="00897C29" w:rsidRPr="00CB6668">
        <w:rPr>
          <w:rFonts w:ascii="Times New Roman" w:hAnsi="Times New Roman"/>
          <w:sz w:val="28"/>
          <w:szCs w:val="28"/>
        </w:rPr>
        <w:t xml:space="preserve">На тези зависимости не може да се даде логично </w:t>
      </w:r>
      <w:r w:rsidR="00897C29" w:rsidRPr="00CB6668">
        <w:rPr>
          <w:rFonts w:ascii="Times New Roman" w:hAnsi="Times New Roman"/>
          <w:sz w:val="28"/>
          <w:szCs w:val="28"/>
        </w:rPr>
        <w:lastRenderedPageBreak/>
        <w:t>обяснение, тъй като дейността произлиза и е зависима от други следствени отдели и от броя на изпратените за изпълнение молби за правна помощ</w:t>
      </w:r>
      <w:r w:rsidR="003A1ACD" w:rsidRPr="00CB6668">
        <w:rPr>
          <w:rFonts w:ascii="Times New Roman" w:hAnsi="Times New Roman"/>
          <w:sz w:val="28"/>
          <w:szCs w:val="28"/>
        </w:rPr>
        <w:t>.</w:t>
      </w:r>
    </w:p>
    <w:p w14:paraId="7795F386" w14:textId="77777777" w:rsidR="00897C29" w:rsidRPr="008B000A" w:rsidRDefault="00897C29" w:rsidP="003A1ACD">
      <w:pPr>
        <w:spacing w:after="0" w:line="240" w:lineRule="auto"/>
        <w:ind w:firstLine="709"/>
        <w:jc w:val="both"/>
        <w:rPr>
          <w:rFonts w:ascii="Times New Roman" w:hAnsi="Times New Roman"/>
          <w:sz w:val="28"/>
          <w:szCs w:val="28"/>
          <w:highlight w:val="green"/>
        </w:rPr>
      </w:pP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2160"/>
        <w:gridCol w:w="1984"/>
        <w:gridCol w:w="1985"/>
      </w:tblGrid>
      <w:tr w:rsidR="00897C29" w:rsidRPr="00CB6668" w14:paraId="0BB912C2" w14:textId="77777777" w:rsidTr="008E6093">
        <w:tc>
          <w:tcPr>
            <w:tcW w:w="2660" w:type="dxa"/>
            <w:tcBorders>
              <w:right w:val="single" w:sz="4" w:space="0" w:color="auto"/>
            </w:tcBorders>
          </w:tcPr>
          <w:p w14:paraId="4EAC5C2E" w14:textId="77777777" w:rsidR="00897C29" w:rsidRPr="00CB6668" w:rsidRDefault="00897C29" w:rsidP="003A1ACD">
            <w:pPr>
              <w:spacing w:after="0" w:line="240" w:lineRule="auto"/>
              <w:rPr>
                <w:rFonts w:ascii="Times New Roman" w:hAnsi="Times New Roman"/>
                <w:b/>
                <w:bCs/>
                <w:i/>
                <w:sz w:val="28"/>
                <w:szCs w:val="28"/>
              </w:rPr>
            </w:pPr>
            <w:r w:rsidRPr="00CB6668">
              <w:rPr>
                <w:rFonts w:ascii="Times New Roman" w:hAnsi="Times New Roman"/>
                <w:b/>
                <w:bCs/>
                <w:i/>
                <w:sz w:val="28"/>
                <w:szCs w:val="28"/>
              </w:rPr>
              <w:t>Сл. поръчки и МПП</w:t>
            </w:r>
          </w:p>
        </w:tc>
        <w:tc>
          <w:tcPr>
            <w:tcW w:w="6129" w:type="dxa"/>
            <w:gridSpan w:val="3"/>
            <w:tcBorders>
              <w:left w:val="single" w:sz="4" w:space="0" w:color="auto"/>
            </w:tcBorders>
          </w:tcPr>
          <w:p w14:paraId="45593E55" w14:textId="77777777" w:rsidR="00897C29" w:rsidRPr="00CB6668" w:rsidRDefault="00897C29" w:rsidP="003A1ACD">
            <w:pPr>
              <w:spacing w:after="0" w:line="240" w:lineRule="auto"/>
              <w:jc w:val="center"/>
              <w:rPr>
                <w:rFonts w:ascii="Times New Roman" w:hAnsi="Times New Roman"/>
                <w:bCs/>
                <w:i/>
                <w:sz w:val="28"/>
                <w:szCs w:val="28"/>
              </w:rPr>
            </w:pPr>
            <w:r w:rsidRPr="00CB6668">
              <w:rPr>
                <w:rFonts w:ascii="Times New Roman" w:hAnsi="Times New Roman"/>
                <w:bCs/>
                <w:i/>
                <w:sz w:val="28"/>
                <w:szCs w:val="28"/>
              </w:rPr>
              <w:t>Общ обем на натовареност</w:t>
            </w:r>
          </w:p>
        </w:tc>
      </w:tr>
      <w:tr w:rsidR="00477179" w:rsidRPr="00CB6668" w14:paraId="48C4C8AA" w14:textId="77777777" w:rsidTr="008E6093">
        <w:tc>
          <w:tcPr>
            <w:tcW w:w="2660" w:type="dxa"/>
            <w:tcBorders>
              <w:right w:val="single" w:sz="4" w:space="0" w:color="auto"/>
            </w:tcBorders>
          </w:tcPr>
          <w:p w14:paraId="561141B7" w14:textId="77777777" w:rsidR="00477179" w:rsidRPr="00B97822" w:rsidRDefault="00477179" w:rsidP="003A1ACD">
            <w:pPr>
              <w:spacing w:after="0" w:line="240" w:lineRule="auto"/>
              <w:rPr>
                <w:rFonts w:ascii="Times New Roman" w:hAnsi="Times New Roman"/>
                <w:bCs/>
                <w:sz w:val="28"/>
                <w:szCs w:val="28"/>
              </w:rPr>
            </w:pPr>
            <w:r w:rsidRPr="00B97822">
              <w:rPr>
                <w:rFonts w:ascii="Times New Roman" w:hAnsi="Times New Roman"/>
                <w:bCs/>
                <w:sz w:val="28"/>
                <w:szCs w:val="28"/>
              </w:rPr>
              <w:t>година</w:t>
            </w:r>
          </w:p>
        </w:tc>
        <w:tc>
          <w:tcPr>
            <w:tcW w:w="2160" w:type="dxa"/>
            <w:tcBorders>
              <w:left w:val="single" w:sz="4" w:space="0" w:color="auto"/>
              <w:right w:val="single" w:sz="4" w:space="0" w:color="auto"/>
            </w:tcBorders>
            <w:shd w:val="clear" w:color="auto" w:fill="D6E3BC"/>
          </w:tcPr>
          <w:p w14:paraId="6F12EDE2" w14:textId="74232F97" w:rsidR="00477179" w:rsidRPr="00B97822" w:rsidRDefault="00477179" w:rsidP="002F79EA">
            <w:pPr>
              <w:spacing w:after="0" w:line="240" w:lineRule="auto"/>
              <w:jc w:val="center"/>
              <w:rPr>
                <w:rFonts w:ascii="Times New Roman" w:hAnsi="Times New Roman"/>
                <w:b/>
                <w:bCs/>
                <w:sz w:val="28"/>
                <w:szCs w:val="28"/>
              </w:rPr>
            </w:pPr>
            <w:r w:rsidRPr="00B97822">
              <w:rPr>
                <w:rFonts w:ascii="Times New Roman" w:hAnsi="Times New Roman"/>
                <w:b/>
                <w:bCs/>
                <w:sz w:val="28"/>
                <w:szCs w:val="28"/>
              </w:rPr>
              <w:t>20</w:t>
            </w:r>
            <w:r w:rsidR="00FA444C" w:rsidRPr="00B97822">
              <w:rPr>
                <w:rFonts w:ascii="Times New Roman" w:hAnsi="Times New Roman"/>
                <w:b/>
                <w:bCs/>
                <w:sz w:val="28"/>
                <w:szCs w:val="28"/>
              </w:rPr>
              <w:t>2</w:t>
            </w:r>
            <w:r w:rsidR="002F79EA">
              <w:rPr>
                <w:rFonts w:ascii="Times New Roman" w:hAnsi="Times New Roman"/>
                <w:b/>
                <w:bCs/>
                <w:sz w:val="28"/>
                <w:szCs w:val="28"/>
              </w:rPr>
              <w:t>2</w:t>
            </w:r>
            <w:r w:rsidRPr="00B97822">
              <w:rPr>
                <w:rFonts w:ascii="Times New Roman" w:hAnsi="Times New Roman"/>
                <w:b/>
                <w:bCs/>
                <w:sz w:val="28"/>
                <w:szCs w:val="28"/>
              </w:rPr>
              <w:t xml:space="preserve"> г.</w:t>
            </w:r>
          </w:p>
        </w:tc>
        <w:tc>
          <w:tcPr>
            <w:tcW w:w="1984" w:type="dxa"/>
            <w:tcBorders>
              <w:left w:val="single" w:sz="4" w:space="0" w:color="auto"/>
            </w:tcBorders>
          </w:tcPr>
          <w:p w14:paraId="443CE03A" w14:textId="79DDA4EB" w:rsidR="00477179" w:rsidRPr="00CB6668" w:rsidRDefault="00477179" w:rsidP="002F79EA">
            <w:pPr>
              <w:spacing w:after="0" w:line="240" w:lineRule="auto"/>
              <w:jc w:val="center"/>
              <w:rPr>
                <w:rFonts w:ascii="Times New Roman" w:hAnsi="Times New Roman"/>
                <w:bCs/>
                <w:sz w:val="28"/>
                <w:szCs w:val="28"/>
              </w:rPr>
            </w:pPr>
            <w:r w:rsidRPr="00CB6668">
              <w:rPr>
                <w:rFonts w:ascii="Times New Roman" w:hAnsi="Times New Roman"/>
                <w:bCs/>
                <w:sz w:val="28"/>
                <w:szCs w:val="28"/>
              </w:rPr>
              <w:t>20</w:t>
            </w:r>
            <w:r w:rsidR="00CB6668" w:rsidRPr="00CB6668">
              <w:rPr>
                <w:rFonts w:ascii="Times New Roman" w:hAnsi="Times New Roman"/>
                <w:bCs/>
                <w:sz w:val="28"/>
                <w:szCs w:val="28"/>
              </w:rPr>
              <w:t>2</w:t>
            </w:r>
            <w:r w:rsidR="002F79EA">
              <w:rPr>
                <w:rFonts w:ascii="Times New Roman" w:hAnsi="Times New Roman"/>
                <w:bCs/>
                <w:sz w:val="28"/>
                <w:szCs w:val="28"/>
              </w:rPr>
              <w:t>1</w:t>
            </w:r>
            <w:r w:rsidRPr="00CB6668">
              <w:rPr>
                <w:rFonts w:ascii="Times New Roman" w:hAnsi="Times New Roman"/>
                <w:bCs/>
                <w:sz w:val="28"/>
                <w:szCs w:val="28"/>
              </w:rPr>
              <w:t xml:space="preserve"> г.</w:t>
            </w:r>
          </w:p>
        </w:tc>
        <w:tc>
          <w:tcPr>
            <w:tcW w:w="1985" w:type="dxa"/>
            <w:tcBorders>
              <w:left w:val="single" w:sz="4" w:space="0" w:color="auto"/>
            </w:tcBorders>
          </w:tcPr>
          <w:p w14:paraId="6E72E4EA" w14:textId="6146EC71" w:rsidR="00477179" w:rsidRPr="00CB6668" w:rsidRDefault="00477179" w:rsidP="002F79EA">
            <w:pPr>
              <w:spacing w:after="0" w:line="240" w:lineRule="auto"/>
              <w:jc w:val="center"/>
              <w:rPr>
                <w:rFonts w:ascii="Times New Roman" w:hAnsi="Times New Roman"/>
                <w:bCs/>
                <w:sz w:val="28"/>
                <w:szCs w:val="28"/>
              </w:rPr>
            </w:pPr>
            <w:r w:rsidRPr="00CB6668">
              <w:rPr>
                <w:rFonts w:ascii="Times New Roman" w:hAnsi="Times New Roman"/>
                <w:bCs/>
                <w:sz w:val="28"/>
                <w:szCs w:val="28"/>
              </w:rPr>
              <w:t>20</w:t>
            </w:r>
            <w:r w:rsidR="002F79EA">
              <w:rPr>
                <w:rFonts w:ascii="Times New Roman" w:hAnsi="Times New Roman"/>
                <w:bCs/>
                <w:sz w:val="28"/>
                <w:szCs w:val="28"/>
              </w:rPr>
              <w:t>20</w:t>
            </w:r>
            <w:r w:rsidRPr="00CB6668">
              <w:rPr>
                <w:rFonts w:ascii="Times New Roman" w:hAnsi="Times New Roman"/>
                <w:bCs/>
                <w:sz w:val="28"/>
                <w:szCs w:val="28"/>
              </w:rPr>
              <w:t xml:space="preserve"> г.</w:t>
            </w:r>
          </w:p>
        </w:tc>
      </w:tr>
      <w:tr w:rsidR="007349AC" w:rsidRPr="00CB6668" w14:paraId="3DE1CE09" w14:textId="77777777" w:rsidTr="008E6093">
        <w:tc>
          <w:tcPr>
            <w:tcW w:w="2660" w:type="dxa"/>
            <w:tcBorders>
              <w:right w:val="single" w:sz="4" w:space="0" w:color="auto"/>
            </w:tcBorders>
          </w:tcPr>
          <w:p w14:paraId="11E62464" w14:textId="0A9274E4" w:rsidR="007349AC" w:rsidRPr="00CB6668" w:rsidRDefault="007349AC" w:rsidP="003A1ACD">
            <w:pPr>
              <w:spacing w:after="0" w:line="240" w:lineRule="auto"/>
              <w:rPr>
                <w:rFonts w:ascii="Times New Roman" w:hAnsi="Times New Roman"/>
                <w:bCs/>
                <w:sz w:val="28"/>
                <w:szCs w:val="28"/>
              </w:rPr>
            </w:pPr>
            <w:r w:rsidRPr="00CB6668">
              <w:rPr>
                <w:rFonts w:ascii="Times New Roman" w:hAnsi="Times New Roman"/>
                <w:bCs/>
                <w:sz w:val="28"/>
                <w:szCs w:val="28"/>
              </w:rPr>
              <w:t>Общо за ОСлО, бр.</w:t>
            </w:r>
          </w:p>
        </w:tc>
        <w:tc>
          <w:tcPr>
            <w:tcW w:w="2160" w:type="dxa"/>
            <w:tcBorders>
              <w:left w:val="single" w:sz="4" w:space="0" w:color="auto"/>
              <w:right w:val="single" w:sz="4" w:space="0" w:color="auto"/>
            </w:tcBorders>
            <w:shd w:val="clear" w:color="auto" w:fill="D6E3BC"/>
          </w:tcPr>
          <w:p w14:paraId="450EC980" w14:textId="7D26F56A" w:rsidR="007349AC" w:rsidRPr="00CB6668" w:rsidRDefault="007349AC" w:rsidP="007349AC">
            <w:pPr>
              <w:spacing w:after="0" w:line="240" w:lineRule="auto"/>
              <w:jc w:val="center"/>
              <w:rPr>
                <w:rFonts w:ascii="Times New Roman" w:hAnsi="Times New Roman"/>
                <w:b/>
                <w:bCs/>
                <w:sz w:val="28"/>
                <w:szCs w:val="28"/>
              </w:rPr>
            </w:pPr>
            <w:r w:rsidRPr="00CB6668">
              <w:rPr>
                <w:rFonts w:ascii="Times New Roman" w:hAnsi="Times New Roman"/>
                <w:b/>
                <w:bCs/>
                <w:sz w:val="28"/>
                <w:szCs w:val="28"/>
              </w:rPr>
              <w:t>2</w:t>
            </w:r>
            <w:r>
              <w:rPr>
                <w:rFonts w:ascii="Times New Roman" w:hAnsi="Times New Roman"/>
                <w:b/>
                <w:bCs/>
                <w:sz w:val="28"/>
                <w:szCs w:val="28"/>
              </w:rPr>
              <w:t>27</w:t>
            </w:r>
          </w:p>
        </w:tc>
        <w:tc>
          <w:tcPr>
            <w:tcW w:w="1984" w:type="dxa"/>
            <w:tcBorders>
              <w:left w:val="single" w:sz="4" w:space="0" w:color="auto"/>
            </w:tcBorders>
          </w:tcPr>
          <w:p w14:paraId="6354FDAD" w14:textId="3188B6BC" w:rsidR="007349AC" w:rsidRPr="00CB6668" w:rsidRDefault="007349AC" w:rsidP="00CB6668">
            <w:pPr>
              <w:spacing w:after="0" w:line="240" w:lineRule="auto"/>
              <w:jc w:val="center"/>
              <w:rPr>
                <w:rFonts w:ascii="Times New Roman" w:hAnsi="Times New Roman"/>
                <w:bCs/>
                <w:sz w:val="28"/>
                <w:szCs w:val="28"/>
              </w:rPr>
            </w:pPr>
            <w:r w:rsidRPr="00CB6668">
              <w:rPr>
                <w:rFonts w:ascii="Times New Roman" w:hAnsi="Times New Roman"/>
                <w:b/>
                <w:bCs/>
                <w:sz w:val="28"/>
                <w:szCs w:val="28"/>
              </w:rPr>
              <w:t>235</w:t>
            </w:r>
          </w:p>
        </w:tc>
        <w:tc>
          <w:tcPr>
            <w:tcW w:w="1985" w:type="dxa"/>
            <w:tcBorders>
              <w:left w:val="single" w:sz="4" w:space="0" w:color="auto"/>
            </w:tcBorders>
          </w:tcPr>
          <w:p w14:paraId="4E94CF4E" w14:textId="28C3B03B" w:rsidR="007349AC" w:rsidRPr="00CB6668" w:rsidRDefault="007349AC" w:rsidP="003A1ACD">
            <w:pPr>
              <w:spacing w:after="0" w:line="240" w:lineRule="auto"/>
              <w:jc w:val="center"/>
              <w:rPr>
                <w:rFonts w:ascii="Times New Roman" w:hAnsi="Times New Roman"/>
                <w:bCs/>
                <w:sz w:val="28"/>
                <w:szCs w:val="28"/>
              </w:rPr>
            </w:pPr>
            <w:r w:rsidRPr="00CB6668">
              <w:rPr>
                <w:rFonts w:ascii="Times New Roman" w:hAnsi="Times New Roman"/>
                <w:bCs/>
                <w:sz w:val="28"/>
                <w:szCs w:val="28"/>
              </w:rPr>
              <w:t>236</w:t>
            </w:r>
          </w:p>
        </w:tc>
      </w:tr>
      <w:tr w:rsidR="007349AC" w:rsidRPr="00CB6668" w14:paraId="21BBEB62" w14:textId="77777777" w:rsidTr="008E6093">
        <w:tc>
          <w:tcPr>
            <w:tcW w:w="2660" w:type="dxa"/>
            <w:tcBorders>
              <w:right w:val="single" w:sz="4" w:space="0" w:color="auto"/>
            </w:tcBorders>
          </w:tcPr>
          <w:p w14:paraId="4052EBB6" w14:textId="297A0A43" w:rsidR="007349AC" w:rsidRPr="00CB6668" w:rsidRDefault="007349AC" w:rsidP="003A1ACD">
            <w:pPr>
              <w:spacing w:after="0" w:line="240" w:lineRule="auto"/>
              <w:rPr>
                <w:rFonts w:ascii="Times New Roman" w:hAnsi="Times New Roman"/>
                <w:bCs/>
                <w:sz w:val="28"/>
                <w:szCs w:val="28"/>
              </w:rPr>
            </w:pPr>
            <w:r w:rsidRPr="00CB6668">
              <w:rPr>
                <w:rFonts w:ascii="Times New Roman" w:hAnsi="Times New Roman"/>
                <w:bCs/>
                <w:sz w:val="28"/>
                <w:szCs w:val="28"/>
              </w:rPr>
              <w:t>От тях - МПС за ОСлО, бр.</w:t>
            </w:r>
          </w:p>
        </w:tc>
        <w:tc>
          <w:tcPr>
            <w:tcW w:w="2160" w:type="dxa"/>
            <w:tcBorders>
              <w:left w:val="single" w:sz="4" w:space="0" w:color="auto"/>
              <w:right w:val="single" w:sz="4" w:space="0" w:color="auto"/>
            </w:tcBorders>
            <w:shd w:val="clear" w:color="auto" w:fill="D6E3BC"/>
          </w:tcPr>
          <w:p w14:paraId="482989AC" w14:textId="0D0EACDF" w:rsidR="007349AC" w:rsidRPr="00CB6668" w:rsidRDefault="007349AC" w:rsidP="003A1ACD">
            <w:pPr>
              <w:spacing w:after="0" w:line="240" w:lineRule="auto"/>
              <w:jc w:val="center"/>
              <w:rPr>
                <w:rFonts w:ascii="Times New Roman" w:hAnsi="Times New Roman"/>
                <w:b/>
                <w:bCs/>
                <w:sz w:val="28"/>
                <w:szCs w:val="28"/>
              </w:rPr>
            </w:pPr>
            <w:r>
              <w:rPr>
                <w:rFonts w:ascii="Times New Roman" w:hAnsi="Times New Roman"/>
                <w:b/>
                <w:bCs/>
                <w:sz w:val="28"/>
                <w:szCs w:val="28"/>
              </w:rPr>
              <w:t>17</w:t>
            </w:r>
          </w:p>
        </w:tc>
        <w:tc>
          <w:tcPr>
            <w:tcW w:w="1984" w:type="dxa"/>
            <w:tcBorders>
              <w:left w:val="single" w:sz="4" w:space="0" w:color="auto"/>
            </w:tcBorders>
          </w:tcPr>
          <w:p w14:paraId="7C935C2E" w14:textId="7167138B" w:rsidR="007349AC" w:rsidRPr="00CB6668" w:rsidRDefault="007349AC" w:rsidP="003A1ACD">
            <w:pPr>
              <w:spacing w:after="0" w:line="240" w:lineRule="auto"/>
              <w:jc w:val="center"/>
              <w:rPr>
                <w:rFonts w:ascii="Times New Roman" w:hAnsi="Times New Roman"/>
                <w:bCs/>
                <w:sz w:val="28"/>
                <w:szCs w:val="28"/>
              </w:rPr>
            </w:pPr>
            <w:r w:rsidRPr="00CB6668">
              <w:rPr>
                <w:rFonts w:ascii="Times New Roman" w:hAnsi="Times New Roman"/>
                <w:b/>
                <w:bCs/>
                <w:sz w:val="28"/>
                <w:szCs w:val="28"/>
              </w:rPr>
              <w:t>11</w:t>
            </w:r>
          </w:p>
        </w:tc>
        <w:tc>
          <w:tcPr>
            <w:tcW w:w="1985" w:type="dxa"/>
            <w:tcBorders>
              <w:left w:val="single" w:sz="4" w:space="0" w:color="auto"/>
            </w:tcBorders>
          </w:tcPr>
          <w:p w14:paraId="3C44429A" w14:textId="4A746412" w:rsidR="007349AC" w:rsidRPr="00CB6668" w:rsidRDefault="007349AC" w:rsidP="003A1ACD">
            <w:pPr>
              <w:spacing w:after="0" w:line="240" w:lineRule="auto"/>
              <w:jc w:val="center"/>
              <w:rPr>
                <w:rFonts w:ascii="Times New Roman" w:hAnsi="Times New Roman"/>
                <w:bCs/>
                <w:sz w:val="28"/>
                <w:szCs w:val="28"/>
              </w:rPr>
            </w:pPr>
            <w:r w:rsidRPr="00CB6668">
              <w:rPr>
                <w:rFonts w:ascii="Times New Roman" w:hAnsi="Times New Roman"/>
                <w:bCs/>
                <w:sz w:val="28"/>
                <w:szCs w:val="28"/>
              </w:rPr>
              <w:t>6</w:t>
            </w:r>
          </w:p>
        </w:tc>
      </w:tr>
      <w:tr w:rsidR="007349AC" w:rsidRPr="00CB6668" w14:paraId="3D53B199" w14:textId="77777777" w:rsidTr="008E6093">
        <w:tc>
          <w:tcPr>
            <w:tcW w:w="2660" w:type="dxa"/>
            <w:tcBorders>
              <w:right w:val="single" w:sz="4" w:space="0" w:color="auto"/>
            </w:tcBorders>
          </w:tcPr>
          <w:p w14:paraId="4141D57C" w14:textId="77777777" w:rsidR="007349AC" w:rsidRPr="00CB6668" w:rsidRDefault="007349AC" w:rsidP="003A1ACD">
            <w:pPr>
              <w:spacing w:after="0" w:line="240" w:lineRule="auto"/>
              <w:rPr>
                <w:rFonts w:ascii="Times New Roman" w:hAnsi="Times New Roman"/>
                <w:bCs/>
                <w:sz w:val="28"/>
                <w:szCs w:val="28"/>
              </w:rPr>
            </w:pPr>
            <w:r w:rsidRPr="00CB6668">
              <w:rPr>
                <w:rFonts w:ascii="Times New Roman" w:hAnsi="Times New Roman"/>
                <w:bCs/>
                <w:sz w:val="28"/>
                <w:szCs w:val="28"/>
              </w:rPr>
              <w:t>Средно на 1 следов.</w:t>
            </w:r>
          </w:p>
        </w:tc>
        <w:tc>
          <w:tcPr>
            <w:tcW w:w="2160" w:type="dxa"/>
            <w:tcBorders>
              <w:left w:val="single" w:sz="4" w:space="0" w:color="auto"/>
              <w:right w:val="single" w:sz="4" w:space="0" w:color="auto"/>
            </w:tcBorders>
            <w:shd w:val="clear" w:color="auto" w:fill="D6E3BC"/>
          </w:tcPr>
          <w:p w14:paraId="15A7C972" w14:textId="0E1DA193" w:rsidR="007349AC" w:rsidRPr="00CB6668" w:rsidRDefault="007349AC" w:rsidP="007349AC">
            <w:pPr>
              <w:spacing w:after="0" w:line="240" w:lineRule="auto"/>
              <w:jc w:val="center"/>
              <w:rPr>
                <w:rFonts w:ascii="Times New Roman" w:hAnsi="Times New Roman"/>
                <w:b/>
                <w:bCs/>
                <w:sz w:val="28"/>
                <w:szCs w:val="28"/>
              </w:rPr>
            </w:pPr>
            <w:r>
              <w:rPr>
                <w:rFonts w:ascii="Times New Roman" w:hAnsi="Times New Roman"/>
                <w:b/>
                <w:bCs/>
                <w:sz w:val="28"/>
                <w:szCs w:val="28"/>
              </w:rPr>
              <w:t>2</w:t>
            </w:r>
            <w:r w:rsidRPr="00CB6668">
              <w:rPr>
                <w:rFonts w:ascii="Times New Roman" w:hAnsi="Times New Roman"/>
                <w:b/>
                <w:bCs/>
                <w:sz w:val="28"/>
                <w:szCs w:val="28"/>
              </w:rPr>
              <w:t>8,</w:t>
            </w:r>
            <w:r>
              <w:rPr>
                <w:rFonts w:ascii="Times New Roman" w:hAnsi="Times New Roman"/>
                <w:b/>
                <w:bCs/>
                <w:sz w:val="28"/>
                <w:szCs w:val="28"/>
              </w:rPr>
              <w:t>6</w:t>
            </w:r>
          </w:p>
        </w:tc>
        <w:tc>
          <w:tcPr>
            <w:tcW w:w="1984" w:type="dxa"/>
            <w:tcBorders>
              <w:left w:val="single" w:sz="4" w:space="0" w:color="auto"/>
            </w:tcBorders>
          </w:tcPr>
          <w:p w14:paraId="60E7D442" w14:textId="3C0DAE70" w:rsidR="007349AC" w:rsidRPr="00CB6668" w:rsidRDefault="007349AC" w:rsidP="003A1ACD">
            <w:pPr>
              <w:spacing w:after="0" w:line="240" w:lineRule="auto"/>
              <w:jc w:val="center"/>
              <w:rPr>
                <w:rFonts w:ascii="Times New Roman" w:hAnsi="Times New Roman"/>
                <w:bCs/>
                <w:sz w:val="28"/>
                <w:szCs w:val="28"/>
              </w:rPr>
            </w:pPr>
            <w:r w:rsidRPr="00CB6668">
              <w:rPr>
                <w:rFonts w:ascii="Times New Roman" w:hAnsi="Times New Roman"/>
                <w:b/>
                <w:bCs/>
                <w:sz w:val="28"/>
                <w:szCs w:val="28"/>
              </w:rPr>
              <w:t>38,2</w:t>
            </w:r>
          </w:p>
        </w:tc>
        <w:tc>
          <w:tcPr>
            <w:tcW w:w="1985" w:type="dxa"/>
            <w:tcBorders>
              <w:left w:val="single" w:sz="4" w:space="0" w:color="auto"/>
            </w:tcBorders>
          </w:tcPr>
          <w:p w14:paraId="38C6CA82" w14:textId="6E5AF6BF" w:rsidR="007349AC" w:rsidRPr="00CB6668" w:rsidRDefault="007349AC" w:rsidP="003A1ACD">
            <w:pPr>
              <w:spacing w:after="0" w:line="240" w:lineRule="auto"/>
              <w:jc w:val="center"/>
              <w:rPr>
                <w:rFonts w:ascii="Times New Roman" w:hAnsi="Times New Roman"/>
                <w:bCs/>
                <w:sz w:val="28"/>
                <w:szCs w:val="28"/>
              </w:rPr>
            </w:pPr>
            <w:r w:rsidRPr="00CB6668">
              <w:rPr>
                <w:rFonts w:ascii="Times New Roman" w:hAnsi="Times New Roman"/>
                <w:bCs/>
                <w:sz w:val="28"/>
                <w:szCs w:val="28"/>
              </w:rPr>
              <w:t>36,3</w:t>
            </w:r>
          </w:p>
        </w:tc>
      </w:tr>
    </w:tbl>
    <w:p w14:paraId="4ED1024A" w14:textId="77777777" w:rsidR="00897C29" w:rsidRPr="00CB6668" w:rsidRDefault="00897C29" w:rsidP="003A1ACD">
      <w:pPr>
        <w:rPr>
          <w:rFonts w:ascii="Calibri" w:eastAsia="Calibri" w:hAnsi="Calibri" w:cs="Times New Roman"/>
        </w:rPr>
      </w:pPr>
    </w:p>
    <w:p w14:paraId="4351A434" w14:textId="77777777" w:rsidR="00897C29" w:rsidRPr="00CB6668" w:rsidRDefault="00897C29" w:rsidP="00AE7BA2">
      <w:pPr>
        <w:ind w:firstLine="708"/>
        <w:rPr>
          <w:rFonts w:ascii="Times New Roman" w:hAnsi="Times New Roman" w:cs="Times New Roman"/>
          <w:b/>
          <w:i/>
          <w:sz w:val="28"/>
          <w:szCs w:val="28"/>
        </w:rPr>
      </w:pPr>
      <w:r w:rsidRPr="00CB6668">
        <w:rPr>
          <w:rFonts w:ascii="Times New Roman" w:hAnsi="Times New Roman" w:cs="Times New Roman"/>
          <w:b/>
          <w:i/>
          <w:sz w:val="28"/>
          <w:szCs w:val="28"/>
        </w:rPr>
        <w:t>5.2. Средна натовареност на следователите по показатели:</w:t>
      </w:r>
    </w:p>
    <w:p w14:paraId="7F1730A3" w14:textId="77777777" w:rsidR="00897C29" w:rsidRPr="00CB6668" w:rsidRDefault="00897C29" w:rsidP="00BB6889">
      <w:pPr>
        <w:spacing w:after="0" w:line="240" w:lineRule="auto"/>
        <w:ind w:firstLine="709"/>
        <w:jc w:val="both"/>
        <w:rPr>
          <w:rFonts w:ascii="Times New Roman" w:hAnsi="Times New Roman"/>
          <w:sz w:val="28"/>
          <w:szCs w:val="28"/>
        </w:rPr>
      </w:pPr>
      <w:r w:rsidRPr="00CB6668">
        <w:rPr>
          <w:rFonts w:ascii="Times New Roman" w:hAnsi="Times New Roman"/>
          <w:b/>
          <w:i/>
          <w:sz w:val="28"/>
          <w:szCs w:val="28"/>
        </w:rPr>
        <w:t>5.2.1. По брой разследвани досъдебни производства:</w:t>
      </w:r>
      <w:r w:rsidRPr="00CB6668">
        <w:rPr>
          <w:rFonts w:ascii="Times New Roman" w:hAnsi="Times New Roman"/>
          <w:sz w:val="28"/>
          <w:szCs w:val="28"/>
        </w:rPr>
        <w:t xml:space="preserve"> </w:t>
      </w:r>
    </w:p>
    <w:p w14:paraId="37B1D793" w14:textId="2182278D" w:rsidR="00897C29" w:rsidRPr="00CB6668" w:rsidRDefault="00897C29" w:rsidP="00BB6889">
      <w:pPr>
        <w:spacing w:after="0" w:line="240" w:lineRule="auto"/>
        <w:ind w:firstLine="709"/>
        <w:jc w:val="both"/>
        <w:rPr>
          <w:rFonts w:ascii="Times New Roman" w:hAnsi="Times New Roman"/>
          <w:sz w:val="28"/>
          <w:szCs w:val="28"/>
        </w:rPr>
      </w:pPr>
      <w:r w:rsidRPr="00CB6668">
        <w:rPr>
          <w:rFonts w:ascii="Times New Roman" w:hAnsi="Times New Roman"/>
          <w:sz w:val="28"/>
          <w:szCs w:val="28"/>
        </w:rPr>
        <w:t xml:space="preserve">През </w:t>
      </w:r>
      <w:r w:rsidRPr="00B97822">
        <w:rPr>
          <w:rFonts w:ascii="Times New Roman" w:hAnsi="Times New Roman"/>
          <w:sz w:val="28"/>
          <w:szCs w:val="28"/>
        </w:rPr>
        <w:t>отчетната 20</w:t>
      </w:r>
      <w:r w:rsidR="00B97822" w:rsidRPr="00B97822">
        <w:rPr>
          <w:rFonts w:ascii="Times New Roman" w:hAnsi="Times New Roman"/>
          <w:sz w:val="28"/>
          <w:szCs w:val="28"/>
        </w:rPr>
        <w:t>2</w:t>
      </w:r>
      <w:r w:rsidR="007349AC">
        <w:rPr>
          <w:rFonts w:ascii="Times New Roman" w:hAnsi="Times New Roman"/>
          <w:sz w:val="28"/>
          <w:szCs w:val="28"/>
        </w:rPr>
        <w:t>2</w:t>
      </w:r>
      <w:r w:rsidRPr="00B97822">
        <w:rPr>
          <w:rFonts w:ascii="Times New Roman" w:hAnsi="Times New Roman"/>
          <w:sz w:val="28"/>
          <w:szCs w:val="28"/>
        </w:rPr>
        <w:t xml:space="preserve"> </w:t>
      </w:r>
      <w:r w:rsidRPr="00CB6668">
        <w:rPr>
          <w:rFonts w:ascii="Times New Roman" w:hAnsi="Times New Roman"/>
          <w:sz w:val="28"/>
          <w:szCs w:val="28"/>
        </w:rPr>
        <w:t>година в Окръжния следствен отдел</w:t>
      </w:r>
      <w:r w:rsidR="00CC4053" w:rsidRPr="00CB6668">
        <w:rPr>
          <w:rFonts w:ascii="Times New Roman" w:hAnsi="Times New Roman"/>
          <w:sz w:val="28"/>
          <w:szCs w:val="28"/>
        </w:rPr>
        <w:t xml:space="preserve"> при ОП Монтана</w:t>
      </w:r>
      <w:r w:rsidRPr="00CB6668">
        <w:rPr>
          <w:rFonts w:ascii="Times New Roman" w:hAnsi="Times New Roman"/>
          <w:sz w:val="28"/>
          <w:szCs w:val="28"/>
        </w:rPr>
        <w:t xml:space="preserve"> са работили средно </w:t>
      </w:r>
      <w:r w:rsidR="007349AC">
        <w:rPr>
          <w:rFonts w:ascii="Times New Roman" w:hAnsi="Times New Roman"/>
          <w:sz w:val="28"/>
          <w:szCs w:val="28"/>
        </w:rPr>
        <w:t>7,95</w:t>
      </w:r>
      <w:r w:rsidR="00CC4053" w:rsidRPr="00CB6668">
        <w:rPr>
          <w:rFonts w:ascii="Times New Roman" w:hAnsi="Times New Roman"/>
          <w:sz w:val="28"/>
          <w:szCs w:val="28"/>
        </w:rPr>
        <w:t xml:space="preserve"> </w:t>
      </w:r>
      <w:r w:rsidRPr="00CB6668">
        <w:rPr>
          <w:rFonts w:ascii="Times New Roman" w:hAnsi="Times New Roman"/>
          <w:sz w:val="28"/>
          <w:szCs w:val="28"/>
        </w:rPr>
        <w:t xml:space="preserve">броя следователи (при </w:t>
      </w:r>
      <w:r w:rsidR="007349AC">
        <w:rPr>
          <w:rFonts w:ascii="Times New Roman" w:hAnsi="Times New Roman"/>
          <w:sz w:val="28"/>
          <w:szCs w:val="28"/>
        </w:rPr>
        <w:t>6,15</w:t>
      </w:r>
      <w:r w:rsidR="00CC4053" w:rsidRPr="00CB6668">
        <w:rPr>
          <w:rFonts w:ascii="Times New Roman" w:hAnsi="Times New Roman"/>
          <w:sz w:val="28"/>
          <w:szCs w:val="28"/>
        </w:rPr>
        <w:t xml:space="preserve"> за 20</w:t>
      </w:r>
      <w:r w:rsidR="00CB6668" w:rsidRPr="00CB6668">
        <w:rPr>
          <w:rFonts w:ascii="Times New Roman" w:hAnsi="Times New Roman"/>
          <w:sz w:val="28"/>
          <w:szCs w:val="28"/>
        </w:rPr>
        <w:t>2</w:t>
      </w:r>
      <w:r w:rsidR="007349AC">
        <w:rPr>
          <w:rFonts w:ascii="Times New Roman" w:hAnsi="Times New Roman"/>
          <w:sz w:val="28"/>
          <w:szCs w:val="28"/>
        </w:rPr>
        <w:t>1</w:t>
      </w:r>
      <w:r w:rsidR="00CC4053" w:rsidRPr="00CB6668">
        <w:rPr>
          <w:rFonts w:ascii="Times New Roman" w:hAnsi="Times New Roman"/>
          <w:sz w:val="28"/>
          <w:szCs w:val="28"/>
        </w:rPr>
        <w:t xml:space="preserve"> г. и </w:t>
      </w:r>
      <w:r w:rsidR="007349AC">
        <w:rPr>
          <w:rFonts w:ascii="Times New Roman" w:hAnsi="Times New Roman"/>
          <w:sz w:val="28"/>
          <w:szCs w:val="28"/>
        </w:rPr>
        <w:t>6,46</w:t>
      </w:r>
      <w:r w:rsidR="00CB6668" w:rsidRPr="00CB6668">
        <w:rPr>
          <w:rFonts w:ascii="Times New Roman" w:hAnsi="Times New Roman"/>
          <w:sz w:val="28"/>
          <w:szCs w:val="28"/>
        </w:rPr>
        <w:t>5,66</w:t>
      </w:r>
      <w:r w:rsidRPr="00CB6668">
        <w:rPr>
          <w:rFonts w:ascii="Times New Roman" w:hAnsi="Times New Roman"/>
          <w:sz w:val="28"/>
          <w:szCs w:val="28"/>
        </w:rPr>
        <w:t xml:space="preserve"> за 20</w:t>
      </w:r>
      <w:r w:rsidR="007349AC">
        <w:rPr>
          <w:rFonts w:ascii="Times New Roman" w:hAnsi="Times New Roman"/>
          <w:sz w:val="28"/>
          <w:szCs w:val="28"/>
        </w:rPr>
        <w:t>20</w:t>
      </w:r>
      <w:r w:rsidRPr="00CB6668">
        <w:rPr>
          <w:rFonts w:ascii="Times New Roman" w:hAnsi="Times New Roman"/>
          <w:sz w:val="28"/>
          <w:szCs w:val="28"/>
        </w:rPr>
        <w:t xml:space="preserve"> г.).</w:t>
      </w:r>
    </w:p>
    <w:p w14:paraId="3CA7EDB5" w14:textId="77777777" w:rsidR="00897C29" w:rsidRPr="00CB6668" w:rsidRDefault="00897C29" w:rsidP="00BB6889">
      <w:pPr>
        <w:spacing w:after="0" w:line="240" w:lineRule="auto"/>
        <w:ind w:firstLine="709"/>
        <w:jc w:val="both"/>
        <w:rPr>
          <w:rFonts w:ascii="Times New Roman" w:hAnsi="Times New Roman"/>
          <w:sz w:val="28"/>
          <w:szCs w:val="28"/>
        </w:rPr>
      </w:pP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14"/>
        <w:gridCol w:w="2180"/>
        <w:gridCol w:w="2127"/>
        <w:gridCol w:w="2268"/>
      </w:tblGrid>
      <w:tr w:rsidR="00897C29" w:rsidRPr="00CB6668" w14:paraId="11CAD17A" w14:textId="77777777" w:rsidTr="008E6093">
        <w:tc>
          <w:tcPr>
            <w:tcW w:w="2214" w:type="dxa"/>
            <w:tcBorders>
              <w:right w:val="single" w:sz="4" w:space="0" w:color="auto"/>
            </w:tcBorders>
          </w:tcPr>
          <w:p w14:paraId="1157014A" w14:textId="77777777" w:rsidR="00897C29" w:rsidRPr="00CB6668" w:rsidRDefault="00897C29" w:rsidP="00BB6889">
            <w:pPr>
              <w:spacing w:after="0" w:line="240" w:lineRule="auto"/>
              <w:rPr>
                <w:rFonts w:ascii="Times New Roman" w:hAnsi="Times New Roman"/>
                <w:b/>
                <w:bCs/>
                <w:i/>
                <w:sz w:val="28"/>
                <w:szCs w:val="28"/>
              </w:rPr>
            </w:pPr>
            <w:r w:rsidRPr="00CB6668">
              <w:rPr>
                <w:rFonts w:ascii="Times New Roman" w:hAnsi="Times New Roman"/>
                <w:b/>
                <w:bCs/>
                <w:i/>
                <w:sz w:val="28"/>
                <w:szCs w:val="28"/>
              </w:rPr>
              <w:t>ДП</w:t>
            </w:r>
          </w:p>
        </w:tc>
        <w:tc>
          <w:tcPr>
            <w:tcW w:w="6575" w:type="dxa"/>
            <w:gridSpan w:val="3"/>
          </w:tcPr>
          <w:p w14:paraId="51D920C4" w14:textId="77777777" w:rsidR="00897C29" w:rsidRPr="00CB6668" w:rsidRDefault="00897C29" w:rsidP="00BB6889">
            <w:pPr>
              <w:spacing w:after="0" w:line="240" w:lineRule="auto"/>
              <w:jc w:val="center"/>
              <w:rPr>
                <w:rFonts w:ascii="Times New Roman" w:hAnsi="Times New Roman"/>
                <w:bCs/>
                <w:i/>
                <w:sz w:val="28"/>
                <w:szCs w:val="28"/>
              </w:rPr>
            </w:pPr>
            <w:r w:rsidRPr="00CB6668">
              <w:rPr>
                <w:rFonts w:ascii="Times New Roman" w:hAnsi="Times New Roman"/>
                <w:bCs/>
                <w:i/>
                <w:sz w:val="28"/>
                <w:szCs w:val="28"/>
              </w:rPr>
              <w:t>Средна натовареност по разследвани ДП</w:t>
            </w:r>
          </w:p>
        </w:tc>
      </w:tr>
      <w:tr w:rsidR="00477179" w:rsidRPr="00CB6668" w14:paraId="0DAC92A4" w14:textId="77777777" w:rsidTr="008E6093">
        <w:tc>
          <w:tcPr>
            <w:tcW w:w="2214" w:type="dxa"/>
            <w:tcBorders>
              <w:right w:val="single" w:sz="4" w:space="0" w:color="auto"/>
            </w:tcBorders>
          </w:tcPr>
          <w:p w14:paraId="2CD2F9BB" w14:textId="77777777" w:rsidR="00477179" w:rsidRPr="00CB6668" w:rsidRDefault="00477179" w:rsidP="00BB6889">
            <w:pPr>
              <w:spacing w:after="0" w:line="240" w:lineRule="auto"/>
              <w:rPr>
                <w:rFonts w:ascii="Baskerville Old Face" w:hAnsi="Baskerville Old Face" w:cs="Baskerville Old Face"/>
                <w:bCs/>
                <w:sz w:val="28"/>
                <w:szCs w:val="28"/>
              </w:rPr>
            </w:pPr>
            <w:r w:rsidRPr="00CB6668">
              <w:rPr>
                <w:rFonts w:ascii="Times New Roman" w:hAnsi="Times New Roman"/>
                <w:bCs/>
                <w:sz w:val="28"/>
                <w:szCs w:val="28"/>
              </w:rPr>
              <w:t>година</w:t>
            </w:r>
          </w:p>
        </w:tc>
        <w:tc>
          <w:tcPr>
            <w:tcW w:w="2180" w:type="dxa"/>
            <w:tcBorders>
              <w:right w:val="single" w:sz="4" w:space="0" w:color="auto"/>
            </w:tcBorders>
            <w:shd w:val="clear" w:color="auto" w:fill="D6E3BC"/>
          </w:tcPr>
          <w:p w14:paraId="34C34E8E" w14:textId="7D664ADB" w:rsidR="00477179" w:rsidRPr="00CB6668" w:rsidRDefault="00477179" w:rsidP="007349AC">
            <w:pPr>
              <w:spacing w:after="0" w:line="240" w:lineRule="auto"/>
              <w:jc w:val="center"/>
              <w:rPr>
                <w:rFonts w:ascii="Times New Roman" w:hAnsi="Times New Roman"/>
                <w:b/>
                <w:bCs/>
                <w:sz w:val="28"/>
                <w:szCs w:val="28"/>
              </w:rPr>
            </w:pPr>
            <w:r w:rsidRPr="00CB6668">
              <w:rPr>
                <w:rFonts w:ascii="Times New Roman" w:hAnsi="Times New Roman"/>
                <w:b/>
                <w:bCs/>
                <w:sz w:val="28"/>
                <w:szCs w:val="28"/>
              </w:rPr>
              <w:t>20</w:t>
            </w:r>
            <w:r w:rsidR="00BB6889" w:rsidRPr="00CB6668">
              <w:rPr>
                <w:rFonts w:ascii="Times New Roman" w:hAnsi="Times New Roman"/>
                <w:b/>
                <w:bCs/>
                <w:sz w:val="28"/>
                <w:szCs w:val="28"/>
              </w:rPr>
              <w:t>2</w:t>
            </w:r>
            <w:r w:rsidR="007349AC">
              <w:rPr>
                <w:rFonts w:ascii="Times New Roman" w:hAnsi="Times New Roman"/>
                <w:b/>
                <w:bCs/>
                <w:sz w:val="28"/>
                <w:szCs w:val="28"/>
              </w:rPr>
              <w:t>2</w:t>
            </w:r>
            <w:r w:rsidRPr="00CB6668">
              <w:rPr>
                <w:rFonts w:ascii="Times New Roman" w:hAnsi="Times New Roman"/>
                <w:b/>
                <w:bCs/>
                <w:sz w:val="28"/>
                <w:szCs w:val="28"/>
              </w:rPr>
              <w:t xml:space="preserve"> г.</w:t>
            </w:r>
          </w:p>
        </w:tc>
        <w:tc>
          <w:tcPr>
            <w:tcW w:w="2127" w:type="dxa"/>
            <w:tcBorders>
              <w:left w:val="single" w:sz="4" w:space="0" w:color="auto"/>
              <w:right w:val="single" w:sz="4" w:space="0" w:color="auto"/>
            </w:tcBorders>
          </w:tcPr>
          <w:p w14:paraId="43A96C56" w14:textId="77F7EF4F" w:rsidR="00477179" w:rsidRPr="00CB6668" w:rsidRDefault="00477179" w:rsidP="007349AC">
            <w:pPr>
              <w:spacing w:after="0" w:line="240" w:lineRule="auto"/>
              <w:jc w:val="center"/>
              <w:rPr>
                <w:rFonts w:ascii="Times New Roman" w:hAnsi="Times New Roman"/>
                <w:bCs/>
                <w:sz w:val="28"/>
                <w:szCs w:val="28"/>
              </w:rPr>
            </w:pPr>
            <w:r w:rsidRPr="00CB6668">
              <w:rPr>
                <w:rFonts w:ascii="Times New Roman" w:hAnsi="Times New Roman"/>
                <w:bCs/>
                <w:sz w:val="28"/>
                <w:szCs w:val="28"/>
              </w:rPr>
              <w:t>20</w:t>
            </w:r>
            <w:r w:rsidR="00CB6668" w:rsidRPr="00CB6668">
              <w:rPr>
                <w:rFonts w:ascii="Times New Roman" w:hAnsi="Times New Roman"/>
                <w:bCs/>
                <w:sz w:val="28"/>
                <w:szCs w:val="28"/>
              </w:rPr>
              <w:t>2</w:t>
            </w:r>
            <w:r w:rsidR="007349AC">
              <w:rPr>
                <w:rFonts w:ascii="Times New Roman" w:hAnsi="Times New Roman"/>
                <w:bCs/>
                <w:sz w:val="28"/>
                <w:szCs w:val="28"/>
              </w:rPr>
              <w:t>1</w:t>
            </w:r>
            <w:r w:rsidRPr="00CB6668">
              <w:rPr>
                <w:rFonts w:ascii="Times New Roman" w:hAnsi="Times New Roman"/>
                <w:bCs/>
                <w:sz w:val="28"/>
                <w:szCs w:val="28"/>
              </w:rPr>
              <w:t xml:space="preserve"> г.</w:t>
            </w:r>
          </w:p>
        </w:tc>
        <w:tc>
          <w:tcPr>
            <w:tcW w:w="2268" w:type="dxa"/>
            <w:tcBorders>
              <w:left w:val="single" w:sz="4" w:space="0" w:color="auto"/>
            </w:tcBorders>
          </w:tcPr>
          <w:p w14:paraId="55ADF569" w14:textId="14C092FD" w:rsidR="00477179" w:rsidRPr="00CB6668" w:rsidRDefault="00477179" w:rsidP="007349AC">
            <w:pPr>
              <w:spacing w:after="0" w:line="240" w:lineRule="auto"/>
              <w:jc w:val="center"/>
              <w:rPr>
                <w:rFonts w:ascii="Times New Roman" w:hAnsi="Times New Roman"/>
                <w:bCs/>
                <w:sz w:val="28"/>
                <w:szCs w:val="28"/>
              </w:rPr>
            </w:pPr>
            <w:r w:rsidRPr="00CB6668">
              <w:rPr>
                <w:rFonts w:ascii="Times New Roman" w:hAnsi="Times New Roman"/>
                <w:bCs/>
                <w:sz w:val="28"/>
                <w:szCs w:val="28"/>
              </w:rPr>
              <w:t>20</w:t>
            </w:r>
            <w:r w:rsidR="007349AC">
              <w:rPr>
                <w:rFonts w:ascii="Times New Roman" w:hAnsi="Times New Roman"/>
                <w:bCs/>
                <w:sz w:val="28"/>
                <w:szCs w:val="28"/>
              </w:rPr>
              <w:t>20</w:t>
            </w:r>
            <w:r w:rsidRPr="00CB6668">
              <w:rPr>
                <w:rFonts w:ascii="Times New Roman" w:hAnsi="Times New Roman"/>
                <w:bCs/>
                <w:sz w:val="28"/>
                <w:szCs w:val="28"/>
              </w:rPr>
              <w:t xml:space="preserve"> г.</w:t>
            </w:r>
          </w:p>
        </w:tc>
      </w:tr>
      <w:tr w:rsidR="00477179" w:rsidRPr="008B000A" w14:paraId="7921A3CD" w14:textId="77777777" w:rsidTr="008E6093">
        <w:tc>
          <w:tcPr>
            <w:tcW w:w="2214" w:type="dxa"/>
            <w:tcBorders>
              <w:right w:val="single" w:sz="4" w:space="0" w:color="auto"/>
            </w:tcBorders>
          </w:tcPr>
          <w:p w14:paraId="30825AB9" w14:textId="77777777" w:rsidR="00477179" w:rsidRPr="00CB6668" w:rsidRDefault="00477179" w:rsidP="00BB6889">
            <w:pPr>
              <w:spacing w:after="0" w:line="240" w:lineRule="auto"/>
              <w:rPr>
                <w:rFonts w:ascii="Times New Roman" w:hAnsi="Times New Roman"/>
                <w:sz w:val="28"/>
                <w:szCs w:val="28"/>
              </w:rPr>
            </w:pPr>
            <w:r w:rsidRPr="00CB6668">
              <w:rPr>
                <w:rFonts w:ascii="Times New Roman" w:hAnsi="Times New Roman"/>
                <w:sz w:val="28"/>
                <w:szCs w:val="28"/>
              </w:rPr>
              <w:t>среден бр. ДП</w:t>
            </w:r>
          </w:p>
        </w:tc>
        <w:tc>
          <w:tcPr>
            <w:tcW w:w="2180" w:type="dxa"/>
            <w:tcBorders>
              <w:right w:val="single" w:sz="4" w:space="0" w:color="auto"/>
            </w:tcBorders>
            <w:shd w:val="clear" w:color="auto" w:fill="D6E3BC"/>
          </w:tcPr>
          <w:p w14:paraId="13DF2714" w14:textId="25015D73" w:rsidR="00477179" w:rsidRPr="00CB6668" w:rsidRDefault="007349AC" w:rsidP="007349AC">
            <w:pPr>
              <w:spacing w:after="0" w:line="240" w:lineRule="auto"/>
              <w:jc w:val="center"/>
              <w:rPr>
                <w:rFonts w:ascii="Times New Roman" w:hAnsi="Times New Roman"/>
                <w:b/>
                <w:sz w:val="28"/>
                <w:szCs w:val="28"/>
              </w:rPr>
            </w:pPr>
            <w:r>
              <w:rPr>
                <w:rFonts w:ascii="Times New Roman" w:hAnsi="Times New Roman"/>
                <w:b/>
                <w:sz w:val="28"/>
                <w:szCs w:val="28"/>
              </w:rPr>
              <w:t>18,6</w:t>
            </w:r>
          </w:p>
        </w:tc>
        <w:tc>
          <w:tcPr>
            <w:tcW w:w="2127" w:type="dxa"/>
            <w:tcBorders>
              <w:left w:val="single" w:sz="4" w:space="0" w:color="auto"/>
              <w:right w:val="single" w:sz="4" w:space="0" w:color="auto"/>
            </w:tcBorders>
          </w:tcPr>
          <w:p w14:paraId="72EAE2C2" w14:textId="639621EC" w:rsidR="00477179" w:rsidRPr="00CB6668" w:rsidRDefault="007349AC" w:rsidP="00BB6889">
            <w:pPr>
              <w:spacing w:after="0" w:line="240" w:lineRule="auto"/>
              <w:jc w:val="center"/>
              <w:rPr>
                <w:rFonts w:ascii="Times New Roman" w:hAnsi="Times New Roman"/>
                <w:sz w:val="28"/>
                <w:szCs w:val="28"/>
              </w:rPr>
            </w:pPr>
            <w:r>
              <w:rPr>
                <w:rFonts w:ascii="Times New Roman" w:hAnsi="Times New Roman"/>
                <w:sz w:val="28"/>
                <w:szCs w:val="28"/>
              </w:rPr>
              <w:t>23</w:t>
            </w:r>
            <w:r w:rsidR="00CB6668" w:rsidRPr="00CB6668">
              <w:rPr>
                <w:rFonts w:ascii="Times New Roman" w:hAnsi="Times New Roman"/>
                <w:sz w:val="28"/>
                <w:szCs w:val="28"/>
              </w:rPr>
              <w:t>,4</w:t>
            </w:r>
          </w:p>
        </w:tc>
        <w:tc>
          <w:tcPr>
            <w:tcW w:w="2268" w:type="dxa"/>
            <w:tcBorders>
              <w:left w:val="single" w:sz="4" w:space="0" w:color="auto"/>
            </w:tcBorders>
          </w:tcPr>
          <w:p w14:paraId="380A2B08" w14:textId="131DF9CF" w:rsidR="00477179" w:rsidRPr="00CB6668" w:rsidRDefault="00CB6668" w:rsidP="007349AC">
            <w:pPr>
              <w:spacing w:after="0" w:line="240" w:lineRule="auto"/>
              <w:jc w:val="center"/>
              <w:rPr>
                <w:rFonts w:ascii="Times New Roman" w:hAnsi="Times New Roman"/>
                <w:sz w:val="28"/>
                <w:szCs w:val="28"/>
              </w:rPr>
            </w:pPr>
            <w:r w:rsidRPr="00CB6668">
              <w:rPr>
                <w:rFonts w:ascii="Times New Roman" w:hAnsi="Times New Roman"/>
                <w:sz w:val="28"/>
                <w:szCs w:val="28"/>
              </w:rPr>
              <w:t>2</w:t>
            </w:r>
            <w:r w:rsidR="007349AC">
              <w:rPr>
                <w:rFonts w:ascii="Times New Roman" w:hAnsi="Times New Roman"/>
                <w:sz w:val="28"/>
                <w:szCs w:val="28"/>
              </w:rPr>
              <w:t>4,4</w:t>
            </w:r>
          </w:p>
        </w:tc>
      </w:tr>
    </w:tbl>
    <w:p w14:paraId="1A95DDC5" w14:textId="77777777" w:rsidR="00897C29" w:rsidRPr="008B000A" w:rsidRDefault="00897C29" w:rsidP="00BB6889">
      <w:pPr>
        <w:spacing w:after="0" w:line="240" w:lineRule="auto"/>
        <w:ind w:firstLine="709"/>
        <w:jc w:val="both"/>
        <w:rPr>
          <w:rFonts w:ascii="Times New Roman" w:hAnsi="Times New Roman" w:cs="Baskerville Old Face"/>
          <w:sz w:val="28"/>
          <w:szCs w:val="28"/>
          <w:highlight w:val="green"/>
        </w:rPr>
      </w:pPr>
    </w:p>
    <w:p w14:paraId="0269906F" w14:textId="1D85AE86" w:rsidR="00897C29" w:rsidRPr="002F4485" w:rsidRDefault="00897C29" w:rsidP="00B94A4E">
      <w:pPr>
        <w:spacing w:after="0" w:line="240" w:lineRule="auto"/>
        <w:ind w:firstLine="709"/>
        <w:jc w:val="both"/>
        <w:rPr>
          <w:rFonts w:ascii="Times New Roman" w:hAnsi="Times New Roman"/>
          <w:sz w:val="28"/>
          <w:szCs w:val="28"/>
        </w:rPr>
      </w:pPr>
      <w:r w:rsidRPr="002F4485">
        <w:rPr>
          <w:rFonts w:ascii="Times New Roman" w:hAnsi="Times New Roman"/>
          <w:sz w:val="28"/>
          <w:szCs w:val="28"/>
        </w:rPr>
        <w:t xml:space="preserve">В процентно съотношение средната натовареност по разследвани ДП бележи </w:t>
      </w:r>
      <w:r w:rsidR="00CC4053" w:rsidRPr="002F4485">
        <w:rPr>
          <w:rFonts w:ascii="Times New Roman" w:hAnsi="Times New Roman"/>
          <w:sz w:val="28"/>
          <w:szCs w:val="28"/>
        </w:rPr>
        <w:t>намаление спрямо 20</w:t>
      </w:r>
      <w:r w:rsidR="00CB6668" w:rsidRPr="002F4485">
        <w:rPr>
          <w:rFonts w:ascii="Times New Roman" w:hAnsi="Times New Roman"/>
          <w:sz w:val="28"/>
          <w:szCs w:val="28"/>
        </w:rPr>
        <w:t>2</w:t>
      </w:r>
      <w:r w:rsidR="007349AC">
        <w:rPr>
          <w:rFonts w:ascii="Times New Roman" w:hAnsi="Times New Roman"/>
          <w:sz w:val="28"/>
          <w:szCs w:val="28"/>
        </w:rPr>
        <w:t>1</w:t>
      </w:r>
      <w:r w:rsidR="00CC4053" w:rsidRPr="002F4485">
        <w:rPr>
          <w:rFonts w:ascii="Times New Roman" w:hAnsi="Times New Roman"/>
          <w:sz w:val="28"/>
          <w:szCs w:val="28"/>
        </w:rPr>
        <w:t xml:space="preserve"> г. с </w:t>
      </w:r>
      <w:r w:rsidR="002F4485" w:rsidRPr="002F4485">
        <w:rPr>
          <w:rFonts w:ascii="Times New Roman" w:hAnsi="Times New Roman"/>
          <w:sz w:val="28"/>
          <w:szCs w:val="28"/>
        </w:rPr>
        <w:t>4,</w:t>
      </w:r>
      <w:r w:rsidR="007349AC">
        <w:rPr>
          <w:rFonts w:ascii="Times New Roman" w:hAnsi="Times New Roman"/>
          <w:sz w:val="28"/>
          <w:szCs w:val="28"/>
        </w:rPr>
        <w:t>8</w:t>
      </w:r>
      <w:r w:rsidRPr="002F4485">
        <w:rPr>
          <w:rFonts w:ascii="Times New Roman" w:hAnsi="Times New Roman"/>
          <w:sz w:val="28"/>
          <w:szCs w:val="28"/>
        </w:rPr>
        <w:t xml:space="preserve"> </w:t>
      </w:r>
      <w:r w:rsidR="00CC4053" w:rsidRPr="002F4485">
        <w:rPr>
          <w:rFonts w:ascii="Times New Roman" w:hAnsi="Times New Roman"/>
          <w:sz w:val="28"/>
          <w:szCs w:val="28"/>
        </w:rPr>
        <w:t xml:space="preserve">и </w:t>
      </w:r>
      <w:r w:rsidR="00BB6889" w:rsidRPr="002F4485">
        <w:rPr>
          <w:rFonts w:ascii="Times New Roman" w:hAnsi="Times New Roman"/>
          <w:sz w:val="28"/>
          <w:szCs w:val="28"/>
        </w:rPr>
        <w:t>с</w:t>
      </w:r>
      <w:r w:rsidR="00CC4053" w:rsidRPr="002F4485">
        <w:rPr>
          <w:rFonts w:ascii="Times New Roman" w:hAnsi="Times New Roman"/>
          <w:sz w:val="28"/>
          <w:szCs w:val="28"/>
        </w:rPr>
        <w:t xml:space="preserve"> </w:t>
      </w:r>
      <w:r w:rsidR="007349AC">
        <w:rPr>
          <w:rFonts w:ascii="Times New Roman" w:hAnsi="Times New Roman"/>
          <w:sz w:val="28"/>
          <w:szCs w:val="28"/>
        </w:rPr>
        <w:t>5,8</w:t>
      </w:r>
      <w:r w:rsidR="00CC4053" w:rsidRPr="002F4485">
        <w:rPr>
          <w:rFonts w:ascii="Times New Roman" w:hAnsi="Times New Roman"/>
          <w:sz w:val="28"/>
          <w:szCs w:val="28"/>
        </w:rPr>
        <w:t>% спрямо 20</w:t>
      </w:r>
      <w:r w:rsidR="007349AC">
        <w:rPr>
          <w:rFonts w:ascii="Times New Roman" w:hAnsi="Times New Roman"/>
          <w:sz w:val="28"/>
          <w:szCs w:val="28"/>
        </w:rPr>
        <w:t>20</w:t>
      </w:r>
      <w:r w:rsidR="00CC4053" w:rsidRPr="002F4485">
        <w:rPr>
          <w:rFonts w:ascii="Times New Roman" w:hAnsi="Times New Roman"/>
          <w:sz w:val="28"/>
          <w:szCs w:val="28"/>
        </w:rPr>
        <w:t xml:space="preserve"> г</w:t>
      </w:r>
      <w:r w:rsidR="00BB6889" w:rsidRPr="002F4485">
        <w:rPr>
          <w:rFonts w:ascii="Times New Roman" w:hAnsi="Times New Roman"/>
          <w:sz w:val="28"/>
          <w:szCs w:val="28"/>
        </w:rPr>
        <w:t>. Намале</w:t>
      </w:r>
      <w:r w:rsidRPr="002F4485">
        <w:rPr>
          <w:rFonts w:ascii="Times New Roman" w:hAnsi="Times New Roman"/>
          <w:sz w:val="28"/>
          <w:szCs w:val="28"/>
        </w:rPr>
        <w:t xml:space="preserve">нието се дължи на </w:t>
      </w:r>
      <w:r w:rsidR="00BB6889" w:rsidRPr="002F4485">
        <w:rPr>
          <w:rFonts w:ascii="Times New Roman" w:hAnsi="Times New Roman"/>
          <w:sz w:val="28"/>
          <w:szCs w:val="28"/>
        </w:rPr>
        <w:t>увеличения</w:t>
      </w:r>
      <w:r w:rsidRPr="002F4485">
        <w:rPr>
          <w:rFonts w:ascii="Times New Roman" w:hAnsi="Times New Roman"/>
          <w:sz w:val="28"/>
          <w:szCs w:val="28"/>
        </w:rPr>
        <w:t xml:space="preserve"> брой на </w:t>
      </w:r>
      <w:r w:rsidR="00BB6889" w:rsidRPr="002F4485">
        <w:rPr>
          <w:rFonts w:ascii="Times New Roman" w:hAnsi="Times New Roman"/>
          <w:sz w:val="28"/>
          <w:szCs w:val="28"/>
        </w:rPr>
        <w:t xml:space="preserve">реално работилите </w:t>
      </w:r>
      <w:r w:rsidRPr="002F4485">
        <w:rPr>
          <w:rFonts w:ascii="Times New Roman" w:hAnsi="Times New Roman"/>
          <w:sz w:val="28"/>
          <w:szCs w:val="28"/>
        </w:rPr>
        <w:t>следователи в следствения отдел при ОП-Монтана, а също и на по-</w:t>
      </w:r>
      <w:r w:rsidR="00BB6889" w:rsidRPr="002F4485">
        <w:rPr>
          <w:rFonts w:ascii="Times New Roman" w:hAnsi="Times New Roman"/>
          <w:sz w:val="28"/>
          <w:szCs w:val="28"/>
        </w:rPr>
        <w:t>малкия</w:t>
      </w:r>
      <w:r w:rsidRPr="002F4485">
        <w:rPr>
          <w:rFonts w:ascii="Times New Roman" w:hAnsi="Times New Roman"/>
          <w:sz w:val="28"/>
          <w:szCs w:val="28"/>
        </w:rPr>
        <w:t xml:space="preserve"> брой разследвани ДП. За сметка на намаляващите като абсолютна стойност дела с транспортен характер, през периода </w:t>
      </w:r>
      <w:r w:rsidR="00B94A4E" w:rsidRPr="002F4485">
        <w:rPr>
          <w:rFonts w:ascii="Times New Roman" w:hAnsi="Times New Roman"/>
          <w:sz w:val="28"/>
          <w:szCs w:val="28"/>
        </w:rPr>
        <w:t>се</w:t>
      </w:r>
      <w:r w:rsidRPr="002F4485">
        <w:rPr>
          <w:rFonts w:ascii="Times New Roman" w:hAnsi="Times New Roman"/>
          <w:sz w:val="28"/>
          <w:szCs w:val="28"/>
        </w:rPr>
        <w:t xml:space="preserve"> </w:t>
      </w:r>
      <w:r w:rsidR="00BB6889" w:rsidRPr="002F4485">
        <w:rPr>
          <w:rFonts w:ascii="Times New Roman" w:hAnsi="Times New Roman"/>
          <w:sz w:val="28"/>
          <w:szCs w:val="28"/>
        </w:rPr>
        <w:t>запазва</w:t>
      </w:r>
      <w:r w:rsidR="00B94A4E" w:rsidRPr="002F4485">
        <w:rPr>
          <w:rFonts w:ascii="Times New Roman" w:hAnsi="Times New Roman"/>
          <w:sz w:val="28"/>
          <w:szCs w:val="28"/>
        </w:rPr>
        <w:t>т</w:t>
      </w:r>
      <w:r w:rsidR="00BB6889" w:rsidRPr="002F4485">
        <w:rPr>
          <w:rFonts w:ascii="Times New Roman" w:hAnsi="Times New Roman"/>
          <w:sz w:val="28"/>
          <w:szCs w:val="28"/>
        </w:rPr>
        <w:t xml:space="preserve"> </w:t>
      </w:r>
      <w:r w:rsidR="00B94A4E" w:rsidRPr="002F4485">
        <w:rPr>
          <w:rFonts w:ascii="Times New Roman" w:hAnsi="Times New Roman"/>
          <w:sz w:val="28"/>
          <w:szCs w:val="28"/>
        </w:rPr>
        <w:t xml:space="preserve">показателите </w:t>
      </w:r>
      <w:r w:rsidRPr="002F4485">
        <w:rPr>
          <w:rFonts w:ascii="Times New Roman" w:hAnsi="Times New Roman"/>
          <w:sz w:val="28"/>
          <w:szCs w:val="28"/>
        </w:rPr>
        <w:t>при разследваните в следствения отдел дела с предмет криминални</w:t>
      </w:r>
      <w:r w:rsidR="00B94A4E" w:rsidRPr="002F4485">
        <w:rPr>
          <w:rFonts w:ascii="Times New Roman" w:hAnsi="Times New Roman"/>
          <w:sz w:val="28"/>
          <w:szCs w:val="28"/>
        </w:rPr>
        <w:t xml:space="preserve"> и икономически </w:t>
      </w:r>
      <w:r w:rsidRPr="002F4485">
        <w:rPr>
          <w:rFonts w:ascii="Times New Roman" w:hAnsi="Times New Roman"/>
          <w:sz w:val="28"/>
          <w:szCs w:val="28"/>
        </w:rPr>
        <w:t xml:space="preserve"> престъпления</w:t>
      </w:r>
      <w:r w:rsidR="00B94A4E" w:rsidRPr="002F4485">
        <w:rPr>
          <w:rFonts w:ascii="Times New Roman" w:hAnsi="Times New Roman"/>
          <w:sz w:val="28"/>
          <w:szCs w:val="28"/>
        </w:rPr>
        <w:t>,</w:t>
      </w:r>
      <w:r w:rsidRPr="002F4485">
        <w:rPr>
          <w:rFonts w:ascii="Times New Roman" w:hAnsi="Times New Roman"/>
          <w:sz w:val="28"/>
          <w:szCs w:val="28"/>
        </w:rPr>
        <w:t xml:space="preserve"> които се характеризират с по-висока фактическа и правна сложност.</w:t>
      </w:r>
    </w:p>
    <w:p w14:paraId="26D698D7" w14:textId="77777777" w:rsidR="00897C29" w:rsidRPr="008B000A" w:rsidRDefault="00897C29" w:rsidP="00B94A4E">
      <w:pPr>
        <w:spacing w:after="0" w:line="240" w:lineRule="auto"/>
        <w:ind w:firstLine="709"/>
        <w:jc w:val="both"/>
        <w:rPr>
          <w:rFonts w:ascii="Times New Roman" w:hAnsi="Times New Roman"/>
          <w:sz w:val="28"/>
          <w:szCs w:val="28"/>
          <w:highlight w:val="green"/>
        </w:rPr>
      </w:pPr>
    </w:p>
    <w:p w14:paraId="11B23186" w14:textId="77777777" w:rsidR="00897C29" w:rsidRPr="002F4485" w:rsidRDefault="00897C29" w:rsidP="001E27F8">
      <w:pPr>
        <w:numPr>
          <w:ilvl w:val="2"/>
          <w:numId w:val="13"/>
        </w:numPr>
        <w:spacing w:after="0" w:line="240" w:lineRule="auto"/>
        <w:ind w:left="0" w:firstLine="708"/>
        <w:contextualSpacing/>
        <w:jc w:val="both"/>
        <w:rPr>
          <w:rFonts w:ascii="Times New Roman" w:eastAsia="Calibri" w:hAnsi="Times New Roman" w:cs="Times New Roman"/>
          <w:b/>
          <w:i/>
          <w:sz w:val="28"/>
          <w:szCs w:val="28"/>
        </w:rPr>
      </w:pPr>
      <w:r w:rsidRPr="002F4485">
        <w:rPr>
          <w:rFonts w:ascii="Times New Roman" w:hAnsi="Times New Roman" w:cs="Times New Roman"/>
          <w:b/>
          <w:i/>
          <w:sz w:val="28"/>
          <w:szCs w:val="28"/>
        </w:rPr>
        <w:t>По брой изпълнени</w:t>
      </w:r>
      <w:r w:rsidRPr="002F4485">
        <w:rPr>
          <w:rFonts w:ascii="Times New Roman" w:eastAsia="Calibri" w:hAnsi="Times New Roman" w:cs="Times New Roman"/>
          <w:b/>
          <w:i/>
          <w:sz w:val="28"/>
          <w:szCs w:val="28"/>
        </w:rPr>
        <w:t xml:space="preserve"> следствени поръчки и международни молби за правна помощ:</w:t>
      </w:r>
    </w:p>
    <w:p w14:paraId="7C229BBF" w14:textId="0E690F33" w:rsidR="00897C29" w:rsidRPr="002F4485" w:rsidRDefault="00897C29" w:rsidP="001E27F8">
      <w:pPr>
        <w:spacing w:after="0" w:line="240" w:lineRule="auto"/>
        <w:ind w:firstLine="709"/>
        <w:jc w:val="both"/>
        <w:rPr>
          <w:rFonts w:ascii="Times New Roman" w:hAnsi="Times New Roman"/>
          <w:sz w:val="28"/>
          <w:szCs w:val="28"/>
        </w:rPr>
      </w:pPr>
      <w:r w:rsidRPr="002F4485">
        <w:rPr>
          <w:rFonts w:ascii="Times New Roman" w:hAnsi="Times New Roman"/>
          <w:sz w:val="28"/>
          <w:szCs w:val="28"/>
        </w:rPr>
        <w:t>От следващата таблица е видно, че актуализираната средна натовареност по критерия „дела по делегация“ през 20</w:t>
      </w:r>
      <w:r w:rsidR="001E27F8" w:rsidRPr="002F4485">
        <w:rPr>
          <w:rFonts w:ascii="Times New Roman" w:hAnsi="Times New Roman"/>
          <w:sz w:val="28"/>
          <w:szCs w:val="28"/>
        </w:rPr>
        <w:t>2</w:t>
      </w:r>
      <w:r w:rsidR="007349AC">
        <w:rPr>
          <w:rFonts w:ascii="Times New Roman" w:hAnsi="Times New Roman"/>
          <w:sz w:val="28"/>
          <w:szCs w:val="28"/>
        </w:rPr>
        <w:t>2</w:t>
      </w:r>
      <w:r w:rsidRPr="002F4485">
        <w:rPr>
          <w:rFonts w:ascii="Times New Roman" w:hAnsi="Times New Roman"/>
          <w:sz w:val="28"/>
          <w:szCs w:val="28"/>
        </w:rPr>
        <w:t xml:space="preserve"> г. бележи </w:t>
      </w:r>
      <w:r w:rsidR="007349AC">
        <w:rPr>
          <w:rFonts w:ascii="Times New Roman" w:hAnsi="Times New Roman"/>
          <w:sz w:val="28"/>
          <w:szCs w:val="28"/>
        </w:rPr>
        <w:t>намаление</w:t>
      </w:r>
      <w:r w:rsidR="00AD6B88" w:rsidRPr="002F4485">
        <w:rPr>
          <w:rFonts w:ascii="Times New Roman" w:hAnsi="Times New Roman"/>
          <w:sz w:val="28"/>
          <w:szCs w:val="28"/>
        </w:rPr>
        <w:t xml:space="preserve"> спрямо 20</w:t>
      </w:r>
      <w:r w:rsidR="002F4485" w:rsidRPr="002F4485">
        <w:rPr>
          <w:rFonts w:ascii="Times New Roman" w:hAnsi="Times New Roman"/>
          <w:sz w:val="28"/>
          <w:szCs w:val="28"/>
        </w:rPr>
        <w:t>20</w:t>
      </w:r>
      <w:r w:rsidR="00AD6B88" w:rsidRPr="002F4485">
        <w:rPr>
          <w:rFonts w:ascii="Times New Roman" w:hAnsi="Times New Roman"/>
          <w:sz w:val="28"/>
          <w:szCs w:val="28"/>
        </w:rPr>
        <w:t xml:space="preserve"> г. с</w:t>
      </w:r>
      <w:r w:rsidR="001E27F8" w:rsidRPr="002F4485">
        <w:rPr>
          <w:rFonts w:ascii="Times New Roman" w:hAnsi="Times New Roman"/>
          <w:sz w:val="28"/>
          <w:szCs w:val="28"/>
        </w:rPr>
        <w:t xml:space="preserve">ъс </w:t>
      </w:r>
      <w:r w:rsidR="007349AC">
        <w:rPr>
          <w:rFonts w:ascii="Times New Roman" w:hAnsi="Times New Roman"/>
          <w:sz w:val="28"/>
          <w:szCs w:val="28"/>
        </w:rPr>
        <w:t>9,6</w:t>
      </w:r>
      <w:r w:rsidR="00AD6B88" w:rsidRPr="002F4485">
        <w:rPr>
          <w:rFonts w:ascii="Times New Roman" w:hAnsi="Times New Roman"/>
          <w:sz w:val="28"/>
          <w:szCs w:val="28"/>
        </w:rPr>
        <w:t xml:space="preserve">% и </w:t>
      </w:r>
      <w:r w:rsidRPr="002F4485">
        <w:rPr>
          <w:rFonts w:ascii="Times New Roman" w:hAnsi="Times New Roman"/>
          <w:sz w:val="28"/>
          <w:szCs w:val="28"/>
        </w:rPr>
        <w:t>спрямо 20</w:t>
      </w:r>
      <w:r w:rsidR="007349AC">
        <w:rPr>
          <w:rFonts w:ascii="Times New Roman" w:hAnsi="Times New Roman"/>
          <w:sz w:val="28"/>
          <w:szCs w:val="28"/>
        </w:rPr>
        <w:t>20</w:t>
      </w:r>
      <w:r w:rsidRPr="002F4485">
        <w:rPr>
          <w:rFonts w:ascii="Times New Roman" w:hAnsi="Times New Roman"/>
          <w:sz w:val="28"/>
          <w:szCs w:val="28"/>
        </w:rPr>
        <w:t xml:space="preserve"> г. с </w:t>
      </w:r>
      <w:r w:rsidR="007349AC">
        <w:rPr>
          <w:rFonts w:ascii="Times New Roman" w:hAnsi="Times New Roman"/>
          <w:sz w:val="28"/>
          <w:szCs w:val="28"/>
        </w:rPr>
        <w:t xml:space="preserve">7,9 </w:t>
      </w:r>
      <w:r w:rsidRPr="002F4485">
        <w:rPr>
          <w:rFonts w:ascii="Times New Roman" w:hAnsi="Times New Roman"/>
          <w:sz w:val="28"/>
          <w:szCs w:val="28"/>
        </w:rPr>
        <w:t xml:space="preserve">%. Тези резултати са следствие </w:t>
      </w:r>
      <w:r w:rsidR="00AD6B88" w:rsidRPr="002F4485">
        <w:rPr>
          <w:rFonts w:ascii="Times New Roman" w:hAnsi="Times New Roman"/>
          <w:sz w:val="28"/>
          <w:szCs w:val="28"/>
        </w:rPr>
        <w:t>на общия брой</w:t>
      </w:r>
      <w:r w:rsidRPr="002F4485">
        <w:rPr>
          <w:rFonts w:ascii="Times New Roman" w:hAnsi="Times New Roman"/>
          <w:sz w:val="28"/>
          <w:szCs w:val="28"/>
        </w:rPr>
        <w:t xml:space="preserve"> на получените за изпълнение с</w:t>
      </w:r>
      <w:r w:rsidR="00AD6B88" w:rsidRPr="002F4485">
        <w:rPr>
          <w:rFonts w:ascii="Times New Roman" w:hAnsi="Times New Roman"/>
          <w:sz w:val="28"/>
          <w:szCs w:val="28"/>
        </w:rPr>
        <w:t>ледствени поръчки и МПП спрямо двата предходни периода</w:t>
      </w:r>
      <w:r w:rsidR="002F4485">
        <w:rPr>
          <w:rFonts w:ascii="Times New Roman" w:hAnsi="Times New Roman"/>
          <w:sz w:val="28"/>
          <w:szCs w:val="28"/>
        </w:rPr>
        <w:t xml:space="preserve"> и средния брой на работилите следователи</w:t>
      </w:r>
      <w:r w:rsidR="00AD6B88" w:rsidRPr="002F4485">
        <w:rPr>
          <w:rFonts w:ascii="Times New Roman" w:hAnsi="Times New Roman"/>
          <w:sz w:val="28"/>
          <w:szCs w:val="28"/>
        </w:rPr>
        <w:t>.</w:t>
      </w:r>
    </w:p>
    <w:p w14:paraId="56BDE5D2" w14:textId="77777777" w:rsidR="00897C29" w:rsidRPr="008B000A" w:rsidRDefault="00897C29" w:rsidP="001E27F8">
      <w:pPr>
        <w:spacing w:after="0" w:line="240" w:lineRule="auto"/>
        <w:ind w:firstLine="709"/>
        <w:jc w:val="both"/>
        <w:rPr>
          <w:rFonts w:ascii="Times New Roman" w:hAnsi="Times New Roman"/>
          <w:sz w:val="28"/>
          <w:szCs w:val="28"/>
          <w:highlight w:val="green"/>
        </w:rPr>
      </w:pPr>
    </w:p>
    <w:tbl>
      <w:tblPr>
        <w:tblW w:w="920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2256"/>
        <w:gridCol w:w="2126"/>
        <w:gridCol w:w="1984"/>
      </w:tblGrid>
      <w:tr w:rsidR="00897C29" w:rsidRPr="008B000A" w14:paraId="7F6A089A" w14:textId="77777777" w:rsidTr="00D84D06">
        <w:tc>
          <w:tcPr>
            <w:tcW w:w="2835" w:type="dxa"/>
            <w:tcBorders>
              <w:right w:val="single" w:sz="4" w:space="0" w:color="auto"/>
            </w:tcBorders>
          </w:tcPr>
          <w:p w14:paraId="4E2697CF" w14:textId="77777777" w:rsidR="00897C29" w:rsidRPr="002F4485" w:rsidRDefault="00897C29" w:rsidP="001E27F8">
            <w:pPr>
              <w:spacing w:after="0" w:line="240" w:lineRule="auto"/>
              <w:rPr>
                <w:rFonts w:ascii="Times New Roman" w:hAnsi="Times New Roman"/>
                <w:b/>
                <w:bCs/>
                <w:sz w:val="28"/>
                <w:szCs w:val="28"/>
              </w:rPr>
            </w:pPr>
            <w:r w:rsidRPr="002F4485">
              <w:rPr>
                <w:rFonts w:ascii="Times New Roman" w:hAnsi="Times New Roman"/>
                <w:b/>
                <w:bCs/>
                <w:i/>
                <w:sz w:val="28"/>
                <w:szCs w:val="28"/>
              </w:rPr>
              <w:t>Дела по делегация</w:t>
            </w:r>
          </w:p>
        </w:tc>
        <w:tc>
          <w:tcPr>
            <w:tcW w:w="6366" w:type="dxa"/>
            <w:gridSpan w:val="3"/>
            <w:tcBorders>
              <w:left w:val="single" w:sz="4" w:space="0" w:color="auto"/>
            </w:tcBorders>
          </w:tcPr>
          <w:p w14:paraId="399AB6F8" w14:textId="77777777" w:rsidR="00897C29" w:rsidRPr="002F4485" w:rsidRDefault="00897C29" w:rsidP="001E27F8">
            <w:pPr>
              <w:spacing w:after="0" w:line="240" w:lineRule="auto"/>
              <w:jc w:val="center"/>
              <w:rPr>
                <w:rFonts w:ascii="Times New Roman" w:hAnsi="Times New Roman"/>
                <w:bCs/>
                <w:i/>
                <w:sz w:val="28"/>
                <w:szCs w:val="28"/>
              </w:rPr>
            </w:pPr>
            <w:r w:rsidRPr="002F4485">
              <w:rPr>
                <w:rFonts w:ascii="Times New Roman" w:hAnsi="Times New Roman"/>
                <w:bCs/>
                <w:i/>
                <w:sz w:val="28"/>
                <w:szCs w:val="28"/>
              </w:rPr>
              <w:t>Средна натовареност по дела по делегация</w:t>
            </w:r>
          </w:p>
        </w:tc>
      </w:tr>
      <w:tr w:rsidR="00477179" w:rsidRPr="008B000A" w14:paraId="6BF68CE3" w14:textId="77777777" w:rsidTr="00D84D06">
        <w:tc>
          <w:tcPr>
            <w:tcW w:w="2835" w:type="dxa"/>
            <w:tcBorders>
              <w:right w:val="single" w:sz="4" w:space="0" w:color="auto"/>
            </w:tcBorders>
          </w:tcPr>
          <w:p w14:paraId="21D90B36" w14:textId="77777777" w:rsidR="00477179" w:rsidRPr="002F4485" w:rsidRDefault="00477179" w:rsidP="001E27F8">
            <w:pPr>
              <w:spacing w:after="0" w:line="240" w:lineRule="auto"/>
              <w:rPr>
                <w:rFonts w:ascii="Times New Roman" w:hAnsi="Times New Roman"/>
                <w:bCs/>
                <w:sz w:val="28"/>
                <w:szCs w:val="28"/>
              </w:rPr>
            </w:pPr>
            <w:r w:rsidRPr="002F4485">
              <w:rPr>
                <w:rFonts w:ascii="Times New Roman" w:hAnsi="Times New Roman"/>
                <w:bCs/>
                <w:sz w:val="28"/>
                <w:szCs w:val="28"/>
              </w:rPr>
              <w:t>година</w:t>
            </w:r>
          </w:p>
        </w:tc>
        <w:tc>
          <w:tcPr>
            <w:tcW w:w="2256" w:type="dxa"/>
            <w:tcBorders>
              <w:left w:val="single" w:sz="4" w:space="0" w:color="auto"/>
              <w:right w:val="single" w:sz="4" w:space="0" w:color="auto"/>
            </w:tcBorders>
            <w:shd w:val="clear" w:color="auto" w:fill="C2D69B" w:themeFill="accent3" w:themeFillTint="99"/>
          </w:tcPr>
          <w:p w14:paraId="1E8FD57C" w14:textId="2A286AE8" w:rsidR="00477179" w:rsidRPr="002F4485" w:rsidRDefault="00477179" w:rsidP="007349AC">
            <w:pPr>
              <w:spacing w:after="0" w:line="240" w:lineRule="auto"/>
              <w:jc w:val="center"/>
              <w:rPr>
                <w:rFonts w:ascii="Times New Roman" w:hAnsi="Times New Roman"/>
                <w:b/>
                <w:bCs/>
                <w:sz w:val="28"/>
                <w:szCs w:val="28"/>
              </w:rPr>
            </w:pPr>
            <w:r w:rsidRPr="002F4485">
              <w:rPr>
                <w:rFonts w:ascii="Times New Roman" w:hAnsi="Times New Roman"/>
                <w:b/>
                <w:bCs/>
                <w:sz w:val="28"/>
                <w:szCs w:val="28"/>
              </w:rPr>
              <w:t>20</w:t>
            </w:r>
            <w:r w:rsidR="001E27F8" w:rsidRPr="002F4485">
              <w:rPr>
                <w:rFonts w:ascii="Times New Roman" w:hAnsi="Times New Roman"/>
                <w:b/>
                <w:bCs/>
                <w:sz w:val="28"/>
                <w:szCs w:val="28"/>
              </w:rPr>
              <w:t>2</w:t>
            </w:r>
            <w:r w:rsidR="007349AC">
              <w:rPr>
                <w:rFonts w:ascii="Times New Roman" w:hAnsi="Times New Roman"/>
                <w:b/>
                <w:bCs/>
                <w:sz w:val="28"/>
                <w:szCs w:val="28"/>
              </w:rPr>
              <w:t>2</w:t>
            </w:r>
            <w:r w:rsidRPr="002F4485">
              <w:rPr>
                <w:rFonts w:ascii="Times New Roman" w:hAnsi="Times New Roman"/>
                <w:b/>
                <w:bCs/>
                <w:sz w:val="28"/>
                <w:szCs w:val="28"/>
              </w:rPr>
              <w:t xml:space="preserve"> г.</w:t>
            </w:r>
          </w:p>
        </w:tc>
        <w:tc>
          <w:tcPr>
            <w:tcW w:w="2126" w:type="dxa"/>
            <w:tcBorders>
              <w:left w:val="single" w:sz="4" w:space="0" w:color="auto"/>
            </w:tcBorders>
          </w:tcPr>
          <w:p w14:paraId="0EFDB8BD" w14:textId="0F094264" w:rsidR="00477179" w:rsidRPr="002F4485" w:rsidRDefault="00477179" w:rsidP="007349AC">
            <w:pPr>
              <w:spacing w:after="0" w:line="240" w:lineRule="auto"/>
              <w:jc w:val="center"/>
              <w:rPr>
                <w:rFonts w:ascii="Times New Roman" w:hAnsi="Times New Roman"/>
                <w:bCs/>
                <w:sz w:val="28"/>
                <w:szCs w:val="28"/>
              </w:rPr>
            </w:pPr>
            <w:r w:rsidRPr="002F4485">
              <w:rPr>
                <w:rFonts w:ascii="Times New Roman" w:hAnsi="Times New Roman"/>
                <w:bCs/>
                <w:sz w:val="28"/>
                <w:szCs w:val="28"/>
              </w:rPr>
              <w:t>20</w:t>
            </w:r>
            <w:r w:rsidR="002F4485" w:rsidRPr="002F4485">
              <w:rPr>
                <w:rFonts w:ascii="Times New Roman" w:hAnsi="Times New Roman"/>
                <w:bCs/>
                <w:sz w:val="28"/>
                <w:szCs w:val="28"/>
              </w:rPr>
              <w:t>2</w:t>
            </w:r>
            <w:r w:rsidR="007349AC">
              <w:rPr>
                <w:rFonts w:ascii="Times New Roman" w:hAnsi="Times New Roman"/>
                <w:bCs/>
                <w:sz w:val="28"/>
                <w:szCs w:val="28"/>
              </w:rPr>
              <w:t>1</w:t>
            </w:r>
            <w:r w:rsidRPr="002F4485">
              <w:rPr>
                <w:rFonts w:ascii="Times New Roman" w:hAnsi="Times New Roman"/>
                <w:bCs/>
                <w:sz w:val="28"/>
                <w:szCs w:val="28"/>
              </w:rPr>
              <w:t xml:space="preserve"> г.</w:t>
            </w:r>
          </w:p>
        </w:tc>
        <w:tc>
          <w:tcPr>
            <w:tcW w:w="1984" w:type="dxa"/>
            <w:tcBorders>
              <w:left w:val="single" w:sz="4" w:space="0" w:color="auto"/>
            </w:tcBorders>
          </w:tcPr>
          <w:p w14:paraId="36A4D119" w14:textId="20E728F5" w:rsidR="00477179" w:rsidRPr="002F4485" w:rsidRDefault="00477179" w:rsidP="007349AC">
            <w:pPr>
              <w:spacing w:after="0" w:line="240" w:lineRule="auto"/>
              <w:jc w:val="center"/>
              <w:rPr>
                <w:rFonts w:ascii="Times New Roman" w:hAnsi="Times New Roman"/>
                <w:bCs/>
                <w:sz w:val="28"/>
                <w:szCs w:val="28"/>
              </w:rPr>
            </w:pPr>
            <w:r w:rsidRPr="002F4485">
              <w:rPr>
                <w:rFonts w:ascii="Times New Roman" w:hAnsi="Times New Roman"/>
                <w:bCs/>
                <w:sz w:val="28"/>
                <w:szCs w:val="28"/>
              </w:rPr>
              <w:t>20</w:t>
            </w:r>
            <w:r w:rsidR="007349AC">
              <w:rPr>
                <w:rFonts w:ascii="Times New Roman" w:hAnsi="Times New Roman"/>
                <w:bCs/>
                <w:sz w:val="28"/>
                <w:szCs w:val="28"/>
              </w:rPr>
              <w:t>20</w:t>
            </w:r>
            <w:r w:rsidRPr="002F4485">
              <w:rPr>
                <w:rFonts w:ascii="Times New Roman" w:hAnsi="Times New Roman"/>
                <w:bCs/>
                <w:sz w:val="28"/>
                <w:szCs w:val="28"/>
              </w:rPr>
              <w:t xml:space="preserve"> г.</w:t>
            </w:r>
          </w:p>
        </w:tc>
      </w:tr>
      <w:tr w:rsidR="007349AC" w:rsidRPr="008B000A" w14:paraId="0C1048E3" w14:textId="77777777" w:rsidTr="00D84D06">
        <w:tc>
          <w:tcPr>
            <w:tcW w:w="2835" w:type="dxa"/>
            <w:tcBorders>
              <w:right w:val="single" w:sz="4" w:space="0" w:color="auto"/>
            </w:tcBorders>
          </w:tcPr>
          <w:p w14:paraId="6C87D460" w14:textId="77777777" w:rsidR="007349AC" w:rsidRPr="002F4485" w:rsidRDefault="007349AC" w:rsidP="001E27F8">
            <w:pPr>
              <w:spacing w:after="0" w:line="240" w:lineRule="auto"/>
              <w:rPr>
                <w:rFonts w:ascii="Times New Roman" w:hAnsi="Times New Roman"/>
                <w:sz w:val="28"/>
                <w:szCs w:val="28"/>
              </w:rPr>
            </w:pPr>
            <w:r w:rsidRPr="002F4485">
              <w:rPr>
                <w:rFonts w:ascii="Times New Roman" w:hAnsi="Times New Roman"/>
                <w:sz w:val="28"/>
                <w:szCs w:val="28"/>
              </w:rPr>
              <w:t>средно на 1 след.,бр.</w:t>
            </w:r>
          </w:p>
        </w:tc>
        <w:tc>
          <w:tcPr>
            <w:tcW w:w="2256" w:type="dxa"/>
            <w:tcBorders>
              <w:left w:val="single" w:sz="4" w:space="0" w:color="auto"/>
              <w:right w:val="single" w:sz="4" w:space="0" w:color="auto"/>
            </w:tcBorders>
            <w:shd w:val="clear" w:color="auto" w:fill="C2D69B" w:themeFill="accent3" w:themeFillTint="99"/>
          </w:tcPr>
          <w:p w14:paraId="31EB6714" w14:textId="726EA4C1" w:rsidR="007349AC" w:rsidRPr="002F4485" w:rsidRDefault="007349AC" w:rsidP="007349AC">
            <w:pPr>
              <w:spacing w:after="0" w:line="240" w:lineRule="auto"/>
              <w:jc w:val="center"/>
              <w:rPr>
                <w:rFonts w:ascii="Times New Roman" w:hAnsi="Times New Roman"/>
                <w:b/>
                <w:sz w:val="28"/>
                <w:szCs w:val="28"/>
              </w:rPr>
            </w:pPr>
            <w:r>
              <w:rPr>
                <w:rFonts w:ascii="Times New Roman" w:hAnsi="Times New Roman"/>
                <w:b/>
                <w:sz w:val="28"/>
                <w:szCs w:val="28"/>
              </w:rPr>
              <w:t>28,6</w:t>
            </w:r>
          </w:p>
        </w:tc>
        <w:tc>
          <w:tcPr>
            <w:tcW w:w="2126" w:type="dxa"/>
            <w:tcBorders>
              <w:left w:val="single" w:sz="4" w:space="0" w:color="auto"/>
            </w:tcBorders>
          </w:tcPr>
          <w:p w14:paraId="2EDE3C04" w14:textId="2D908B85" w:rsidR="007349AC" w:rsidRPr="007349AC" w:rsidRDefault="007349AC" w:rsidP="001E27F8">
            <w:pPr>
              <w:spacing w:after="0" w:line="240" w:lineRule="auto"/>
              <w:jc w:val="center"/>
              <w:rPr>
                <w:rFonts w:ascii="Times New Roman" w:hAnsi="Times New Roman"/>
                <w:sz w:val="28"/>
                <w:szCs w:val="28"/>
              </w:rPr>
            </w:pPr>
            <w:r w:rsidRPr="007349AC">
              <w:rPr>
                <w:rFonts w:ascii="Times New Roman" w:hAnsi="Times New Roman"/>
                <w:sz w:val="28"/>
                <w:szCs w:val="28"/>
              </w:rPr>
              <w:t>38,2</w:t>
            </w:r>
          </w:p>
        </w:tc>
        <w:tc>
          <w:tcPr>
            <w:tcW w:w="1984" w:type="dxa"/>
            <w:tcBorders>
              <w:left w:val="single" w:sz="4" w:space="0" w:color="auto"/>
            </w:tcBorders>
          </w:tcPr>
          <w:p w14:paraId="1EB11F73" w14:textId="0426CDF6" w:rsidR="007349AC" w:rsidRPr="002F4485" w:rsidRDefault="007349AC" w:rsidP="001E27F8">
            <w:pPr>
              <w:spacing w:after="0" w:line="240" w:lineRule="auto"/>
              <w:jc w:val="center"/>
              <w:rPr>
                <w:rFonts w:ascii="Times New Roman" w:hAnsi="Times New Roman"/>
                <w:sz w:val="28"/>
                <w:szCs w:val="28"/>
              </w:rPr>
            </w:pPr>
            <w:r w:rsidRPr="002F4485">
              <w:rPr>
                <w:rFonts w:ascii="Times New Roman" w:hAnsi="Times New Roman"/>
                <w:sz w:val="28"/>
                <w:szCs w:val="28"/>
              </w:rPr>
              <w:t>36,5</w:t>
            </w:r>
          </w:p>
        </w:tc>
      </w:tr>
    </w:tbl>
    <w:p w14:paraId="67C8D23A" w14:textId="77777777" w:rsidR="00897C29" w:rsidRPr="008B000A" w:rsidRDefault="00897C29" w:rsidP="001E27F8">
      <w:pPr>
        <w:ind w:firstLine="709"/>
        <w:rPr>
          <w:highlight w:val="green"/>
        </w:rPr>
      </w:pPr>
    </w:p>
    <w:p w14:paraId="1E35E9E4" w14:textId="77777777" w:rsidR="00897C29" w:rsidRPr="002F4485" w:rsidRDefault="00897C29" w:rsidP="00AE7BA2">
      <w:pPr>
        <w:ind w:firstLine="708"/>
        <w:rPr>
          <w:rFonts w:ascii="Times New Roman" w:hAnsi="Times New Roman" w:cs="Times New Roman"/>
          <w:b/>
          <w:i/>
          <w:sz w:val="28"/>
          <w:szCs w:val="28"/>
        </w:rPr>
      </w:pPr>
      <w:r w:rsidRPr="002F4485">
        <w:rPr>
          <w:rFonts w:ascii="Times New Roman" w:hAnsi="Times New Roman" w:cs="Times New Roman"/>
          <w:b/>
          <w:i/>
          <w:sz w:val="28"/>
          <w:szCs w:val="28"/>
        </w:rPr>
        <w:t>5.3. Актуализирана средна натовареност.</w:t>
      </w:r>
    </w:p>
    <w:p w14:paraId="155A9C1C" w14:textId="77777777" w:rsidR="00897C29" w:rsidRPr="002F4485" w:rsidRDefault="00897C29" w:rsidP="00754BEC">
      <w:pPr>
        <w:spacing w:after="0" w:line="240" w:lineRule="auto"/>
        <w:ind w:firstLine="709"/>
        <w:jc w:val="both"/>
        <w:rPr>
          <w:rFonts w:ascii="Times New Roman" w:hAnsi="Times New Roman"/>
          <w:sz w:val="28"/>
          <w:szCs w:val="28"/>
        </w:rPr>
      </w:pPr>
      <w:r w:rsidRPr="002F4485">
        <w:rPr>
          <w:rFonts w:ascii="Times New Roman" w:hAnsi="Times New Roman"/>
          <w:sz w:val="28"/>
          <w:szCs w:val="28"/>
        </w:rPr>
        <w:lastRenderedPageBreak/>
        <w:t>Тази натовареност е изчислена и отразена в таблица 5.2. и представлява средна натовареност на един следовател спрямо общия сбор от показателите на разследваните досъдебни производства и възложените следствени поръчки и молби за правна помощ. Данните изглеждат по следния начин:</w:t>
      </w:r>
    </w:p>
    <w:p w14:paraId="50238E33" w14:textId="77777777" w:rsidR="009200FF" w:rsidRPr="008B000A" w:rsidRDefault="009200FF" w:rsidP="00754BEC">
      <w:pPr>
        <w:spacing w:after="0" w:line="240" w:lineRule="auto"/>
        <w:ind w:firstLine="709"/>
        <w:jc w:val="both"/>
        <w:rPr>
          <w:rFonts w:ascii="Times New Roman" w:hAnsi="Times New Roman"/>
          <w:i/>
          <w:sz w:val="28"/>
          <w:szCs w:val="28"/>
          <w:highlight w:val="green"/>
        </w:rPr>
      </w:pPr>
    </w:p>
    <w:p w14:paraId="7F1324EC" w14:textId="77777777" w:rsidR="00897C29" w:rsidRPr="00F37A93" w:rsidRDefault="00897C29" w:rsidP="00754BEC">
      <w:pPr>
        <w:spacing w:after="0" w:line="240" w:lineRule="auto"/>
        <w:ind w:firstLine="709"/>
        <w:jc w:val="both"/>
        <w:rPr>
          <w:rFonts w:ascii="Times New Roman" w:hAnsi="Times New Roman"/>
          <w:i/>
          <w:sz w:val="28"/>
          <w:szCs w:val="28"/>
        </w:rPr>
      </w:pPr>
      <w:r w:rsidRPr="00F37A93">
        <w:rPr>
          <w:rFonts w:ascii="Times New Roman" w:hAnsi="Times New Roman"/>
          <w:i/>
          <w:sz w:val="28"/>
          <w:szCs w:val="28"/>
        </w:rPr>
        <w:t xml:space="preserve">Актуализирана средна натовареност </w:t>
      </w:r>
    </w:p>
    <w:tbl>
      <w:tblPr>
        <w:tblW w:w="93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3"/>
        <w:gridCol w:w="3543"/>
        <w:gridCol w:w="3118"/>
      </w:tblGrid>
      <w:tr w:rsidR="00477179" w:rsidRPr="00F37A93" w14:paraId="3DFA1807" w14:textId="77777777" w:rsidTr="005830D9">
        <w:tc>
          <w:tcPr>
            <w:tcW w:w="2693" w:type="dxa"/>
            <w:tcBorders>
              <w:left w:val="single" w:sz="4" w:space="0" w:color="auto"/>
            </w:tcBorders>
            <w:shd w:val="clear" w:color="auto" w:fill="C2D69B" w:themeFill="accent3" w:themeFillTint="99"/>
          </w:tcPr>
          <w:p w14:paraId="1C7C6F3E" w14:textId="613E430B" w:rsidR="00477179" w:rsidRPr="00F37A93" w:rsidRDefault="00477179" w:rsidP="00DA5FA7">
            <w:pPr>
              <w:spacing w:after="0" w:line="240" w:lineRule="auto"/>
              <w:jc w:val="center"/>
              <w:rPr>
                <w:rFonts w:ascii="Times New Roman" w:hAnsi="Times New Roman"/>
                <w:b/>
                <w:bCs/>
                <w:sz w:val="28"/>
                <w:szCs w:val="28"/>
              </w:rPr>
            </w:pPr>
            <w:r w:rsidRPr="00F37A93">
              <w:rPr>
                <w:rFonts w:ascii="Times New Roman" w:hAnsi="Times New Roman"/>
                <w:b/>
                <w:bCs/>
                <w:sz w:val="28"/>
                <w:szCs w:val="28"/>
              </w:rPr>
              <w:t>20</w:t>
            </w:r>
            <w:r w:rsidR="00754BEC" w:rsidRPr="00F37A93">
              <w:rPr>
                <w:rFonts w:ascii="Times New Roman" w:hAnsi="Times New Roman"/>
                <w:b/>
                <w:bCs/>
                <w:sz w:val="28"/>
                <w:szCs w:val="28"/>
              </w:rPr>
              <w:t>2</w:t>
            </w:r>
            <w:r w:rsidR="00DA5FA7">
              <w:rPr>
                <w:rFonts w:ascii="Times New Roman" w:hAnsi="Times New Roman"/>
                <w:b/>
                <w:bCs/>
                <w:sz w:val="28"/>
                <w:szCs w:val="28"/>
              </w:rPr>
              <w:t>2</w:t>
            </w:r>
            <w:r w:rsidRPr="00F37A93">
              <w:rPr>
                <w:rFonts w:ascii="Times New Roman" w:hAnsi="Times New Roman"/>
                <w:b/>
                <w:bCs/>
                <w:sz w:val="28"/>
                <w:szCs w:val="28"/>
              </w:rPr>
              <w:t xml:space="preserve"> г.</w:t>
            </w:r>
          </w:p>
        </w:tc>
        <w:tc>
          <w:tcPr>
            <w:tcW w:w="3543" w:type="dxa"/>
            <w:tcBorders>
              <w:left w:val="single" w:sz="4" w:space="0" w:color="auto"/>
              <w:right w:val="single" w:sz="4" w:space="0" w:color="auto"/>
            </w:tcBorders>
          </w:tcPr>
          <w:p w14:paraId="6CC45A96" w14:textId="64542509" w:rsidR="00477179" w:rsidRPr="00F37A93" w:rsidRDefault="00477179" w:rsidP="00DA5FA7">
            <w:pPr>
              <w:spacing w:after="0" w:line="240" w:lineRule="auto"/>
              <w:jc w:val="center"/>
              <w:rPr>
                <w:rFonts w:ascii="Times New Roman" w:hAnsi="Times New Roman"/>
                <w:bCs/>
                <w:sz w:val="28"/>
                <w:szCs w:val="28"/>
              </w:rPr>
            </w:pPr>
            <w:r w:rsidRPr="00F37A93">
              <w:rPr>
                <w:rFonts w:ascii="Times New Roman" w:hAnsi="Times New Roman"/>
                <w:bCs/>
                <w:sz w:val="28"/>
                <w:szCs w:val="28"/>
              </w:rPr>
              <w:t>20</w:t>
            </w:r>
            <w:r w:rsidR="002F4485" w:rsidRPr="00F37A93">
              <w:rPr>
                <w:rFonts w:ascii="Times New Roman" w:hAnsi="Times New Roman"/>
                <w:bCs/>
                <w:sz w:val="28"/>
                <w:szCs w:val="28"/>
              </w:rPr>
              <w:t>2</w:t>
            </w:r>
            <w:r w:rsidR="00DA5FA7">
              <w:rPr>
                <w:rFonts w:ascii="Times New Roman" w:hAnsi="Times New Roman"/>
                <w:bCs/>
                <w:sz w:val="28"/>
                <w:szCs w:val="28"/>
              </w:rPr>
              <w:t>1</w:t>
            </w:r>
            <w:r w:rsidRPr="00F37A93">
              <w:rPr>
                <w:rFonts w:ascii="Times New Roman" w:hAnsi="Times New Roman"/>
                <w:bCs/>
                <w:sz w:val="28"/>
                <w:szCs w:val="28"/>
              </w:rPr>
              <w:t xml:space="preserve"> г.</w:t>
            </w:r>
          </w:p>
        </w:tc>
        <w:tc>
          <w:tcPr>
            <w:tcW w:w="3118" w:type="dxa"/>
            <w:tcBorders>
              <w:left w:val="single" w:sz="4" w:space="0" w:color="auto"/>
            </w:tcBorders>
          </w:tcPr>
          <w:p w14:paraId="43D42E1E" w14:textId="129A3F14" w:rsidR="00477179" w:rsidRPr="00F37A93" w:rsidRDefault="00477179" w:rsidP="00DA5FA7">
            <w:pPr>
              <w:spacing w:after="0" w:line="240" w:lineRule="auto"/>
              <w:jc w:val="center"/>
              <w:rPr>
                <w:rFonts w:ascii="Times New Roman" w:hAnsi="Times New Roman"/>
                <w:bCs/>
                <w:sz w:val="28"/>
                <w:szCs w:val="28"/>
              </w:rPr>
            </w:pPr>
            <w:r w:rsidRPr="00F37A93">
              <w:rPr>
                <w:rFonts w:ascii="Times New Roman" w:hAnsi="Times New Roman"/>
                <w:bCs/>
                <w:sz w:val="28"/>
                <w:szCs w:val="28"/>
              </w:rPr>
              <w:t>20</w:t>
            </w:r>
            <w:r w:rsidR="00DA5FA7">
              <w:rPr>
                <w:rFonts w:ascii="Times New Roman" w:hAnsi="Times New Roman"/>
                <w:bCs/>
                <w:sz w:val="28"/>
                <w:szCs w:val="28"/>
              </w:rPr>
              <w:t>20</w:t>
            </w:r>
            <w:r w:rsidRPr="00F37A93">
              <w:rPr>
                <w:rFonts w:ascii="Times New Roman" w:hAnsi="Times New Roman"/>
                <w:bCs/>
                <w:sz w:val="28"/>
                <w:szCs w:val="28"/>
              </w:rPr>
              <w:t xml:space="preserve"> г.</w:t>
            </w:r>
          </w:p>
        </w:tc>
      </w:tr>
      <w:tr w:rsidR="007349AC" w:rsidRPr="008B000A" w14:paraId="7970B3C0" w14:textId="77777777" w:rsidTr="005830D9">
        <w:trPr>
          <w:trHeight w:val="70"/>
        </w:trPr>
        <w:tc>
          <w:tcPr>
            <w:tcW w:w="2693" w:type="dxa"/>
            <w:tcBorders>
              <w:left w:val="single" w:sz="4" w:space="0" w:color="auto"/>
            </w:tcBorders>
            <w:shd w:val="clear" w:color="auto" w:fill="C2D69B" w:themeFill="accent3" w:themeFillTint="99"/>
          </w:tcPr>
          <w:p w14:paraId="3E78AA4C" w14:textId="7688EB6D" w:rsidR="007349AC" w:rsidRPr="00F37A93" w:rsidRDefault="007349AC" w:rsidP="00F37A93">
            <w:pPr>
              <w:spacing w:after="0" w:line="240" w:lineRule="auto"/>
              <w:jc w:val="center"/>
              <w:rPr>
                <w:rFonts w:ascii="Times New Roman" w:hAnsi="Times New Roman"/>
                <w:b/>
                <w:bCs/>
                <w:sz w:val="28"/>
                <w:szCs w:val="28"/>
              </w:rPr>
            </w:pPr>
            <w:r>
              <w:rPr>
                <w:rFonts w:ascii="Times New Roman" w:hAnsi="Times New Roman"/>
                <w:b/>
                <w:bCs/>
                <w:sz w:val="28"/>
                <w:szCs w:val="28"/>
              </w:rPr>
              <w:t>47,0</w:t>
            </w:r>
            <w:r w:rsidRPr="00F37A93">
              <w:rPr>
                <w:rFonts w:ascii="Times New Roman" w:hAnsi="Times New Roman"/>
                <w:b/>
                <w:bCs/>
                <w:sz w:val="28"/>
                <w:szCs w:val="28"/>
              </w:rPr>
              <w:t>61,6</w:t>
            </w:r>
          </w:p>
        </w:tc>
        <w:tc>
          <w:tcPr>
            <w:tcW w:w="3543" w:type="dxa"/>
            <w:tcBorders>
              <w:left w:val="single" w:sz="4" w:space="0" w:color="auto"/>
              <w:right w:val="single" w:sz="4" w:space="0" w:color="auto"/>
            </w:tcBorders>
          </w:tcPr>
          <w:p w14:paraId="3629F2B6" w14:textId="0B72681A" w:rsidR="007349AC" w:rsidRPr="007349AC" w:rsidRDefault="007349AC" w:rsidP="00754BEC">
            <w:pPr>
              <w:spacing w:after="0" w:line="240" w:lineRule="auto"/>
              <w:jc w:val="center"/>
              <w:rPr>
                <w:rFonts w:ascii="Times New Roman" w:hAnsi="Times New Roman"/>
                <w:bCs/>
                <w:sz w:val="28"/>
                <w:szCs w:val="28"/>
              </w:rPr>
            </w:pPr>
            <w:r w:rsidRPr="007349AC">
              <w:rPr>
                <w:rFonts w:ascii="Times New Roman" w:hAnsi="Times New Roman"/>
                <w:bCs/>
                <w:sz w:val="28"/>
                <w:szCs w:val="28"/>
              </w:rPr>
              <w:t>61,6</w:t>
            </w:r>
          </w:p>
        </w:tc>
        <w:tc>
          <w:tcPr>
            <w:tcW w:w="3118" w:type="dxa"/>
            <w:tcBorders>
              <w:left w:val="single" w:sz="4" w:space="0" w:color="auto"/>
            </w:tcBorders>
          </w:tcPr>
          <w:p w14:paraId="02510670" w14:textId="74B8F481" w:rsidR="007349AC" w:rsidRPr="00F37A93" w:rsidRDefault="007349AC" w:rsidP="00754BEC">
            <w:pPr>
              <w:spacing w:after="0" w:line="240" w:lineRule="auto"/>
              <w:jc w:val="center"/>
              <w:rPr>
                <w:rFonts w:ascii="Times New Roman" w:hAnsi="Times New Roman"/>
                <w:bCs/>
                <w:sz w:val="28"/>
                <w:szCs w:val="28"/>
              </w:rPr>
            </w:pPr>
            <w:r w:rsidRPr="00F37A93">
              <w:rPr>
                <w:rFonts w:ascii="Times New Roman" w:hAnsi="Times New Roman"/>
                <w:bCs/>
                <w:sz w:val="28"/>
                <w:szCs w:val="28"/>
              </w:rPr>
              <w:t>61,0</w:t>
            </w:r>
          </w:p>
        </w:tc>
      </w:tr>
    </w:tbl>
    <w:p w14:paraId="73ACCE60" w14:textId="77777777" w:rsidR="00897C29" w:rsidRPr="00C55733" w:rsidRDefault="00897C29" w:rsidP="00B94A4E">
      <w:pPr>
        <w:spacing w:after="0" w:line="240" w:lineRule="auto"/>
        <w:ind w:firstLine="709"/>
        <w:jc w:val="both"/>
        <w:rPr>
          <w:rFonts w:ascii="Times New Roman" w:hAnsi="Times New Roman"/>
          <w:sz w:val="28"/>
          <w:szCs w:val="28"/>
        </w:rPr>
      </w:pPr>
    </w:p>
    <w:p w14:paraId="477632EF" w14:textId="7C4CF651" w:rsidR="00897C29" w:rsidRPr="00C55733" w:rsidRDefault="00897C29" w:rsidP="00B94A4E">
      <w:pPr>
        <w:spacing w:after="0" w:line="240" w:lineRule="auto"/>
        <w:ind w:firstLine="709"/>
        <w:jc w:val="both"/>
        <w:rPr>
          <w:rFonts w:ascii="Times New Roman" w:hAnsi="Times New Roman"/>
          <w:sz w:val="28"/>
          <w:szCs w:val="28"/>
        </w:rPr>
      </w:pPr>
      <w:r w:rsidRPr="00C55733">
        <w:rPr>
          <w:rFonts w:ascii="Times New Roman" w:hAnsi="Times New Roman"/>
          <w:sz w:val="28"/>
          <w:szCs w:val="28"/>
        </w:rPr>
        <w:t xml:space="preserve">При анализирането на тези цифрови стойности се установява, че актуализираната средна натовареност на един следовател през </w:t>
      </w:r>
      <w:r w:rsidR="00AD6B88" w:rsidRPr="00C55733">
        <w:rPr>
          <w:rFonts w:ascii="Times New Roman" w:hAnsi="Times New Roman"/>
          <w:sz w:val="28"/>
          <w:szCs w:val="28"/>
        </w:rPr>
        <w:t>20</w:t>
      </w:r>
      <w:r w:rsidR="00B94A4E" w:rsidRPr="00C55733">
        <w:rPr>
          <w:rFonts w:ascii="Times New Roman" w:hAnsi="Times New Roman"/>
          <w:sz w:val="28"/>
          <w:szCs w:val="28"/>
        </w:rPr>
        <w:t>2</w:t>
      </w:r>
      <w:r w:rsidR="007349AC">
        <w:rPr>
          <w:rFonts w:ascii="Times New Roman" w:hAnsi="Times New Roman"/>
          <w:sz w:val="28"/>
          <w:szCs w:val="28"/>
        </w:rPr>
        <w:t>2</w:t>
      </w:r>
      <w:r w:rsidRPr="00C55733">
        <w:rPr>
          <w:rFonts w:ascii="Times New Roman" w:hAnsi="Times New Roman"/>
          <w:sz w:val="28"/>
          <w:szCs w:val="28"/>
        </w:rPr>
        <w:t xml:space="preserve"> г. </w:t>
      </w:r>
      <w:r w:rsidR="00C55733" w:rsidRPr="00C55733">
        <w:rPr>
          <w:rFonts w:ascii="Times New Roman" w:hAnsi="Times New Roman"/>
          <w:sz w:val="28"/>
          <w:szCs w:val="28"/>
        </w:rPr>
        <w:t xml:space="preserve">е </w:t>
      </w:r>
      <w:r w:rsidR="007349AC">
        <w:rPr>
          <w:rFonts w:ascii="Times New Roman" w:hAnsi="Times New Roman"/>
          <w:sz w:val="28"/>
          <w:szCs w:val="28"/>
        </w:rPr>
        <w:t>намаляла</w:t>
      </w:r>
      <w:r w:rsidR="00C55733" w:rsidRPr="00C55733">
        <w:rPr>
          <w:rFonts w:ascii="Times New Roman" w:hAnsi="Times New Roman"/>
          <w:sz w:val="28"/>
          <w:szCs w:val="28"/>
        </w:rPr>
        <w:t xml:space="preserve"> спрям</w:t>
      </w:r>
      <w:r w:rsidR="007349AC">
        <w:rPr>
          <w:rFonts w:ascii="Times New Roman" w:hAnsi="Times New Roman"/>
          <w:sz w:val="28"/>
          <w:szCs w:val="28"/>
        </w:rPr>
        <w:t>о те</w:t>
      </w:r>
      <w:r w:rsidR="00C55733" w:rsidRPr="00C55733">
        <w:rPr>
          <w:rFonts w:ascii="Times New Roman" w:hAnsi="Times New Roman"/>
          <w:sz w:val="28"/>
          <w:szCs w:val="28"/>
        </w:rPr>
        <w:t>зи през 202</w:t>
      </w:r>
      <w:r w:rsidR="007349AC">
        <w:rPr>
          <w:rFonts w:ascii="Times New Roman" w:hAnsi="Times New Roman"/>
          <w:sz w:val="28"/>
          <w:szCs w:val="28"/>
        </w:rPr>
        <w:t>1</w:t>
      </w:r>
      <w:r w:rsidR="00754BEC" w:rsidRPr="00C55733">
        <w:rPr>
          <w:rFonts w:ascii="Times New Roman" w:hAnsi="Times New Roman"/>
          <w:sz w:val="28"/>
          <w:szCs w:val="28"/>
        </w:rPr>
        <w:t xml:space="preserve"> г. с </w:t>
      </w:r>
      <w:r w:rsidR="00C55733" w:rsidRPr="00C55733">
        <w:rPr>
          <w:rFonts w:ascii="Times New Roman" w:hAnsi="Times New Roman"/>
          <w:sz w:val="28"/>
          <w:szCs w:val="28"/>
        </w:rPr>
        <w:t>около</w:t>
      </w:r>
      <w:r w:rsidR="00754BEC" w:rsidRPr="00C55733">
        <w:rPr>
          <w:rFonts w:ascii="Times New Roman" w:hAnsi="Times New Roman"/>
          <w:sz w:val="28"/>
          <w:szCs w:val="28"/>
        </w:rPr>
        <w:t xml:space="preserve"> </w:t>
      </w:r>
      <w:r w:rsidR="00782592">
        <w:rPr>
          <w:rFonts w:ascii="Times New Roman" w:hAnsi="Times New Roman"/>
          <w:sz w:val="28"/>
          <w:szCs w:val="28"/>
        </w:rPr>
        <w:t>14,6</w:t>
      </w:r>
      <w:r w:rsidR="00AD6B88" w:rsidRPr="00C55733">
        <w:rPr>
          <w:rFonts w:ascii="Times New Roman" w:hAnsi="Times New Roman"/>
          <w:sz w:val="28"/>
          <w:szCs w:val="28"/>
        </w:rPr>
        <w:t xml:space="preserve">% и </w:t>
      </w:r>
      <w:r w:rsidR="00C55733" w:rsidRPr="00C55733">
        <w:rPr>
          <w:rFonts w:ascii="Times New Roman" w:hAnsi="Times New Roman"/>
          <w:sz w:val="28"/>
          <w:szCs w:val="28"/>
        </w:rPr>
        <w:t>с</w:t>
      </w:r>
      <w:r w:rsidR="00754BEC" w:rsidRPr="00C55733">
        <w:rPr>
          <w:rFonts w:ascii="Times New Roman" w:hAnsi="Times New Roman"/>
          <w:sz w:val="28"/>
          <w:szCs w:val="28"/>
        </w:rPr>
        <w:t xml:space="preserve"> </w:t>
      </w:r>
      <w:r w:rsidR="00C55733" w:rsidRPr="00C55733">
        <w:rPr>
          <w:rFonts w:ascii="Times New Roman" w:hAnsi="Times New Roman"/>
          <w:sz w:val="28"/>
          <w:szCs w:val="28"/>
        </w:rPr>
        <w:t xml:space="preserve">около </w:t>
      </w:r>
      <w:r w:rsidR="00782592">
        <w:rPr>
          <w:rFonts w:ascii="Times New Roman" w:hAnsi="Times New Roman"/>
          <w:sz w:val="28"/>
          <w:szCs w:val="28"/>
        </w:rPr>
        <w:t>14,0</w:t>
      </w:r>
      <w:r w:rsidR="00C55733" w:rsidRPr="00C55733">
        <w:rPr>
          <w:rFonts w:ascii="Times New Roman" w:hAnsi="Times New Roman"/>
          <w:sz w:val="28"/>
          <w:szCs w:val="28"/>
        </w:rPr>
        <w:t xml:space="preserve"> </w:t>
      </w:r>
      <w:r w:rsidR="00754BEC" w:rsidRPr="00C55733">
        <w:rPr>
          <w:rFonts w:ascii="Times New Roman" w:hAnsi="Times New Roman"/>
          <w:sz w:val="28"/>
          <w:szCs w:val="28"/>
        </w:rPr>
        <w:t>% спрямо тази през 20</w:t>
      </w:r>
      <w:r w:rsidR="00782592">
        <w:rPr>
          <w:rFonts w:ascii="Times New Roman" w:hAnsi="Times New Roman"/>
          <w:sz w:val="28"/>
          <w:szCs w:val="28"/>
        </w:rPr>
        <w:t>20</w:t>
      </w:r>
      <w:r w:rsidR="00754BEC" w:rsidRPr="00C55733">
        <w:rPr>
          <w:rFonts w:ascii="Times New Roman" w:hAnsi="Times New Roman"/>
          <w:sz w:val="28"/>
          <w:szCs w:val="28"/>
        </w:rPr>
        <w:t xml:space="preserve"> г</w:t>
      </w:r>
      <w:r w:rsidRPr="00C55733">
        <w:rPr>
          <w:rFonts w:ascii="Times New Roman" w:hAnsi="Times New Roman"/>
          <w:sz w:val="28"/>
          <w:szCs w:val="28"/>
        </w:rPr>
        <w:t>.</w:t>
      </w:r>
      <w:r w:rsidR="00754BEC" w:rsidRPr="00C55733">
        <w:rPr>
          <w:rFonts w:ascii="Times New Roman" w:hAnsi="Times New Roman"/>
          <w:sz w:val="28"/>
          <w:szCs w:val="28"/>
        </w:rPr>
        <w:t xml:space="preserve"> </w:t>
      </w:r>
      <w:r w:rsidRPr="00C55733">
        <w:rPr>
          <w:rFonts w:ascii="Times New Roman" w:hAnsi="Times New Roman"/>
          <w:sz w:val="28"/>
          <w:szCs w:val="28"/>
        </w:rPr>
        <w:t xml:space="preserve">Причината за </w:t>
      </w:r>
      <w:r w:rsidR="00AD6B88" w:rsidRPr="00C55733">
        <w:rPr>
          <w:rFonts w:ascii="Times New Roman" w:hAnsi="Times New Roman"/>
          <w:sz w:val="28"/>
          <w:szCs w:val="28"/>
        </w:rPr>
        <w:t>намалението</w:t>
      </w:r>
      <w:r w:rsidRPr="00C55733">
        <w:rPr>
          <w:rFonts w:ascii="Times New Roman" w:hAnsi="Times New Roman"/>
          <w:sz w:val="28"/>
          <w:szCs w:val="28"/>
        </w:rPr>
        <w:t xml:space="preserve"> спрямо </w:t>
      </w:r>
      <w:r w:rsidR="00782592">
        <w:rPr>
          <w:rFonts w:ascii="Times New Roman" w:hAnsi="Times New Roman"/>
          <w:sz w:val="28"/>
          <w:szCs w:val="28"/>
        </w:rPr>
        <w:t>предходните години</w:t>
      </w:r>
      <w:r w:rsidRPr="00C55733">
        <w:rPr>
          <w:rFonts w:ascii="Times New Roman" w:hAnsi="Times New Roman"/>
          <w:sz w:val="28"/>
          <w:szCs w:val="28"/>
        </w:rPr>
        <w:t xml:space="preserve"> се корени в по-</w:t>
      </w:r>
      <w:r w:rsidR="00AD6B88" w:rsidRPr="00C55733">
        <w:rPr>
          <w:rFonts w:ascii="Times New Roman" w:hAnsi="Times New Roman"/>
          <w:sz w:val="28"/>
          <w:szCs w:val="28"/>
        </w:rPr>
        <w:t>малкия</w:t>
      </w:r>
      <w:r w:rsidRPr="00C55733">
        <w:rPr>
          <w:rFonts w:ascii="Times New Roman" w:hAnsi="Times New Roman"/>
          <w:sz w:val="28"/>
          <w:szCs w:val="28"/>
        </w:rPr>
        <w:t xml:space="preserve"> брой разследвани ДП</w:t>
      </w:r>
      <w:r w:rsidR="00AD6B88" w:rsidRPr="00C55733">
        <w:rPr>
          <w:rFonts w:ascii="Times New Roman" w:hAnsi="Times New Roman"/>
          <w:sz w:val="28"/>
          <w:szCs w:val="28"/>
        </w:rPr>
        <w:t xml:space="preserve"> и увеличаването на заетите щатове за следователи</w:t>
      </w:r>
      <w:r w:rsidR="00B94A4E" w:rsidRPr="00C55733">
        <w:rPr>
          <w:rFonts w:ascii="Times New Roman" w:hAnsi="Times New Roman"/>
          <w:sz w:val="28"/>
          <w:szCs w:val="28"/>
        </w:rPr>
        <w:t>.</w:t>
      </w:r>
    </w:p>
    <w:p w14:paraId="2593C937" w14:textId="1AA7C868" w:rsidR="00BC14F1" w:rsidRPr="00BC14F1" w:rsidRDefault="00782592" w:rsidP="00BC14F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отчетната 2022 </w:t>
      </w:r>
      <w:r w:rsidR="00BC14F1" w:rsidRPr="00BC14F1">
        <w:rPr>
          <w:rFonts w:ascii="Times New Roman" w:eastAsia="Times New Roman" w:hAnsi="Times New Roman" w:cs="Times New Roman"/>
          <w:sz w:val="28"/>
          <w:szCs w:val="28"/>
        </w:rPr>
        <w:t xml:space="preserve">г. се наблюдава </w:t>
      </w:r>
      <w:r>
        <w:rPr>
          <w:rFonts w:ascii="Times New Roman" w:eastAsia="Times New Roman" w:hAnsi="Times New Roman" w:cs="Times New Roman"/>
          <w:sz w:val="28"/>
          <w:szCs w:val="28"/>
        </w:rPr>
        <w:t xml:space="preserve">минимално увеличение </w:t>
      </w:r>
      <w:r w:rsidR="00BC14F1" w:rsidRPr="00BC14F1">
        <w:rPr>
          <w:rFonts w:ascii="Times New Roman" w:eastAsia="Times New Roman" w:hAnsi="Times New Roman" w:cs="Times New Roman"/>
          <w:sz w:val="28"/>
          <w:szCs w:val="28"/>
        </w:rPr>
        <w:t>на общо разследваните досъдебни производств</w:t>
      </w:r>
      <w:r>
        <w:rPr>
          <w:rFonts w:ascii="Times New Roman" w:eastAsia="Times New Roman" w:hAnsi="Times New Roman" w:cs="Times New Roman"/>
          <w:sz w:val="28"/>
          <w:szCs w:val="28"/>
        </w:rPr>
        <w:t xml:space="preserve">а – 148 </w:t>
      </w:r>
      <w:r w:rsidR="00BC14F1" w:rsidRPr="00BC14F1">
        <w:rPr>
          <w:rFonts w:ascii="Times New Roman" w:eastAsia="Times New Roman" w:hAnsi="Times New Roman" w:cs="Times New Roman"/>
          <w:sz w:val="28"/>
          <w:szCs w:val="28"/>
        </w:rPr>
        <w:t>бр. съпоставени,  спрямо 202</w:t>
      </w:r>
      <w:r>
        <w:rPr>
          <w:rFonts w:ascii="Times New Roman" w:eastAsia="Times New Roman" w:hAnsi="Times New Roman" w:cs="Times New Roman"/>
          <w:sz w:val="28"/>
          <w:szCs w:val="28"/>
        </w:rPr>
        <w:t xml:space="preserve">1 </w:t>
      </w:r>
      <w:r w:rsidR="00BC14F1" w:rsidRPr="00BC14F1">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w:t>
      </w:r>
      <w:r w:rsidR="00BC14F1" w:rsidRPr="00BC14F1">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xml:space="preserve">44 </w:t>
      </w:r>
      <w:r w:rsidR="00BC14F1" w:rsidRPr="00BC14F1">
        <w:rPr>
          <w:rFonts w:ascii="Times New Roman" w:eastAsia="Times New Roman" w:hAnsi="Times New Roman" w:cs="Times New Roman"/>
          <w:sz w:val="28"/>
          <w:szCs w:val="28"/>
        </w:rPr>
        <w:t>бр. и</w:t>
      </w:r>
      <w:r>
        <w:rPr>
          <w:rFonts w:ascii="Times New Roman" w:eastAsia="Times New Roman" w:hAnsi="Times New Roman" w:cs="Times New Roman"/>
          <w:sz w:val="28"/>
          <w:szCs w:val="28"/>
        </w:rPr>
        <w:t xml:space="preserve"> спад</w:t>
      </w:r>
      <w:r w:rsidR="00BC14F1" w:rsidRPr="00BC14F1">
        <w:rPr>
          <w:rFonts w:ascii="Times New Roman" w:eastAsia="Times New Roman" w:hAnsi="Times New Roman" w:cs="Times New Roman"/>
          <w:sz w:val="28"/>
          <w:szCs w:val="28"/>
        </w:rPr>
        <w:t xml:space="preserve"> спрямо </w:t>
      </w:r>
      <w:r>
        <w:rPr>
          <w:rFonts w:ascii="Times New Roman" w:eastAsia="Times New Roman" w:hAnsi="Times New Roman" w:cs="Times New Roman"/>
          <w:sz w:val="28"/>
          <w:szCs w:val="28"/>
        </w:rPr>
        <w:t>общо разследваните през 2020 г</w:t>
      </w:r>
      <w:r w:rsidR="00BC14F1" w:rsidRPr="00BC14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BC14F1" w:rsidRPr="00BC14F1">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xml:space="preserve">59 </w:t>
      </w:r>
      <w:r w:rsidR="00BC14F1" w:rsidRPr="00BC14F1">
        <w:rPr>
          <w:rFonts w:ascii="Times New Roman" w:eastAsia="Times New Roman" w:hAnsi="Times New Roman" w:cs="Times New Roman"/>
          <w:sz w:val="28"/>
          <w:szCs w:val="28"/>
        </w:rPr>
        <w:t>бр.</w:t>
      </w:r>
    </w:p>
    <w:p w14:paraId="319AF914" w14:textId="5D112D3D" w:rsidR="00BC14F1" w:rsidRPr="00BC14F1" w:rsidRDefault="00BC14F1" w:rsidP="00BC14F1">
      <w:pPr>
        <w:spacing w:after="0" w:line="240" w:lineRule="auto"/>
        <w:ind w:firstLine="720"/>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 xml:space="preserve">Видно е,  че  Окръжен следствен отдел в Окръжна прокуратура - гр. Монтана, като цяло има спад  на средната натовареност на следовател по разследваните  досъдебни производства, която е </w:t>
      </w:r>
      <w:r w:rsidR="00782592">
        <w:rPr>
          <w:rFonts w:ascii="Times New Roman" w:eastAsia="Times New Roman" w:hAnsi="Times New Roman" w:cs="Times New Roman"/>
          <w:sz w:val="28"/>
          <w:szCs w:val="28"/>
        </w:rPr>
        <w:t>18,6</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бр. на следовател за 202</w:t>
      </w:r>
      <w:r w:rsidR="00782592">
        <w:rPr>
          <w:rFonts w:ascii="Times New Roman" w:eastAsia="Times New Roman" w:hAnsi="Times New Roman" w:cs="Times New Roman"/>
          <w:sz w:val="28"/>
          <w:szCs w:val="28"/>
        </w:rPr>
        <w:t xml:space="preserve">2 </w:t>
      </w:r>
      <w:r w:rsidRPr="00BC14F1">
        <w:rPr>
          <w:rFonts w:ascii="Times New Roman" w:eastAsia="Times New Roman" w:hAnsi="Times New Roman" w:cs="Times New Roman"/>
          <w:sz w:val="28"/>
          <w:szCs w:val="28"/>
        </w:rPr>
        <w:t>г., спрямо 202</w:t>
      </w:r>
      <w:r w:rsidR="00782592">
        <w:rPr>
          <w:rFonts w:ascii="Times New Roman" w:eastAsia="Times New Roman" w:hAnsi="Times New Roman" w:cs="Times New Roman"/>
          <w:sz w:val="28"/>
          <w:szCs w:val="28"/>
        </w:rPr>
        <w:t xml:space="preserve">1 </w:t>
      </w:r>
      <w:r w:rsidRPr="00BC14F1">
        <w:rPr>
          <w:rFonts w:ascii="Times New Roman" w:eastAsia="Times New Roman" w:hAnsi="Times New Roman" w:cs="Times New Roman"/>
          <w:sz w:val="28"/>
          <w:szCs w:val="28"/>
        </w:rPr>
        <w:t>0г. - 2</w:t>
      </w:r>
      <w:r w:rsidR="00782592">
        <w:rPr>
          <w:rFonts w:ascii="Times New Roman" w:eastAsia="Times New Roman" w:hAnsi="Times New Roman" w:cs="Times New Roman"/>
          <w:sz w:val="28"/>
          <w:szCs w:val="28"/>
        </w:rPr>
        <w:t>3</w:t>
      </w:r>
      <w:r w:rsidRPr="00BC14F1">
        <w:rPr>
          <w:rFonts w:ascii="Times New Roman" w:eastAsia="Times New Roman" w:hAnsi="Times New Roman" w:cs="Times New Roman"/>
          <w:sz w:val="28"/>
          <w:szCs w:val="28"/>
        </w:rPr>
        <w:t>.4</w:t>
      </w:r>
      <w:r w:rsidR="00782592">
        <w:rPr>
          <w:rFonts w:ascii="Times New Roman" w:eastAsia="Times New Roman" w:hAnsi="Times New Roman" w:cs="Times New Roman"/>
          <w:sz w:val="28"/>
          <w:szCs w:val="28"/>
        </w:rPr>
        <w:t xml:space="preserve"> бр.на следовател и спрямо 2020 </w:t>
      </w:r>
      <w:r w:rsidRPr="00BC14F1">
        <w:rPr>
          <w:rFonts w:ascii="Times New Roman" w:eastAsia="Times New Roman" w:hAnsi="Times New Roman" w:cs="Times New Roman"/>
          <w:sz w:val="28"/>
          <w:szCs w:val="28"/>
        </w:rPr>
        <w:t>г. – 2</w:t>
      </w:r>
      <w:r w:rsidR="00782592">
        <w:rPr>
          <w:rFonts w:ascii="Times New Roman" w:eastAsia="Times New Roman" w:hAnsi="Times New Roman" w:cs="Times New Roman"/>
          <w:sz w:val="28"/>
          <w:szCs w:val="28"/>
        </w:rPr>
        <w:t xml:space="preserve">4,4 </w:t>
      </w:r>
      <w:r w:rsidRPr="00BC14F1">
        <w:rPr>
          <w:rFonts w:ascii="Times New Roman" w:eastAsia="Times New Roman" w:hAnsi="Times New Roman" w:cs="Times New Roman"/>
          <w:sz w:val="28"/>
          <w:szCs w:val="28"/>
        </w:rPr>
        <w:t>бр.</w:t>
      </w:r>
      <w:r w:rsidR="00782592">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на следовател.</w:t>
      </w:r>
    </w:p>
    <w:p w14:paraId="215253A7" w14:textId="2D094E51" w:rsidR="00BC14F1" w:rsidRPr="00BC14F1" w:rsidRDefault="00BC14F1" w:rsidP="00BC14F1">
      <w:pPr>
        <w:spacing w:after="0" w:line="240" w:lineRule="auto"/>
        <w:ind w:firstLine="708"/>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Наблюдава се и намаление на броя приключени досъдебни производства, които за 202</w:t>
      </w:r>
      <w:r w:rsidR="00782592">
        <w:rPr>
          <w:rFonts w:ascii="Times New Roman" w:eastAsia="Times New Roman" w:hAnsi="Times New Roman" w:cs="Times New Roman"/>
          <w:sz w:val="28"/>
          <w:szCs w:val="28"/>
        </w:rPr>
        <w:t>2 г. са 51</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 xml:space="preserve">бр., </w:t>
      </w:r>
      <w:r>
        <w:rPr>
          <w:rFonts w:ascii="Times New Roman" w:eastAsia="Times New Roman" w:hAnsi="Times New Roman" w:cs="Times New Roman"/>
          <w:sz w:val="28"/>
          <w:szCs w:val="28"/>
        </w:rPr>
        <w:t>на следовател</w:t>
      </w:r>
      <w:r w:rsidR="00782592">
        <w:rPr>
          <w:rFonts w:ascii="Times New Roman" w:eastAsia="Times New Roman" w:hAnsi="Times New Roman" w:cs="Times New Roman"/>
          <w:sz w:val="28"/>
          <w:szCs w:val="28"/>
        </w:rPr>
        <w:t xml:space="preserve"> – 6,4</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бр, спрямо  202</w:t>
      </w:r>
      <w:r w:rsidR="0078259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w:t>
      </w:r>
      <w:r w:rsidR="00782592">
        <w:rPr>
          <w:rFonts w:ascii="Times New Roman" w:eastAsia="Times New Roman" w:hAnsi="Times New Roman" w:cs="Times New Roman"/>
          <w:sz w:val="28"/>
          <w:szCs w:val="28"/>
        </w:rPr>
        <w:t xml:space="preserve"> 79</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бр.,  на следовател</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-1</w:t>
      </w:r>
      <w:r w:rsidR="00782592">
        <w:rPr>
          <w:rFonts w:ascii="Times New Roman" w:eastAsia="Times New Roman" w:hAnsi="Times New Roman" w:cs="Times New Roman"/>
          <w:sz w:val="28"/>
          <w:szCs w:val="28"/>
        </w:rPr>
        <w:t>2,8</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бр. и  спрямо 20</w:t>
      </w:r>
      <w:r w:rsidR="00782592">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w:t>
      </w:r>
      <w:r w:rsidR="00782592">
        <w:rPr>
          <w:rFonts w:ascii="Times New Roman" w:eastAsia="Times New Roman" w:hAnsi="Times New Roman" w:cs="Times New Roman"/>
          <w:sz w:val="28"/>
          <w:szCs w:val="28"/>
        </w:rPr>
        <w:t xml:space="preserve"> 92</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бр. или 1</w:t>
      </w:r>
      <w:r w:rsidR="00782592">
        <w:rPr>
          <w:rFonts w:ascii="Times New Roman" w:eastAsia="Times New Roman" w:hAnsi="Times New Roman" w:cs="Times New Roman"/>
          <w:sz w:val="28"/>
          <w:szCs w:val="28"/>
        </w:rPr>
        <w:t>4,1</w:t>
      </w:r>
      <w:r w:rsidRPr="00BC14F1">
        <w:rPr>
          <w:rFonts w:ascii="Times New Roman" w:eastAsia="Times New Roman" w:hAnsi="Times New Roman" w:cs="Times New Roman"/>
          <w:sz w:val="28"/>
          <w:szCs w:val="28"/>
        </w:rPr>
        <w:t xml:space="preserve"> бр. на следовател.</w:t>
      </w:r>
    </w:p>
    <w:p w14:paraId="6E5FE9E8" w14:textId="37F7CC2E" w:rsidR="00BC14F1" w:rsidRPr="00BC14F1" w:rsidRDefault="00BC14F1" w:rsidP="00BC14F1">
      <w:pPr>
        <w:spacing w:after="0" w:line="240" w:lineRule="auto"/>
        <w:ind w:firstLine="720"/>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Може да се отбележи, че приключените досъдебни п</w:t>
      </w:r>
      <w:r w:rsidR="00782592">
        <w:rPr>
          <w:rFonts w:ascii="Times New Roman" w:eastAsia="Times New Roman" w:hAnsi="Times New Roman" w:cs="Times New Roman"/>
          <w:sz w:val="28"/>
          <w:szCs w:val="28"/>
        </w:rPr>
        <w:t>роизводства с мнение за съд</w:t>
      </w:r>
      <w:r w:rsidRPr="00BC14F1">
        <w:rPr>
          <w:rFonts w:ascii="Times New Roman" w:eastAsia="Times New Roman" w:hAnsi="Times New Roman" w:cs="Times New Roman"/>
          <w:sz w:val="28"/>
          <w:szCs w:val="28"/>
        </w:rPr>
        <w:t xml:space="preserve"> са</w:t>
      </w:r>
      <w:r w:rsidR="00782592">
        <w:rPr>
          <w:rFonts w:ascii="Times New Roman" w:eastAsia="Times New Roman" w:hAnsi="Times New Roman" w:cs="Times New Roman"/>
          <w:sz w:val="28"/>
          <w:szCs w:val="28"/>
        </w:rPr>
        <w:t xml:space="preserve"> се увеличили</w:t>
      </w:r>
      <w:r w:rsidRPr="00BC14F1">
        <w:rPr>
          <w:rFonts w:ascii="Times New Roman" w:eastAsia="Times New Roman" w:hAnsi="Times New Roman" w:cs="Times New Roman"/>
          <w:sz w:val="28"/>
          <w:szCs w:val="28"/>
        </w:rPr>
        <w:t xml:space="preserve">,  като са приключени общо </w:t>
      </w:r>
      <w:r w:rsidR="00782592">
        <w:rPr>
          <w:rFonts w:ascii="Times New Roman" w:eastAsia="Times New Roman" w:hAnsi="Times New Roman" w:cs="Times New Roman"/>
          <w:sz w:val="28"/>
          <w:szCs w:val="28"/>
        </w:rPr>
        <w:t>–</w:t>
      </w:r>
      <w:r w:rsidRPr="00BC14F1">
        <w:rPr>
          <w:rFonts w:ascii="Times New Roman" w:eastAsia="Times New Roman" w:hAnsi="Times New Roman" w:cs="Times New Roman"/>
          <w:sz w:val="28"/>
          <w:szCs w:val="28"/>
        </w:rPr>
        <w:t xml:space="preserve"> 1</w:t>
      </w:r>
      <w:r w:rsidR="00782592">
        <w:rPr>
          <w:rFonts w:ascii="Times New Roman" w:eastAsia="Times New Roman" w:hAnsi="Times New Roman" w:cs="Times New Roman"/>
          <w:sz w:val="28"/>
          <w:szCs w:val="28"/>
        </w:rPr>
        <w:t xml:space="preserve">3 </w:t>
      </w:r>
      <w:r w:rsidRPr="00BC14F1">
        <w:rPr>
          <w:rFonts w:ascii="Times New Roman" w:eastAsia="Times New Roman" w:hAnsi="Times New Roman" w:cs="Times New Roman"/>
          <w:sz w:val="28"/>
          <w:szCs w:val="28"/>
        </w:rPr>
        <w:t xml:space="preserve">бр. /средно на следовател по </w:t>
      </w:r>
      <w:r w:rsidR="00782592">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бр./, спрямо 202</w:t>
      </w:r>
      <w:r w:rsidR="0078259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782592">
        <w:rPr>
          <w:rFonts w:ascii="Times New Roman" w:eastAsia="Times New Roman" w:hAnsi="Times New Roman" w:cs="Times New Roman"/>
          <w:sz w:val="28"/>
          <w:szCs w:val="28"/>
        </w:rPr>
        <w:t xml:space="preserve">г.  общо 11 </w:t>
      </w:r>
      <w:r w:rsidRPr="00BC14F1">
        <w:rPr>
          <w:rFonts w:ascii="Times New Roman" w:eastAsia="Times New Roman" w:hAnsi="Times New Roman" w:cs="Times New Roman"/>
          <w:sz w:val="28"/>
          <w:szCs w:val="28"/>
        </w:rPr>
        <w:t xml:space="preserve">броя /средно по </w:t>
      </w:r>
      <w:r w:rsidR="00782592">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 xml:space="preserve">бр. на следовател / и  </w:t>
      </w:r>
      <w:r w:rsidR="00782592">
        <w:rPr>
          <w:rFonts w:ascii="Times New Roman" w:eastAsia="Times New Roman" w:hAnsi="Times New Roman" w:cs="Times New Roman"/>
          <w:sz w:val="28"/>
          <w:szCs w:val="28"/>
        </w:rPr>
        <w:t>са намалели спрямо 2020</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w:t>
      </w:r>
      <w:r w:rsidRPr="00BC14F1">
        <w:rPr>
          <w:rFonts w:ascii="Times New Roman" w:eastAsia="Times New Roman" w:hAnsi="Times New Roman" w:cs="Times New Roman"/>
          <w:sz w:val="28"/>
          <w:szCs w:val="28"/>
        </w:rPr>
        <w:t xml:space="preserve"> 2</w:t>
      </w:r>
      <w:r w:rsidR="0078259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бр./ средно по 3.</w:t>
      </w:r>
      <w:r w:rsidR="00782592">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бр. на следовател /.</w:t>
      </w:r>
    </w:p>
    <w:p w14:paraId="32C867FD" w14:textId="35AB7324" w:rsidR="00B46F59" w:rsidRDefault="00BC14F1" w:rsidP="00BC14F1">
      <w:pPr>
        <w:spacing w:after="0" w:line="240" w:lineRule="auto"/>
        <w:ind w:firstLine="720"/>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 xml:space="preserve">Броя на новообразуваните и продължени досъдебни производства </w:t>
      </w:r>
      <w:r w:rsidR="00782592">
        <w:rPr>
          <w:rFonts w:ascii="Times New Roman" w:eastAsia="Times New Roman" w:hAnsi="Times New Roman" w:cs="Times New Roman"/>
          <w:sz w:val="28"/>
          <w:szCs w:val="28"/>
        </w:rPr>
        <w:t xml:space="preserve"> през отчетната 202</w:t>
      </w:r>
      <w:r w:rsidR="00B46F59">
        <w:rPr>
          <w:rFonts w:ascii="Times New Roman" w:eastAsia="Times New Roman" w:hAnsi="Times New Roman" w:cs="Times New Roman"/>
          <w:sz w:val="28"/>
          <w:szCs w:val="28"/>
        </w:rPr>
        <w:t>2</w:t>
      </w:r>
      <w:r w:rsidR="00782592">
        <w:rPr>
          <w:rFonts w:ascii="Times New Roman" w:eastAsia="Times New Roman" w:hAnsi="Times New Roman" w:cs="Times New Roman"/>
          <w:sz w:val="28"/>
          <w:szCs w:val="28"/>
        </w:rPr>
        <w:t xml:space="preserve"> година  е 83</w:t>
      </w:r>
      <w:r w:rsidR="00B46F59">
        <w:rPr>
          <w:rFonts w:ascii="Times New Roman" w:eastAsia="Times New Roman" w:hAnsi="Times New Roman" w:cs="Times New Roman"/>
          <w:sz w:val="28"/>
          <w:szCs w:val="28"/>
        </w:rPr>
        <w:t xml:space="preserve"> броя, </w:t>
      </w:r>
      <w:r w:rsidRPr="00BC14F1">
        <w:rPr>
          <w:rFonts w:ascii="Times New Roman" w:eastAsia="Times New Roman" w:hAnsi="Times New Roman" w:cs="Times New Roman"/>
          <w:sz w:val="28"/>
          <w:szCs w:val="28"/>
        </w:rPr>
        <w:t xml:space="preserve">който е </w:t>
      </w:r>
      <w:r w:rsidR="00B46F59">
        <w:rPr>
          <w:rFonts w:ascii="Times New Roman" w:eastAsia="Times New Roman" w:hAnsi="Times New Roman" w:cs="Times New Roman"/>
          <w:sz w:val="28"/>
          <w:szCs w:val="28"/>
        </w:rPr>
        <w:t xml:space="preserve">увеличен </w:t>
      </w:r>
      <w:r w:rsidRPr="00BC14F1">
        <w:rPr>
          <w:rFonts w:ascii="Times New Roman" w:eastAsia="Times New Roman" w:hAnsi="Times New Roman" w:cs="Times New Roman"/>
          <w:sz w:val="28"/>
          <w:szCs w:val="28"/>
        </w:rPr>
        <w:t>спрямо 202</w:t>
      </w:r>
      <w:r w:rsidR="00B46F5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B46F59">
        <w:rPr>
          <w:rFonts w:ascii="Times New Roman" w:eastAsia="Times New Roman" w:hAnsi="Times New Roman" w:cs="Times New Roman"/>
          <w:sz w:val="28"/>
          <w:szCs w:val="28"/>
        </w:rPr>
        <w:t>г., когато новообразуваните досъдебни проидводства са били 77 бр.</w:t>
      </w:r>
      <w:r w:rsidRPr="00BC14F1">
        <w:rPr>
          <w:rFonts w:ascii="Times New Roman" w:eastAsia="Times New Roman" w:hAnsi="Times New Roman" w:cs="Times New Roman"/>
          <w:sz w:val="28"/>
          <w:szCs w:val="28"/>
        </w:rPr>
        <w:t xml:space="preserve"> и   </w:t>
      </w:r>
      <w:r w:rsidR="00B46F59" w:rsidRPr="00BC14F1">
        <w:rPr>
          <w:rFonts w:ascii="Times New Roman" w:eastAsia="Times New Roman" w:hAnsi="Times New Roman" w:cs="Times New Roman"/>
          <w:sz w:val="28"/>
          <w:szCs w:val="28"/>
        </w:rPr>
        <w:t xml:space="preserve">намален </w:t>
      </w:r>
      <w:r w:rsidR="00B46F59">
        <w:rPr>
          <w:rFonts w:ascii="Times New Roman" w:eastAsia="Times New Roman" w:hAnsi="Times New Roman" w:cs="Times New Roman"/>
          <w:sz w:val="28"/>
          <w:szCs w:val="28"/>
        </w:rPr>
        <w:t>спрямо</w:t>
      </w:r>
      <w:r w:rsidRPr="00BC14F1">
        <w:rPr>
          <w:rFonts w:ascii="Times New Roman" w:eastAsia="Times New Roman" w:hAnsi="Times New Roman" w:cs="Times New Roman"/>
          <w:sz w:val="28"/>
          <w:szCs w:val="28"/>
        </w:rPr>
        <w:t xml:space="preserve"> 20</w:t>
      </w:r>
      <w:r w:rsidR="00B46F59">
        <w:rPr>
          <w:rFonts w:ascii="Times New Roman" w:eastAsia="Times New Roman" w:hAnsi="Times New Roman" w:cs="Times New Roman"/>
          <w:sz w:val="28"/>
          <w:szCs w:val="28"/>
        </w:rPr>
        <w:t xml:space="preserve">20 </w:t>
      </w:r>
      <w:r w:rsidRPr="00BC14F1">
        <w:rPr>
          <w:rFonts w:ascii="Times New Roman" w:eastAsia="Times New Roman" w:hAnsi="Times New Roman" w:cs="Times New Roman"/>
          <w:sz w:val="28"/>
          <w:szCs w:val="28"/>
        </w:rPr>
        <w:t>г.</w:t>
      </w:r>
      <w:r w:rsidR="00B46F59">
        <w:rPr>
          <w:rFonts w:ascii="Times New Roman" w:eastAsia="Times New Roman" w:hAnsi="Times New Roman" w:cs="Times New Roman"/>
          <w:sz w:val="28"/>
          <w:szCs w:val="28"/>
        </w:rPr>
        <w:t>,</w:t>
      </w:r>
      <w:r w:rsidRPr="00BC14F1">
        <w:rPr>
          <w:rFonts w:ascii="Times New Roman" w:eastAsia="Times New Roman" w:hAnsi="Times New Roman" w:cs="Times New Roman"/>
          <w:sz w:val="28"/>
          <w:szCs w:val="28"/>
        </w:rPr>
        <w:t xml:space="preserve"> </w:t>
      </w:r>
      <w:r w:rsidR="00B46F59">
        <w:rPr>
          <w:rFonts w:ascii="Times New Roman" w:eastAsia="Times New Roman" w:hAnsi="Times New Roman" w:cs="Times New Roman"/>
          <w:sz w:val="28"/>
          <w:szCs w:val="28"/>
        </w:rPr>
        <w:t>когато новообразуваните досъдебни проидводства са били 95 бр.</w:t>
      </w:r>
    </w:p>
    <w:p w14:paraId="621E0935" w14:textId="38EE118A" w:rsidR="00BC14F1" w:rsidRPr="00BC14F1" w:rsidRDefault="00BC14F1" w:rsidP="00BC14F1">
      <w:pPr>
        <w:spacing w:after="0" w:line="240" w:lineRule="auto"/>
        <w:ind w:firstLine="720"/>
        <w:jc w:val="both"/>
        <w:rPr>
          <w:rFonts w:ascii="Times New Roman" w:eastAsia="Times New Roman" w:hAnsi="Times New Roman" w:cs="Baskerville Old Face"/>
          <w:sz w:val="28"/>
          <w:szCs w:val="28"/>
        </w:rPr>
      </w:pPr>
      <w:r w:rsidRPr="00BC14F1">
        <w:rPr>
          <w:rFonts w:ascii="Times New Roman" w:eastAsia="Times New Roman" w:hAnsi="Times New Roman" w:cs="Baskerville Old Face"/>
          <w:sz w:val="28"/>
          <w:szCs w:val="28"/>
        </w:rPr>
        <w:t>През отчетната 202</w:t>
      </w:r>
      <w:r w:rsidR="00B46F59">
        <w:rPr>
          <w:rFonts w:ascii="Times New Roman" w:eastAsia="Times New Roman" w:hAnsi="Times New Roman" w:cs="Baskerville Old Face"/>
          <w:sz w:val="28"/>
          <w:szCs w:val="28"/>
        </w:rPr>
        <w:t>2</w:t>
      </w:r>
      <w:r w:rsidRPr="00BC14F1">
        <w:rPr>
          <w:rFonts w:ascii="Times New Roman" w:eastAsia="Times New Roman" w:hAnsi="Times New Roman" w:cs="Baskerville Old Face"/>
          <w:sz w:val="28"/>
          <w:szCs w:val="28"/>
        </w:rPr>
        <w:t xml:space="preserve">  година  на следователите  от Окръжен следствен отдел в Окръжна прокуратура гр. Монтана са възложени и са изпълнили общо 2</w:t>
      </w:r>
      <w:r w:rsidR="00B46F59">
        <w:rPr>
          <w:rFonts w:ascii="Times New Roman" w:eastAsia="Times New Roman" w:hAnsi="Times New Roman" w:cs="Baskerville Old Face"/>
          <w:sz w:val="28"/>
          <w:szCs w:val="28"/>
        </w:rPr>
        <w:t>27</w:t>
      </w:r>
      <w:r w:rsidRPr="00BC14F1">
        <w:rPr>
          <w:rFonts w:ascii="Times New Roman" w:eastAsia="Times New Roman" w:hAnsi="Times New Roman" w:cs="Baskerville Old Face"/>
          <w:sz w:val="28"/>
          <w:szCs w:val="28"/>
        </w:rPr>
        <w:t xml:space="preserve"> броя следствени поръчки, в т.ч. 1</w:t>
      </w:r>
      <w:r w:rsidR="00B46F59">
        <w:rPr>
          <w:rFonts w:ascii="Times New Roman" w:eastAsia="Times New Roman" w:hAnsi="Times New Roman" w:cs="Baskerville Old Face"/>
          <w:sz w:val="28"/>
          <w:szCs w:val="28"/>
        </w:rPr>
        <w:t>7</w:t>
      </w:r>
      <w:r w:rsidRPr="00BC14F1">
        <w:rPr>
          <w:rFonts w:ascii="Times New Roman" w:eastAsia="Times New Roman" w:hAnsi="Times New Roman" w:cs="Baskerville Old Face"/>
          <w:sz w:val="28"/>
          <w:szCs w:val="28"/>
        </w:rPr>
        <w:t xml:space="preserve"> броя международни  следствени поръчки, като спрямо 202</w:t>
      </w:r>
      <w:r w:rsidR="00B46F59">
        <w:rPr>
          <w:rFonts w:ascii="Times New Roman" w:eastAsia="Times New Roman" w:hAnsi="Times New Roman" w:cs="Baskerville Old Face"/>
          <w:sz w:val="28"/>
          <w:szCs w:val="28"/>
        </w:rPr>
        <w:t>1</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г., са били 23</w:t>
      </w:r>
      <w:r w:rsidR="00B46F59">
        <w:rPr>
          <w:rFonts w:ascii="Times New Roman" w:eastAsia="Times New Roman" w:hAnsi="Times New Roman" w:cs="Baskerville Old Face"/>
          <w:sz w:val="28"/>
          <w:szCs w:val="28"/>
        </w:rPr>
        <w:t>5</w:t>
      </w:r>
      <w:r>
        <w:rPr>
          <w:rFonts w:ascii="Times New Roman" w:eastAsia="Times New Roman" w:hAnsi="Times New Roman" w:cs="Baskerville Old Face"/>
          <w:sz w:val="28"/>
          <w:szCs w:val="28"/>
        </w:rPr>
        <w:t xml:space="preserve"> </w:t>
      </w:r>
      <w:r w:rsidR="00B46F59">
        <w:rPr>
          <w:rFonts w:ascii="Times New Roman" w:eastAsia="Times New Roman" w:hAnsi="Times New Roman" w:cs="Baskerville Old Face"/>
          <w:sz w:val="28"/>
          <w:szCs w:val="28"/>
        </w:rPr>
        <w:t>бр., в т.ч. 11</w:t>
      </w:r>
      <w:r w:rsidRPr="00BC14F1">
        <w:rPr>
          <w:rFonts w:ascii="Times New Roman" w:eastAsia="Times New Roman" w:hAnsi="Times New Roman" w:cs="Baskerville Old Face"/>
          <w:sz w:val="28"/>
          <w:szCs w:val="28"/>
        </w:rPr>
        <w:t xml:space="preserve"> бр.  междунаро</w:t>
      </w:r>
      <w:r w:rsidR="00B46F59">
        <w:rPr>
          <w:rFonts w:ascii="Times New Roman" w:eastAsia="Times New Roman" w:hAnsi="Times New Roman" w:cs="Baskerville Old Face"/>
          <w:sz w:val="28"/>
          <w:szCs w:val="28"/>
        </w:rPr>
        <w:t>дни  следствени поръчки  или с 8</w:t>
      </w:r>
      <w:r w:rsidRPr="00BC14F1">
        <w:rPr>
          <w:rFonts w:ascii="Times New Roman" w:eastAsia="Times New Roman" w:hAnsi="Times New Roman" w:cs="Baskerville Old Face"/>
          <w:sz w:val="28"/>
          <w:szCs w:val="28"/>
        </w:rPr>
        <w:t xml:space="preserve"> бр. по-малко и  спрямо 20</w:t>
      </w:r>
      <w:r w:rsidR="00B46F59">
        <w:rPr>
          <w:rFonts w:ascii="Times New Roman" w:eastAsia="Times New Roman" w:hAnsi="Times New Roman" w:cs="Baskerville Old Face"/>
          <w:sz w:val="28"/>
          <w:szCs w:val="28"/>
        </w:rPr>
        <w:t>20</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г.  са  2</w:t>
      </w:r>
      <w:r w:rsidR="00B46F59">
        <w:rPr>
          <w:rFonts w:ascii="Times New Roman" w:eastAsia="Times New Roman" w:hAnsi="Times New Roman" w:cs="Baskerville Old Face"/>
          <w:sz w:val="28"/>
          <w:szCs w:val="28"/>
        </w:rPr>
        <w:t>36</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 xml:space="preserve">бр.,  в т.ч. </w:t>
      </w:r>
      <w:r w:rsidR="00B46F59">
        <w:rPr>
          <w:rFonts w:ascii="Times New Roman" w:eastAsia="Times New Roman" w:hAnsi="Times New Roman" w:cs="Baskerville Old Face"/>
          <w:sz w:val="28"/>
          <w:szCs w:val="28"/>
        </w:rPr>
        <w:t>6</w:t>
      </w:r>
      <w:r w:rsidRPr="00BC14F1">
        <w:rPr>
          <w:rFonts w:ascii="Times New Roman" w:eastAsia="Times New Roman" w:hAnsi="Times New Roman" w:cs="Baskerville Old Face"/>
          <w:sz w:val="28"/>
          <w:szCs w:val="28"/>
        </w:rPr>
        <w:t xml:space="preserve"> бр.  международни следствени поръчки, или с  </w:t>
      </w:r>
      <w:r w:rsidR="00B46F59">
        <w:rPr>
          <w:rFonts w:ascii="Times New Roman" w:eastAsia="Times New Roman" w:hAnsi="Times New Roman" w:cs="Baskerville Old Face"/>
          <w:sz w:val="28"/>
          <w:szCs w:val="28"/>
        </w:rPr>
        <w:t>9</w:t>
      </w:r>
      <w:r w:rsidRPr="00BC14F1">
        <w:rPr>
          <w:rFonts w:ascii="Times New Roman" w:eastAsia="Times New Roman" w:hAnsi="Times New Roman" w:cs="Baskerville Old Face"/>
          <w:sz w:val="28"/>
          <w:szCs w:val="28"/>
        </w:rPr>
        <w:t xml:space="preserve"> бр. по</w:t>
      </w:r>
      <w:r w:rsidR="00B46F59">
        <w:rPr>
          <w:rFonts w:ascii="Times New Roman" w:eastAsia="Times New Roman" w:hAnsi="Times New Roman" w:cs="Baskerville Old Face"/>
          <w:sz w:val="28"/>
          <w:szCs w:val="28"/>
        </w:rPr>
        <w:t>-малка</w:t>
      </w:r>
      <w:r w:rsidRPr="00BC14F1">
        <w:rPr>
          <w:rFonts w:ascii="Times New Roman" w:eastAsia="Times New Roman" w:hAnsi="Times New Roman" w:cs="Baskerville Old Face"/>
          <w:sz w:val="28"/>
          <w:szCs w:val="28"/>
        </w:rPr>
        <w:t>.</w:t>
      </w:r>
    </w:p>
    <w:p w14:paraId="355410FE" w14:textId="1F139B1E" w:rsidR="00BC14F1" w:rsidRPr="00BC14F1" w:rsidRDefault="00BC14F1" w:rsidP="00BC14F1">
      <w:pPr>
        <w:spacing w:after="0" w:line="240" w:lineRule="auto"/>
        <w:ind w:firstLine="720"/>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 xml:space="preserve">Броя на възложените на отдела международни следствени поръчки от други държави е увеличен с </w:t>
      </w:r>
      <w:r w:rsidR="00B46F59">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бр. спрямо  202</w:t>
      </w:r>
      <w:r w:rsidR="00B46F59">
        <w:rPr>
          <w:rFonts w:ascii="Times New Roman" w:eastAsia="Times New Roman" w:hAnsi="Times New Roman" w:cs="Times New Roman"/>
          <w:sz w:val="28"/>
          <w:szCs w:val="28"/>
        </w:rPr>
        <w:t xml:space="preserve">1 </w:t>
      </w:r>
      <w:r w:rsidRPr="00BC14F1">
        <w:rPr>
          <w:rFonts w:ascii="Times New Roman" w:eastAsia="Times New Roman" w:hAnsi="Times New Roman" w:cs="Times New Roman"/>
          <w:sz w:val="28"/>
          <w:szCs w:val="28"/>
        </w:rPr>
        <w:t>г.</w:t>
      </w:r>
      <w:r w:rsidR="00B46F59">
        <w:rPr>
          <w:rFonts w:ascii="Times New Roman" w:eastAsia="Times New Roman" w:hAnsi="Times New Roman" w:cs="Times New Roman"/>
          <w:sz w:val="28"/>
          <w:szCs w:val="28"/>
        </w:rPr>
        <w:t xml:space="preserve"> и с 11 бр. спрямо 2020 г.</w:t>
      </w:r>
    </w:p>
    <w:p w14:paraId="751CB8D6" w14:textId="77777777" w:rsidR="00BC14F1" w:rsidRPr="00BC14F1" w:rsidRDefault="00BC14F1" w:rsidP="00BC14F1">
      <w:pPr>
        <w:spacing w:after="0" w:line="240" w:lineRule="auto"/>
        <w:ind w:firstLine="720"/>
        <w:jc w:val="both"/>
        <w:rPr>
          <w:rFonts w:ascii="Times New Roman" w:eastAsia="Times New Roman" w:hAnsi="Times New Roman" w:cs="Times New Roman"/>
          <w:sz w:val="28"/>
          <w:szCs w:val="28"/>
        </w:rPr>
      </w:pPr>
    </w:p>
    <w:p w14:paraId="69EBDE67" w14:textId="603C7FD3" w:rsidR="00BC14F1" w:rsidRPr="00BC14F1" w:rsidRDefault="00BC14F1" w:rsidP="00BC14F1">
      <w:pPr>
        <w:spacing w:after="0" w:line="240" w:lineRule="auto"/>
        <w:ind w:firstLine="720"/>
        <w:jc w:val="both"/>
        <w:rPr>
          <w:rFonts w:ascii="Times New Roman" w:eastAsia="Times New Roman" w:hAnsi="Times New Roman" w:cs="Times New Roman"/>
          <w:sz w:val="28"/>
          <w:szCs w:val="28"/>
        </w:rPr>
      </w:pPr>
      <w:r w:rsidRPr="00B46F59">
        <w:rPr>
          <w:rFonts w:ascii="Times New Roman" w:eastAsia="Times New Roman" w:hAnsi="Times New Roman" w:cs="Times New Roman"/>
          <w:sz w:val="28"/>
          <w:szCs w:val="28"/>
        </w:rPr>
        <w:lastRenderedPageBreak/>
        <w:t xml:space="preserve">Наблюдава се </w:t>
      </w:r>
      <w:r w:rsidR="00B46F59" w:rsidRPr="00B46F59">
        <w:rPr>
          <w:rFonts w:ascii="Times New Roman" w:eastAsia="Times New Roman" w:hAnsi="Times New Roman" w:cs="Times New Roman"/>
          <w:sz w:val="28"/>
          <w:szCs w:val="28"/>
        </w:rPr>
        <w:t>увеличение</w:t>
      </w:r>
      <w:r w:rsidRPr="00BC14F1">
        <w:rPr>
          <w:rFonts w:ascii="Times New Roman" w:eastAsia="Times New Roman" w:hAnsi="Times New Roman" w:cs="Times New Roman"/>
          <w:sz w:val="28"/>
          <w:szCs w:val="28"/>
        </w:rPr>
        <w:t xml:space="preserve"> на новообразуваните досъдебни производства, като за 202</w:t>
      </w:r>
      <w:r w:rsidR="00B46F59">
        <w:rPr>
          <w:rFonts w:ascii="Times New Roman" w:eastAsia="Times New Roman" w:hAnsi="Times New Roman" w:cs="Times New Roman"/>
          <w:sz w:val="28"/>
          <w:szCs w:val="28"/>
        </w:rPr>
        <w:t xml:space="preserve">2 </w:t>
      </w:r>
      <w:r w:rsidRPr="00BC14F1">
        <w:rPr>
          <w:rFonts w:ascii="Times New Roman" w:eastAsia="Times New Roman" w:hAnsi="Times New Roman" w:cs="Times New Roman"/>
          <w:sz w:val="28"/>
          <w:szCs w:val="28"/>
        </w:rPr>
        <w:t xml:space="preserve">г. са </w:t>
      </w:r>
      <w:r w:rsidR="00B46F59">
        <w:rPr>
          <w:rFonts w:ascii="Times New Roman" w:eastAsia="Times New Roman" w:hAnsi="Times New Roman" w:cs="Times New Roman"/>
          <w:sz w:val="28"/>
          <w:szCs w:val="28"/>
        </w:rPr>
        <w:t xml:space="preserve">71 </w:t>
      </w:r>
      <w:r w:rsidRPr="00BC14F1">
        <w:rPr>
          <w:rFonts w:ascii="Times New Roman" w:eastAsia="Times New Roman" w:hAnsi="Times New Roman" w:cs="Times New Roman"/>
          <w:sz w:val="28"/>
          <w:szCs w:val="28"/>
        </w:rPr>
        <w:t>бр. , спрямо новообразуваните за 202</w:t>
      </w:r>
      <w:r w:rsidR="00B46F59">
        <w:rPr>
          <w:rFonts w:ascii="Times New Roman" w:eastAsia="Times New Roman" w:hAnsi="Times New Roman" w:cs="Times New Roman"/>
          <w:sz w:val="28"/>
          <w:szCs w:val="28"/>
        </w:rPr>
        <w:t xml:space="preserve">1 </w:t>
      </w:r>
      <w:r w:rsidRPr="00BC14F1">
        <w:rPr>
          <w:rFonts w:ascii="Times New Roman" w:eastAsia="Times New Roman" w:hAnsi="Times New Roman" w:cs="Times New Roman"/>
          <w:sz w:val="28"/>
          <w:szCs w:val="28"/>
        </w:rPr>
        <w:t xml:space="preserve">г. </w:t>
      </w:r>
      <w:r w:rsidR="00B46F59">
        <w:rPr>
          <w:rFonts w:ascii="Times New Roman" w:eastAsia="Times New Roman" w:hAnsi="Times New Roman" w:cs="Times New Roman"/>
          <w:sz w:val="28"/>
          <w:szCs w:val="28"/>
        </w:rPr>
        <w:t>– 58 броя или с 13</w:t>
      </w:r>
      <w:r w:rsidRPr="00BC14F1">
        <w:rPr>
          <w:rFonts w:ascii="Times New Roman" w:eastAsia="Times New Roman" w:hAnsi="Times New Roman" w:cs="Times New Roman"/>
          <w:sz w:val="28"/>
          <w:szCs w:val="28"/>
        </w:rPr>
        <w:t xml:space="preserve"> бр.по</w:t>
      </w:r>
      <w:r w:rsidR="00B46F59">
        <w:rPr>
          <w:rFonts w:ascii="Times New Roman" w:eastAsia="Times New Roman" w:hAnsi="Times New Roman" w:cs="Times New Roman"/>
          <w:sz w:val="28"/>
          <w:szCs w:val="28"/>
        </w:rPr>
        <w:t>вече</w:t>
      </w:r>
      <w:r w:rsidRPr="00BC14F1">
        <w:rPr>
          <w:rFonts w:ascii="Times New Roman" w:eastAsia="Times New Roman" w:hAnsi="Times New Roman" w:cs="Times New Roman"/>
          <w:sz w:val="28"/>
          <w:szCs w:val="28"/>
        </w:rPr>
        <w:t>, както следва :</w:t>
      </w:r>
    </w:p>
    <w:p w14:paraId="18C00E94" w14:textId="26405413" w:rsidR="00BC14F1" w:rsidRPr="00BC14F1" w:rsidRDefault="00BC14F1" w:rsidP="00BC14F1">
      <w:pPr>
        <w:spacing w:after="0" w:line="240" w:lineRule="auto"/>
        <w:ind w:firstLine="720"/>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 xml:space="preserve">Разследваните дела, които са по компетентност на следователя,  по </w:t>
      </w:r>
      <w:r w:rsidRPr="005978B5">
        <w:rPr>
          <w:rFonts w:ascii="Times New Roman" w:eastAsia="Times New Roman" w:hAnsi="Times New Roman" w:cs="Times New Roman"/>
          <w:sz w:val="28"/>
          <w:szCs w:val="28"/>
        </w:rPr>
        <w:t>чл.194, ал.1, т.1 от НПК за 202</w:t>
      </w:r>
      <w:r w:rsidR="00DA5FA7" w:rsidRPr="005978B5">
        <w:rPr>
          <w:rFonts w:ascii="Times New Roman" w:eastAsia="Times New Roman" w:hAnsi="Times New Roman" w:cs="Times New Roman"/>
          <w:sz w:val="28"/>
          <w:szCs w:val="28"/>
        </w:rPr>
        <w:t>2</w:t>
      </w:r>
      <w:r w:rsidR="005978B5" w:rsidRPr="005978B5">
        <w:rPr>
          <w:rFonts w:ascii="Times New Roman" w:eastAsia="Times New Roman" w:hAnsi="Times New Roman" w:cs="Times New Roman"/>
          <w:sz w:val="28"/>
          <w:szCs w:val="28"/>
        </w:rPr>
        <w:t xml:space="preserve"> </w:t>
      </w:r>
      <w:r w:rsidRPr="005978B5">
        <w:rPr>
          <w:rFonts w:ascii="Times New Roman" w:eastAsia="Times New Roman" w:hAnsi="Times New Roman" w:cs="Times New Roman"/>
          <w:sz w:val="28"/>
          <w:szCs w:val="28"/>
        </w:rPr>
        <w:t xml:space="preserve">г. са </w:t>
      </w:r>
      <w:r w:rsidR="00B46F59" w:rsidRPr="005978B5">
        <w:rPr>
          <w:rFonts w:ascii="Times New Roman" w:eastAsia="Times New Roman" w:hAnsi="Times New Roman" w:cs="Times New Roman"/>
          <w:sz w:val="28"/>
          <w:szCs w:val="28"/>
        </w:rPr>
        <w:t xml:space="preserve">5 бр.,  </w:t>
      </w:r>
      <w:r w:rsidR="005978B5">
        <w:rPr>
          <w:rFonts w:ascii="Times New Roman" w:eastAsia="Times New Roman" w:hAnsi="Times New Roman" w:cs="Times New Roman"/>
          <w:sz w:val="28"/>
          <w:szCs w:val="28"/>
        </w:rPr>
        <w:t xml:space="preserve">а </w:t>
      </w:r>
      <w:r w:rsidR="00B46F59" w:rsidRPr="005978B5">
        <w:rPr>
          <w:rFonts w:ascii="Times New Roman" w:eastAsia="Times New Roman" w:hAnsi="Times New Roman" w:cs="Times New Roman"/>
          <w:sz w:val="28"/>
          <w:szCs w:val="28"/>
        </w:rPr>
        <w:t xml:space="preserve">за  2021 </w:t>
      </w:r>
      <w:r w:rsidRPr="005978B5">
        <w:rPr>
          <w:rFonts w:ascii="Times New Roman" w:eastAsia="Times New Roman" w:hAnsi="Times New Roman" w:cs="Times New Roman"/>
          <w:sz w:val="28"/>
          <w:szCs w:val="28"/>
        </w:rPr>
        <w:t xml:space="preserve">г. – </w:t>
      </w:r>
      <w:r w:rsidR="00B46F59" w:rsidRPr="005978B5">
        <w:rPr>
          <w:rFonts w:ascii="Times New Roman" w:eastAsia="Times New Roman" w:hAnsi="Times New Roman" w:cs="Times New Roman"/>
          <w:sz w:val="28"/>
          <w:szCs w:val="28"/>
        </w:rPr>
        <w:t>8</w:t>
      </w:r>
      <w:r w:rsidRPr="005978B5">
        <w:rPr>
          <w:rFonts w:ascii="Times New Roman" w:eastAsia="Times New Roman" w:hAnsi="Times New Roman" w:cs="Times New Roman"/>
          <w:sz w:val="28"/>
          <w:szCs w:val="28"/>
        </w:rPr>
        <w:t xml:space="preserve"> бр. или с </w:t>
      </w:r>
      <w:r w:rsidR="00B46F59" w:rsidRPr="005978B5">
        <w:rPr>
          <w:rFonts w:ascii="Times New Roman" w:eastAsia="Times New Roman" w:hAnsi="Times New Roman" w:cs="Times New Roman"/>
          <w:sz w:val="28"/>
          <w:szCs w:val="28"/>
        </w:rPr>
        <w:t>3</w:t>
      </w:r>
      <w:r w:rsidRPr="005978B5">
        <w:rPr>
          <w:rFonts w:ascii="Times New Roman" w:eastAsia="Times New Roman" w:hAnsi="Times New Roman" w:cs="Times New Roman"/>
          <w:sz w:val="28"/>
          <w:szCs w:val="28"/>
        </w:rPr>
        <w:t xml:space="preserve"> бр. по-</w:t>
      </w:r>
      <w:r w:rsidRPr="00BC14F1">
        <w:rPr>
          <w:rFonts w:ascii="Times New Roman" w:eastAsia="Times New Roman" w:hAnsi="Times New Roman" w:cs="Times New Roman"/>
          <w:sz w:val="28"/>
          <w:szCs w:val="28"/>
        </w:rPr>
        <w:t>малко;</w:t>
      </w:r>
    </w:p>
    <w:p w14:paraId="1AFC1298" w14:textId="7B1F2AF8" w:rsidR="00BC14F1" w:rsidRPr="00BC14F1" w:rsidRDefault="00BC14F1" w:rsidP="00BC14F1">
      <w:pPr>
        <w:spacing w:after="0" w:line="240" w:lineRule="auto"/>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ab/>
        <w:t xml:space="preserve">Досъдебните производства, образувани по реда на чл.194,ал.1,т.2 от НПК са  </w:t>
      </w:r>
      <w:r w:rsidR="00B46F59">
        <w:rPr>
          <w:rFonts w:ascii="Times New Roman" w:eastAsia="Times New Roman" w:hAnsi="Times New Roman" w:cs="Times New Roman"/>
          <w:sz w:val="28"/>
          <w:szCs w:val="28"/>
        </w:rPr>
        <w:t>10</w:t>
      </w:r>
      <w:r w:rsidRPr="00BC14F1">
        <w:rPr>
          <w:rFonts w:ascii="Times New Roman" w:eastAsia="Times New Roman" w:hAnsi="Times New Roman" w:cs="Times New Roman"/>
          <w:sz w:val="28"/>
          <w:szCs w:val="28"/>
        </w:rPr>
        <w:t xml:space="preserve"> бр. за 202</w:t>
      </w:r>
      <w:r w:rsidR="00B46F59">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г.,  спрямо 202</w:t>
      </w:r>
      <w:r w:rsidR="00B46F5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 xml:space="preserve">г. – </w:t>
      </w:r>
      <w:r w:rsidR="00B46F59">
        <w:rPr>
          <w:rFonts w:ascii="Times New Roman" w:eastAsia="Times New Roman" w:hAnsi="Times New Roman" w:cs="Times New Roman"/>
          <w:sz w:val="28"/>
          <w:szCs w:val="28"/>
        </w:rPr>
        <w:t>6</w:t>
      </w:r>
      <w:r w:rsidRPr="00BC14F1">
        <w:rPr>
          <w:rFonts w:ascii="Times New Roman" w:eastAsia="Times New Roman" w:hAnsi="Times New Roman" w:cs="Times New Roman"/>
          <w:sz w:val="28"/>
          <w:szCs w:val="28"/>
        </w:rPr>
        <w:t xml:space="preserve"> бр. или с </w:t>
      </w:r>
      <w:r w:rsidR="00B46F59">
        <w:rPr>
          <w:rFonts w:ascii="Times New Roman" w:eastAsia="Times New Roman" w:hAnsi="Times New Roman" w:cs="Times New Roman"/>
          <w:sz w:val="28"/>
          <w:szCs w:val="28"/>
        </w:rPr>
        <w:t>4</w:t>
      </w:r>
      <w:r w:rsidRPr="00BC14F1">
        <w:rPr>
          <w:rFonts w:ascii="Times New Roman" w:eastAsia="Times New Roman" w:hAnsi="Times New Roman" w:cs="Times New Roman"/>
          <w:sz w:val="28"/>
          <w:szCs w:val="28"/>
        </w:rPr>
        <w:t xml:space="preserve"> бр. по</w:t>
      </w:r>
      <w:r w:rsidR="00B46F59">
        <w:rPr>
          <w:rFonts w:ascii="Times New Roman" w:eastAsia="Times New Roman" w:hAnsi="Times New Roman" w:cs="Times New Roman"/>
          <w:sz w:val="28"/>
          <w:szCs w:val="28"/>
        </w:rPr>
        <w:t>вече</w:t>
      </w:r>
      <w:r w:rsidRPr="00BC14F1">
        <w:rPr>
          <w:rFonts w:ascii="Times New Roman" w:eastAsia="Times New Roman" w:hAnsi="Times New Roman" w:cs="Times New Roman"/>
          <w:sz w:val="28"/>
          <w:szCs w:val="28"/>
        </w:rPr>
        <w:t xml:space="preserve">; </w:t>
      </w:r>
    </w:p>
    <w:p w14:paraId="536207FE" w14:textId="05B4E38E" w:rsidR="00BC14F1" w:rsidRPr="00BC14F1" w:rsidRDefault="00BC14F1" w:rsidP="00BC14F1">
      <w:pPr>
        <w:spacing w:after="0" w:line="240" w:lineRule="auto"/>
        <w:ind w:firstLine="708"/>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 xml:space="preserve">Досъдебните производства по реда на чл.194, ал.3 от НПК за престъпления извършени в чужбина са  </w:t>
      </w:r>
      <w:r w:rsidR="00213BF6">
        <w:rPr>
          <w:rFonts w:ascii="Times New Roman" w:eastAsia="Times New Roman" w:hAnsi="Times New Roman" w:cs="Times New Roman"/>
          <w:sz w:val="28"/>
          <w:szCs w:val="28"/>
        </w:rPr>
        <w:t>11</w:t>
      </w:r>
      <w:r w:rsidRPr="00BC14F1">
        <w:rPr>
          <w:rFonts w:ascii="Times New Roman" w:eastAsia="Times New Roman" w:hAnsi="Times New Roman" w:cs="Times New Roman"/>
          <w:sz w:val="28"/>
          <w:szCs w:val="28"/>
        </w:rPr>
        <w:t xml:space="preserve"> бр.</w:t>
      </w:r>
      <w:r w:rsidR="00213BF6">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за 202</w:t>
      </w:r>
      <w:r w:rsidR="00213BF6">
        <w:rPr>
          <w:rFonts w:ascii="Times New Roman" w:eastAsia="Times New Roman" w:hAnsi="Times New Roman" w:cs="Times New Roman"/>
          <w:sz w:val="28"/>
          <w:szCs w:val="28"/>
        </w:rPr>
        <w:t>2</w:t>
      </w:r>
      <w:r w:rsidRPr="00BC14F1">
        <w:rPr>
          <w:rFonts w:ascii="Times New Roman" w:eastAsia="Times New Roman" w:hAnsi="Times New Roman" w:cs="Times New Roman"/>
          <w:sz w:val="28"/>
          <w:szCs w:val="28"/>
        </w:rPr>
        <w:t xml:space="preserve"> г., спрямо  202</w:t>
      </w:r>
      <w:r w:rsidR="00213BF6">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г.</w:t>
      </w:r>
      <w:r w:rsidR="00213BF6">
        <w:rPr>
          <w:rFonts w:ascii="Times New Roman" w:eastAsia="Times New Roman" w:hAnsi="Times New Roman" w:cs="Times New Roman"/>
          <w:sz w:val="28"/>
          <w:szCs w:val="28"/>
        </w:rPr>
        <w:t xml:space="preserve"> – 5 </w:t>
      </w:r>
      <w:r w:rsidRPr="00BC14F1">
        <w:rPr>
          <w:rFonts w:ascii="Times New Roman" w:eastAsia="Times New Roman" w:hAnsi="Times New Roman" w:cs="Times New Roman"/>
          <w:sz w:val="28"/>
          <w:szCs w:val="28"/>
        </w:rPr>
        <w:t xml:space="preserve">бр. или с </w:t>
      </w:r>
      <w:r w:rsidR="00213BF6">
        <w:rPr>
          <w:rFonts w:ascii="Times New Roman" w:eastAsia="Times New Roman" w:hAnsi="Times New Roman" w:cs="Times New Roman"/>
          <w:sz w:val="28"/>
          <w:szCs w:val="28"/>
        </w:rPr>
        <w:t>6</w:t>
      </w:r>
      <w:r w:rsidRPr="00BC14F1">
        <w:rPr>
          <w:rFonts w:ascii="Times New Roman" w:eastAsia="Times New Roman" w:hAnsi="Times New Roman" w:cs="Times New Roman"/>
          <w:sz w:val="28"/>
          <w:szCs w:val="28"/>
        </w:rPr>
        <w:t xml:space="preserve"> бр. по</w:t>
      </w:r>
      <w:r w:rsidR="00213BF6">
        <w:rPr>
          <w:rFonts w:ascii="Times New Roman" w:eastAsia="Times New Roman" w:hAnsi="Times New Roman" w:cs="Times New Roman"/>
          <w:sz w:val="28"/>
          <w:szCs w:val="28"/>
        </w:rPr>
        <w:t>вече</w:t>
      </w:r>
      <w:r>
        <w:rPr>
          <w:rFonts w:ascii="Times New Roman" w:eastAsia="Times New Roman" w:hAnsi="Times New Roman" w:cs="Times New Roman"/>
          <w:sz w:val="28"/>
          <w:szCs w:val="28"/>
        </w:rPr>
        <w:t>.</w:t>
      </w:r>
      <w:r w:rsidRPr="00BC14F1">
        <w:rPr>
          <w:rFonts w:ascii="Times New Roman" w:eastAsia="Times New Roman" w:hAnsi="Times New Roman" w:cs="Times New Roman"/>
          <w:sz w:val="28"/>
          <w:szCs w:val="28"/>
        </w:rPr>
        <w:t xml:space="preserve"> </w:t>
      </w:r>
    </w:p>
    <w:p w14:paraId="72D96CA5" w14:textId="61FD8E9C" w:rsidR="00BC14F1" w:rsidRPr="00BC14F1" w:rsidRDefault="00BC14F1" w:rsidP="00BC14F1">
      <w:pPr>
        <w:spacing w:after="0" w:line="240" w:lineRule="auto"/>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ab/>
        <w:t>Досъдебните производства с фактическа и правна сложност,  възложени от административния  ръководител на Окръжна прокуратура гр. Монтана,  по реда на 194, ал.1,т.4 от НПК  за 202</w:t>
      </w:r>
      <w:r w:rsidR="00213BF6">
        <w:rPr>
          <w:rFonts w:ascii="Times New Roman" w:eastAsia="Times New Roman" w:hAnsi="Times New Roman" w:cs="Times New Roman"/>
          <w:sz w:val="28"/>
          <w:szCs w:val="28"/>
        </w:rPr>
        <w:t xml:space="preserve">2 </w:t>
      </w:r>
      <w:r w:rsidRPr="00BC14F1">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w:t>
      </w:r>
      <w:r w:rsidRPr="00BC14F1">
        <w:rPr>
          <w:rFonts w:ascii="Times New Roman" w:eastAsia="Times New Roman" w:hAnsi="Times New Roman" w:cs="Times New Roman"/>
          <w:sz w:val="28"/>
          <w:szCs w:val="28"/>
        </w:rPr>
        <w:t xml:space="preserve"> </w:t>
      </w:r>
      <w:r w:rsidR="00213BF6">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w:t>
      </w:r>
      <w:r w:rsidR="00213BF6">
        <w:rPr>
          <w:rFonts w:ascii="Times New Roman" w:eastAsia="Times New Roman" w:hAnsi="Times New Roman" w:cs="Times New Roman"/>
          <w:sz w:val="28"/>
          <w:szCs w:val="28"/>
        </w:rPr>
        <w:t>бр., спрямо 2021</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w:t>
      </w:r>
      <w:r w:rsidR="00213BF6">
        <w:rPr>
          <w:rFonts w:ascii="Times New Roman" w:eastAsia="Times New Roman" w:hAnsi="Times New Roman" w:cs="Times New Roman"/>
          <w:sz w:val="28"/>
          <w:szCs w:val="28"/>
        </w:rPr>
        <w:t xml:space="preserve"> 39</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 xml:space="preserve">бр. или с </w:t>
      </w:r>
      <w:r w:rsidR="00213BF6">
        <w:rPr>
          <w:rFonts w:ascii="Times New Roman" w:eastAsia="Times New Roman" w:hAnsi="Times New Roman" w:cs="Times New Roman"/>
          <w:sz w:val="28"/>
          <w:szCs w:val="28"/>
        </w:rPr>
        <w:t>4</w:t>
      </w:r>
      <w:r w:rsidRPr="00BC14F1">
        <w:rPr>
          <w:rFonts w:ascii="Times New Roman" w:eastAsia="Times New Roman" w:hAnsi="Times New Roman" w:cs="Times New Roman"/>
          <w:sz w:val="28"/>
          <w:szCs w:val="28"/>
        </w:rPr>
        <w:t xml:space="preserve"> бр. по-малко.</w:t>
      </w:r>
    </w:p>
    <w:p w14:paraId="1A29D9D3" w14:textId="1F5B7EFF" w:rsidR="00BC14F1" w:rsidRPr="00BC14F1" w:rsidRDefault="00BC14F1" w:rsidP="00BC14F1">
      <w:pPr>
        <w:spacing w:after="0" w:line="240" w:lineRule="auto"/>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ab/>
      </w:r>
      <w:r w:rsidRPr="00BC14F1">
        <w:rPr>
          <w:rFonts w:ascii="Times New Roman" w:eastAsia="Times New Roman" w:hAnsi="Times New Roman" w:cs="Baskerville Old Face"/>
          <w:sz w:val="28"/>
          <w:szCs w:val="28"/>
        </w:rPr>
        <w:t>Намален е броя на разследванията по ДП, които са приключени в двумесечен срок за 202</w:t>
      </w:r>
      <w:r w:rsidR="00213BF6">
        <w:rPr>
          <w:rFonts w:ascii="Times New Roman" w:eastAsia="Times New Roman" w:hAnsi="Times New Roman" w:cs="Baskerville Old Face"/>
          <w:sz w:val="28"/>
          <w:szCs w:val="28"/>
        </w:rPr>
        <w:t>2</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 xml:space="preserve">г. </w:t>
      </w:r>
      <w:r>
        <w:rPr>
          <w:rFonts w:ascii="Times New Roman" w:eastAsia="Times New Roman" w:hAnsi="Times New Roman" w:cs="Baskerville Old Face"/>
          <w:sz w:val="28"/>
          <w:szCs w:val="28"/>
        </w:rPr>
        <w:t>–</w:t>
      </w:r>
      <w:r w:rsidRPr="00BC14F1">
        <w:rPr>
          <w:rFonts w:ascii="Times New Roman" w:eastAsia="Times New Roman" w:hAnsi="Times New Roman" w:cs="Baskerville Old Face"/>
          <w:sz w:val="28"/>
          <w:szCs w:val="28"/>
        </w:rPr>
        <w:t xml:space="preserve"> </w:t>
      </w:r>
      <w:r w:rsidR="00213BF6">
        <w:rPr>
          <w:rFonts w:ascii="Times New Roman" w:eastAsia="Times New Roman" w:hAnsi="Times New Roman" w:cs="Baskerville Old Face"/>
          <w:sz w:val="28"/>
          <w:szCs w:val="28"/>
        </w:rPr>
        <w:t>1</w:t>
      </w:r>
      <w:r w:rsidRPr="00BC14F1">
        <w:rPr>
          <w:rFonts w:ascii="Times New Roman" w:eastAsia="Times New Roman" w:hAnsi="Times New Roman" w:cs="Baskerville Old Face"/>
          <w:sz w:val="28"/>
          <w:szCs w:val="28"/>
        </w:rPr>
        <w:t>2</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бр., спрямо 2021</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 xml:space="preserve">г. </w:t>
      </w:r>
      <w:r>
        <w:rPr>
          <w:rFonts w:ascii="Times New Roman" w:eastAsia="Times New Roman" w:hAnsi="Times New Roman" w:cs="Baskerville Old Face"/>
          <w:sz w:val="28"/>
          <w:szCs w:val="28"/>
        </w:rPr>
        <w:t>–</w:t>
      </w:r>
      <w:r w:rsidRPr="00BC14F1">
        <w:rPr>
          <w:rFonts w:ascii="Times New Roman" w:eastAsia="Times New Roman" w:hAnsi="Times New Roman" w:cs="Baskerville Old Face"/>
          <w:sz w:val="28"/>
          <w:szCs w:val="28"/>
        </w:rPr>
        <w:t xml:space="preserve"> 2</w:t>
      </w:r>
      <w:r w:rsidR="00213BF6">
        <w:rPr>
          <w:rFonts w:ascii="Times New Roman" w:eastAsia="Times New Roman" w:hAnsi="Times New Roman" w:cs="Baskerville Old Face"/>
          <w:sz w:val="28"/>
          <w:szCs w:val="28"/>
        </w:rPr>
        <w:t>2</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бр. или съ</w:t>
      </w:r>
      <w:r w:rsidR="00213BF6">
        <w:rPr>
          <w:rFonts w:ascii="Times New Roman" w:eastAsia="Times New Roman" w:hAnsi="Times New Roman" w:cs="Baskerville Old Face"/>
          <w:sz w:val="28"/>
          <w:szCs w:val="28"/>
        </w:rPr>
        <w:t>с 10</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бр. по-малко.</w:t>
      </w:r>
    </w:p>
    <w:p w14:paraId="52962C13" w14:textId="2177253E" w:rsidR="00BC14F1" w:rsidRPr="00BC14F1" w:rsidRDefault="00BC14F1" w:rsidP="00BC14F1">
      <w:pPr>
        <w:spacing w:after="0" w:line="240" w:lineRule="auto"/>
        <w:jc w:val="both"/>
        <w:rPr>
          <w:rFonts w:ascii="Times New Roman" w:eastAsia="Times New Roman" w:hAnsi="Times New Roman" w:cs="Baskerville Old Face"/>
          <w:sz w:val="28"/>
          <w:szCs w:val="28"/>
        </w:rPr>
      </w:pPr>
      <w:r w:rsidRPr="00BC14F1">
        <w:rPr>
          <w:rFonts w:ascii="Times New Roman" w:eastAsia="Times New Roman" w:hAnsi="Times New Roman" w:cs="Baskerville Old Face"/>
          <w:sz w:val="28"/>
          <w:szCs w:val="28"/>
        </w:rPr>
        <w:tab/>
        <w:t>До 6 /шест/ месеца за 202</w:t>
      </w:r>
      <w:r w:rsidR="00213BF6">
        <w:rPr>
          <w:rFonts w:ascii="Times New Roman" w:eastAsia="Times New Roman" w:hAnsi="Times New Roman" w:cs="Baskerville Old Face"/>
          <w:sz w:val="28"/>
          <w:szCs w:val="28"/>
        </w:rPr>
        <w:t xml:space="preserve">2 г. </w:t>
      </w:r>
      <w:r w:rsidRPr="00BC14F1">
        <w:rPr>
          <w:rFonts w:ascii="Times New Roman" w:eastAsia="Times New Roman" w:hAnsi="Times New Roman" w:cs="Baskerville Old Face"/>
          <w:sz w:val="28"/>
          <w:szCs w:val="28"/>
        </w:rPr>
        <w:t xml:space="preserve">- </w:t>
      </w:r>
      <w:r w:rsidR="00213BF6">
        <w:rPr>
          <w:rFonts w:ascii="Times New Roman" w:eastAsia="Times New Roman" w:hAnsi="Times New Roman" w:cs="Baskerville Old Face"/>
          <w:sz w:val="28"/>
          <w:szCs w:val="28"/>
        </w:rPr>
        <w:t xml:space="preserve">11 </w:t>
      </w:r>
      <w:r w:rsidRPr="00BC14F1">
        <w:rPr>
          <w:rFonts w:ascii="Times New Roman" w:eastAsia="Times New Roman" w:hAnsi="Times New Roman" w:cs="Baskerville Old Face"/>
          <w:sz w:val="28"/>
          <w:szCs w:val="28"/>
        </w:rPr>
        <w:t>бр., спрямо 202</w:t>
      </w:r>
      <w:r w:rsidR="00213BF6">
        <w:rPr>
          <w:rFonts w:ascii="Times New Roman" w:eastAsia="Times New Roman" w:hAnsi="Times New Roman" w:cs="Baskerville Old Face"/>
          <w:sz w:val="28"/>
          <w:szCs w:val="28"/>
        </w:rPr>
        <w:t xml:space="preserve">1 </w:t>
      </w:r>
      <w:r w:rsidRPr="00BC14F1">
        <w:rPr>
          <w:rFonts w:ascii="Times New Roman" w:eastAsia="Times New Roman" w:hAnsi="Times New Roman" w:cs="Baskerville Old Face"/>
          <w:sz w:val="28"/>
          <w:szCs w:val="28"/>
        </w:rPr>
        <w:t xml:space="preserve">г. </w:t>
      </w:r>
      <w:r w:rsidR="00213BF6">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2</w:t>
      </w:r>
      <w:r w:rsidR="00213BF6">
        <w:rPr>
          <w:rFonts w:ascii="Times New Roman" w:eastAsia="Times New Roman" w:hAnsi="Times New Roman" w:cs="Baskerville Old Face"/>
          <w:sz w:val="28"/>
          <w:szCs w:val="28"/>
        </w:rPr>
        <w:t xml:space="preserve">3 </w:t>
      </w:r>
      <w:r w:rsidRPr="00BC14F1">
        <w:rPr>
          <w:rFonts w:ascii="Times New Roman" w:eastAsia="Times New Roman" w:hAnsi="Times New Roman" w:cs="Baskerville Old Face"/>
          <w:sz w:val="28"/>
          <w:szCs w:val="28"/>
        </w:rPr>
        <w:t xml:space="preserve">бр. или с </w:t>
      </w:r>
      <w:r w:rsidR="00213BF6">
        <w:rPr>
          <w:rFonts w:ascii="Times New Roman" w:eastAsia="Times New Roman" w:hAnsi="Times New Roman" w:cs="Baskerville Old Face"/>
          <w:sz w:val="28"/>
          <w:szCs w:val="28"/>
        </w:rPr>
        <w:t>12</w:t>
      </w:r>
      <w:r w:rsidRPr="00BC14F1">
        <w:rPr>
          <w:rFonts w:ascii="Times New Roman" w:eastAsia="Times New Roman" w:hAnsi="Times New Roman" w:cs="Baskerville Old Face"/>
          <w:sz w:val="28"/>
          <w:szCs w:val="28"/>
        </w:rPr>
        <w:t xml:space="preserve"> бр. по</w:t>
      </w:r>
      <w:r w:rsidR="00213BF6">
        <w:rPr>
          <w:rFonts w:ascii="Times New Roman" w:eastAsia="Times New Roman" w:hAnsi="Times New Roman" w:cs="Baskerville Old Face"/>
          <w:sz w:val="28"/>
          <w:szCs w:val="28"/>
        </w:rPr>
        <w:t>- малко</w:t>
      </w:r>
      <w:r w:rsidRPr="00BC14F1">
        <w:rPr>
          <w:rFonts w:ascii="Times New Roman" w:eastAsia="Times New Roman" w:hAnsi="Times New Roman" w:cs="Baskerville Old Face"/>
          <w:sz w:val="28"/>
          <w:szCs w:val="28"/>
        </w:rPr>
        <w:t>.</w:t>
      </w:r>
    </w:p>
    <w:p w14:paraId="6625A61F" w14:textId="46250713" w:rsidR="00BC14F1" w:rsidRPr="00BC14F1" w:rsidRDefault="00213BF6" w:rsidP="00BC14F1">
      <w:pPr>
        <w:spacing w:after="0" w:line="240" w:lineRule="auto"/>
        <w:jc w:val="both"/>
        <w:rPr>
          <w:rFonts w:ascii="Times New Roman" w:eastAsia="Times New Roman" w:hAnsi="Times New Roman" w:cs="Baskerville Old Face"/>
          <w:sz w:val="28"/>
          <w:szCs w:val="28"/>
        </w:rPr>
      </w:pPr>
      <w:r>
        <w:rPr>
          <w:rFonts w:ascii="Times New Roman" w:eastAsia="Times New Roman" w:hAnsi="Times New Roman" w:cs="Baskerville Old Face"/>
          <w:sz w:val="28"/>
          <w:szCs w:val="28"/>
        </w:rPr>
        <w:tab/>
        <w:t xml:space="preserve">До 9 /девет/  месеца за 2022 </w:t>
      </w:r>
      <w:r w:rsidR="00BC14F1" w:rsidRPr="00BC14F1">
        <w:rPr>
          <w:rFonts w:ascii="Times New Roman" w:eastAsia="Times New Roman" w:hAnsi="Times New Roman" w:cs="Baskerville Old Face"/>
          <w:sz w:val="28"/>
          <w:szCs w:val="28"/>
        </w:rPr>
        <w:t>г.</w:t>
      </w:r>
      <w:r>
        <w:rPr>
          <w:rFonts w:ascii="Times New Roman" w:eastAsia="Times New Roman" w:hAnsi="Times New Roman" w:cs="Baskerville Old Face"/>
          <w:sz w:val="28"/>
          <w:szCs w:val="28"/>
        </w:rPr>
        <w:t xml:space="preserve"> и 2021 г.</w:t>
      </w:r>
      <w:r w:rsidR="00BC14F1" w:rsidRPr="00BC14F1">
        <w:rPr>
          <w:rFonts w:ascii="Times New Roman" w:eastAsia="Times New Roman" w:hAnsi="Times New Roman" w:cs="Baskerville Old Face"/>
          <w:sz w:val="28"/>
          <w:szCs w:val="28"/>
        </w:rPr>
        <w:t xml:space="preserve"> – </w:t>
      </w:r>
      <w:r>
        <w:rPr>
          <w:rFonts w:ascii="Times New Roman" w:eastAsia="Times New Roman" w:hAnsi="Times New Roman" w:cs="Baskerville Old Face"/>
          <w:sz w:val="28"/>
          <w:szCs w:val="28"/>
        </w:rPr>
        <w:t xml:space="preserve"> по </w:t>
      </w:r>
      <w:r w:rsidR="00BC14F1" w:rsidRPr="00BC14F1">
        <w:rPr>
          <w:rFonts w:ascii="Times New Roman" w:eastAsia="Times New Roman" w:hAnsi="Times New Roman" w:cs="Baskerville Old Face"/>
          <w:sz w:val="28"/>
          <w:szCs w:val="28"/>
        </w:rPr>
        <w:t>7</w:t>
      </w:r>
      <w:r>
        <w:rPr>
          <w:rFonts w:ascii="Times New Roman" w:eastAsia="Times New Roman" w:hAnsi="Times New Roman" w:cs="Baskerville Old Face"/>
          <w:sz w:val="28"/>
          <w:szCs w:val="28"/>
        </w:rPr>
        <w:t xml:space="preserve"> </w:t>
      </w:r>
      <w:r w:rsidR="00BC14F1" w:rsidRPr="00BC14F1">
        <w:rPr>
          <w:rFonts w:ascii="Times New Roman" w:eastAsia="Times New Roman" w:hAnsi="Times New Roman" w:cs="Baskerville Old Face"/>
          <w:sz w:val="28"/>
          <w:szCs w:val="28"/>
        </w:rPr>
        <w:t>бр.;</w:t>
      </w:r>
    </w:p>
    <w:p w14:paraId="4D62EF91" w14:textId="07E4105F" w:rsidR="00BC14F1" w:rsidRPr="00BC14F1" w:rsidRDefault="00BC14F1" w:rsidP="00BC14F1">
      <w:pPr>
        <w:spacing w:after="0" w:line="240" w:lineRule="auto"/>
        <w:jc w:val="both"/>
        <w:rPr>
          <w:rFonts w:ascii="Times New Roman" w:eastAsia="Times New Roman" w:hAnsi="Times New Roman" w:cs="Baskerville Old Face"/>
          <w:sz w:val="28"/>
          <w:szCs w:val="28"/>
        </w:rPr>
      </w:pPr>
      <w:r w:rsidRPr="00BC14F1">
        <w:rPr>
          <w:rFonts w:ascii="Times New Roman" w:eastAsia="Times New Roman" w:hAnsi="Times New Roman" w:cs="Baskerville Old Face"/>
          <w:sz w:val="28"/>
          <w:szCs w:val="28"/>
        </w:rPr>
        <w:tab/>
        <w:t>Над 9/девет/ месеца за 202</w:t>
      </w:r>
      <w:r w:rsidR="00213BF6">
        <w:rPr>
          <w:rFonts w:ascii="Times New Roman" w:eastAsia="Times New Roman" w:hAnsi="Times New Roman" w:cs="Baskerville Old Face"/>
          <w:sz w:val="28"/>
          <w:szCs w:val="28"/>
        </w:rPr>
        <w:t xml:space="preserve">2 </w:t>
      </w:r>
      <w:r w:rsidRPr="00BC14F1">
        <w:rPr>
          <w:rFonts w:ascii="Times New Roman" w:eastAsia="Times New Roman" w:hAnsi="Times New Roman" w:cs="Baskerville Old Face"/>
          <w:sz w:val="28"/>
          <w:szCs w:val="28"/>
        </w:rPr>
        <w:t>г.</w:t>
      </w:r>
      <w:r w:rsidR="00E10FBC">
        <w:rPr>
          <w:rFonts w:ascii="Times New Roman" w:eastAsia="Times New Roman" w:hAnsi="Times New Roman" w:cs="Baskerville Old Face"/>
          <w:sz w:val="28"/>
          <w:szCs w:val="28"/>
        </w:rPr>
        <w:t xml:space="preserve"> и 2021 г. </w:t>
      </w:r>
      <w:r w:rsidRPr="00BC14F1">
        <w:rPr>
          <w:rFonts w:ascii="Times New Roman" w:eastAsia="Times New Roman" w:hAnsi="Times New Roman" w:cs="Baskerville Old Face"/>
          <w:sz w:val="28"/>
          <w:szCs w:val="28"/>
        </w:rPr>
        <w:t xml:space="preserve"> </w:t>
      </w:r>
      <w:r>
        <w:rPr>
          <w:rFonts w:ascii="Times New Roman" w:eastAsia="Times New Roman" w:hAnsi="Times New Roman" w:cs="Baskerville Old Face"/>
          <w:sz w:val="28"/>
          <w:szCs w:val="28"/>
        </w:rPr>
        <w:t>–</w:t>
      </w:r>
      <w:r w:rsidRPr="00BC14F1">
        <w:rPr>
          <w:rFonts w:ascii="Times New Roman" w:eastAsia="Times New Roman" w:hAnsi="Times New Roman" w:cs="Baskerville Old Face"/>
          <w:sz w:val="28"/>
          <w:szCs w:val="28"/>
        </w:rPr>
        <w:t xml:space="preserve"> </w:t>
      </w:r>
      <w:r w:rsidR="00E10FBC">
        <w:rPr>
          <w:rFonts w:ascii="Times New Roman" w:eastAsia="Times New Roman" w:hAnsi="Times New Roman" w:cs="Baskerville Old Face"/>
          <w:sz w:val="28"/>
          <w:szCs w:val="28"/>
        </w:rPr>
        <w:t xml:space="preserve">по </w:t>
      </w:r>
      <w:r w:rsidRPr="00BC14F1">
        <w:rPr>
          <w:rFonts w:ascii="Times New Roman" w:eastAsia="Times New Roman" w:hAnsi="Times New Roman" w:cs="Baskerville Old Face"/>
          <w:sz w:val="28"/>
          <w:szCs w:val="28"/>
        </w:rPr>
        <w:t>8</w:t>
      </w:r>
      <w:r>
        <w:rPr>
          <w:rFonts w:ascii="Times New Roman" w:eastAsia="Times New Roman" w:hAnsi="Times New Roman" w:cs="Baskerville Old Face"/>
          <w:sz w:val="28"/>
          <w:szCs w:val="28"/>
        </w:rPr>
        <w:t xml:space="preserve"> </w:t>
      </w:r>
      <w:r w:rsidR="00E10FBC">
        <w:rPr>
          <w:rFonts w:ascii="Times New Roman" w:eastAsia="Times New Roman" w:hAnsi="Times New Roman" w:cs="Baskerville Old Face"/>
          <w:sz w:val="28"/>
          <w:szCs w:val="28"/>
        </w:rPr>
        <w:t>бр.;</w:t>
      </w:r>
    </w:p>
    <w:p w14:paraId="678D74A0" w14:textId="62AAE20B" w:rsidR="00BC14F1" w:rsidRDefault="00BC14F1" w:rsidP="00BC14F1">
      <w:pPr>
        <w:spacing w:after="0" w:line="240" w:lineRule="auto"/>
        <w:jc w:val="both"/>
        <w:rPr>
          <w:rFonts w:ascii="Times New Roman" w:eastAsia="Times New Roman" w:hAnsi="Times New Roman" w:cs="Baskerville Old Face"/>
          <w:sz w:val="28"/>
          <w:szCs w:val="28"/>
        </w:rPr>
      </w:pPr>
      <w:r w:rsidRPr="00BC14F1">
        <w:rPr>
          <w:rFonts w:ascii="Times New Roman" w:eastAsia="Times New Roman" w:hAnsi="Times New Roman" w:cs="Baskerville Old Face"/>
          <w:sz w:val="28"/>
          <w:szCs w:val="28"/>
        </w:rPr>
        <w:tab/>
        <w:t>Над 1 /една/ година за 2021г. -</w:t>
      </w:r>
      <w:r w:rsidR="00213BF6">
        <w:rPr>
          <w:rFonts w:ascii="Times New Roman" w:eastAsia="Times New Roman" w:hAnsi="Times New Roman" w:cs="Baskerville Old Face"/>
          <w:sz w:val="28"/>
          <w:szCs w:val="28"/>
        </w:rPr>
        <w:t xml:space="preserve"> 13</w:t>
      </w:r>
      <w:r w:rsidRPr="00BC14F1">
        <w:rPr>
          <w:rFonts w:ascii="Times New Roman" w:eastAsia="Times New Roman" w:hAnsi="Times New Roman" w:cs="Baskerville Old Face"/>
          <w:sz w:val="28"/>
          <w:szCs w:val="28"/>
        </w:rPr>
        <w:t xml:space="preserve"> бр., спрямо 2020</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г.</w:t>
      </w:r>
      <w:r w:rsidR="00213BF6">
        <w:rPr>
          <w:rFonts w:ascii="Times New Roman" w:eastAsia="Times New Roman" w:hAnsi="Times New Roman" w:cs="Baskerville Old Face"/>
          <w:sz w:val="28"/>
          <w:szCs w:val="28"/>
        </w:rPr>
        <w:t xml:space="preserve"> – 21</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 xml:space="preserve">бр. или с </w:t>
      </w:r>
      <w:r w:rsidR="00213BF6">
        <w:rPr>
          <w:rFonts w:ascii="Times New Roman" w:eastAsia="Times New Roman" w:hAnsi="Times New Roman" w:cs="Baskerville Old Face"/>
          <w:sz w:val="28"/>
          <w:szCs w:val="28"/>
        </w:rPr>
        <w:t>8</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бр. по</w:t>
      </w:r>
      <w:r w:rsidR="00213BF6">
        <w:rPr>
          <w:rFonts w:ascii="Times New Roman" w:eastAsia="Times New Roman" w:hAnsi="Times New Roman" w:cs="Baskerville Old Face"/>
          <w:sz w:val="28"/>
          <w:szCs w:val="28"/>
        </w:rPr>
        <w:t>-малко</w:t>
      </w:r>
      <w:r w:rsidRPr="00BC14F1">
        <w:rPr>
          <w:rFonts w:ascii="Times New Roman" w:eastAsia="Times New Roman" w:hAnsi="Times New Roman" w:cs="Baskerville Old Face"/>
          <w:sz w:val="28"/>
          <w:szCs w:val="28"/>
        </w:rPr>
        <w:t xml:space="preserve">.  </w:t>
      </w:r>
    </w:p>
    <w:p w14:paraId="38C00DFE" w14:textId="77777777" w:rsidR="00BC14F1" w:rsidRPr="00BC14F1" w:rsidRDefault="00BC14F1" w:rsidP="00BC14F1">
      <w:pPr>
        <w:spacing w:after="0" w:line="240" w:lineRule="auto"/>
        <w:ind w:firstLine="720"/>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По досъдебните</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производства</w:t>
      </w:r>
      <w:r w:rsidRPr="00BC14F1">
        <w:rPr>
          <w:rFonts w:ascii="Calibri" w:eastAsia="Times New Roman" w:hAnsi="Calibri" w:cs="Baskerville Old Face"/>
          <w:sz w:val="28"/>
          <w:szCs w:val="28"/>
        </w:rPr>
        <w:t xml:space="preserve"> </w:t>
      </w:r>
      <w:r w:rsidRPr="00BC14F1">
        <w:rPr>
          <w:rFonts w:eastAsia="Times New Roman" w:cs="Baskerville Old Face"/>
          <w:sz w:val="28"/>
          <w:szCs w:val="28"/>
        </w:rPr>
        <w:t xml:space="preserve"> </w:t>
      </w:r>
      <w:r w:rsidRPr="00BC14F1">
        <w:rPr>
          <w:rFonts w:ascii="Times New Roman" w:eastAsia="Times New Roman" w:hAnsi="Times New Roman" w:cs="Times New Roman"/>
          <w:sz w:val="28"/>
          <w:szCs w:val="28"/>
        </w:rPr>
        <w:t>разследването продължило</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повече</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от предвидените по закон два</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месеца</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своевременно от следователите</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е</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правено</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обосновано предложение</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до</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наблюдаващите</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прокурори</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за</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продължаване</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на</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срока за разследване.</w:t>
      </w:r>
    </w:p>
    <w:p w14:paraId="3AE5AA62" w14:textId="77777777" w:rsidR="00BC14F1" w:rsidRPr="00BC14F1" w:rsidRDefault="00BC14F1" w:rsidP="00BC14F1">
      <w:pPr>
        <w:spacing w:after="0" w:line="240" w:lineRule="auto"/>
        <w:ind w:firstLine="720"/>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Процесуалните срокове са спазвани, като няма  дела извън срока.</w:t>
      </w:r>
    </w:p>
    <w:p w14:paraId="17C634AA" w14:textId="77777777" w:rsidR="00BC14F1" w:rsidRPr="00BC14F1" w:rsidRDefault="00BC14F1" w:rsidP="00BC14F1">
      <w:pPr>
        <w:spacing w:after="0" w:line="240" w:lineRule="auto"/>
        <w:ind w:firstLine="708"/>
        <w:jc w:val="both"/>
        <w:rPr>
          <w:rFonts w:ascii="Times New Roman" w:eastAsia="Times New Roman" w:hAnsi="Times New Roman" w:cs="Baskerville Old Face"/>
          <w:sz w:val="28"/>
          <w:szCs w:val="28"/>
        </w:rPr>
      </w:pPr>
      <w:r w:rsidRPr="00BC14F1">
        <w:rPr>
          <w:rFonts w:ascii="Times New Roman" w:eastAsia="Times New Roman" w:hAnsi="Times New Roman" w:cs="Baskerville Old Face"/>
          <w:sz w:val="28"/>
          <w:szCs w:val="28"/>
        </w:rPr>
        <w:t xml:space="preserve">Наблюдава  се приключване на дела в по-продължителен период от време, което се дължи на не своевременно изготвяне  и представяне на заключенията от експертите  по назначените им съдебни експертизи. </w:t>
      </w:r>
      <w:r w:rsidRPr="00BC14F1">
        <w:rPr>
          <w:rFonts w:ascii="Times New Roman" w:eastAsia="Times New Roman" w:hAnsi="Times New Roman" w:cs="Times New Roman"/>
          <w:sz w:val="28"/>
          <w:szCs w:val="28"/>
        </w:rPr>
        <w:t>По-голяма част от делата, разследвани в ОСлО при ОП Монтана са с фактическа и правна сложност,</w:t>
      </w:r>
      <w:r w:rsidRPr="00BC14F1">
        <w:rPr>
          <w:rFonts w:ascii="Times New Roman" w:eastAsia="Times New Roman" w:hAnsi="Times New Roman" w:cs="Baskerville Old Face"/>
          <w:sz w:val="28"/>
          <w:szCs w:val="28"/>
        </w:rPr>
        <w:t xml:space="preserve"> с по-голям обем  от  писмени доказателства, което забавя изготвянето им, както и приключването на същите в законоустановения двумесечен  срок. </w:t>
      </w:r>
    </w:p>
    <w:p w14:paraId="70E976D5" w14:textId="06548106" w:rsidR="00BC14F1" w:rsidRDefault="00BC14F1" w:rsidP="00BC14F1">
      <w:pPr>
        <w:spacing w:after="0" w:line="240" w:lineRule="auto"/>
        <w:ind w:firstLine="720"/>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През 202</w:t>
      </w:r>
      <w:r w:rsidR="00E10FBC">
        <w:rPr>
          <w:rFonts w:ascii="Times New Roman" w:eastAsia="Times New Roman" w:hAnsi="Times New Roman" w:cs="Times New Roman"/>
          <w:sz w:val="28"/>
          <w:szCs w:val="28"/>
        </w:rPr>
        <w:t>2</w:t>
      </w:r>
      <w:r w:rsidRPr="00BC14F1">
        <w:rPr>
          <w:rFonts w:ascii="Times New Roman" w:eastAsia="Times New Roman" w:hAnsi="Times New Roman" w:cs="Times New Roman"/>
          <w:sz w:val="28"/>
          <w:szCs w:val="28"/>
        </w:rPr>
        <w:t>г. от РП Лом с постановление за връщане за отстраняване на процесуално нарушение има върнати за допълнително разследване 2</w:t>
      </w:r>
      <w:r w:rsidR="00E10FBC">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броя досъдебни производства и на основание чл. 242,ал.2 от НПК, наблюдаващите прокурори  по делата  са  указали  в обстоятелствената част отстранимите съществени  нарушения  на процесуалните правила. Това говори  за  не добър ефективен труд от страна на следователите.</w:t>
      </w:r>
    </w:p>
    <w:p w14:paraId="543D7F82" w14:textId="77777777" w:rsidR="00E10FBC" w:rsidRPr="00E10FBC" w:rsidRDefault="00E10FBC" w:rsidP="00E10FBC">
      <w:pPr>
        <w:spacing w:after="0" w:line="240" w:lineRule="auto"/>
        <w:ind w:firstLine="720"/>
        <w:jc w:val="both"/>
        <w:rPr>
          <w:rFonts w:ascii="Times New Roman" w:eastAsia="Times New Roman" w:hAnsi="Times New Roman" w:cs="Times New Roman"/>
          <w:sz w:val="28"/>
          <w:szCs w:val="28"/>
        </w:rPr>
      </w:pPr>
      <w:r w:rsidRPr="00E10FBC">
        <w:rPr>
          <w:rFonts w:ascii="Times New Roman" w:eastAsia="Times New Roman" w:hAnsi="Times New Roman" w:cs="Times New Roman"/>
          <w:sz w:val="28"/>
          <w:szCs w:val="28"/>
        </w:rPr>
        <w:t xml:space="preserve">Анализирайки цифровите данни се налага извода, че през отчетната година се наблюдава намаление на общо приключените досъдебни производство, а от там и приключените средно дела на следовател поотделно.Намаление показват и приключените следствени дела с мнение за </w:t>
      </w:r>
      <w:r w:rsidRPr="00E10FBC">
        <w:rPr>
          <w:rFonts w:ascii="Times New Roman" w:eastAsia="Times New Roman" w:hAnsi="Times New Roman" w:cs="Times New Roman"/>
          <w:sz w:val="28"/>
          <w:szCs w:val="28"/>
        </w:rPr>
        <w:lastRenderedPageBreak/>
        <w:t>съд. Увеличение в пъти показват установените материални щети по приключените дела за престъпления в сферата на икономиката, които се характеризират с фактическа и правна сложност.</w:t>
      </w:r>
    </w:p>
    <w:p w14:paraId="56518793" w14:textId="77777777" w:rsidR="00E10FBC" w:rsidRPr="00E10FBC" w:rsidRDefault="00E10FBC" w:rsidP="00E10FBC">
      <w:pPr>
        <w:spacing w:after="0" w:line="240" w:lineRule="auto"/>
        <w:ind w:firstLine="708"/>
        <w:jc w:val="both"/>
        <w:rPr>
          <w:rFonts w:ascii="Times New Roman" w:eastAsia="Times New Roman" w:hAnsi="Times New Roman" w:cs="Baskerville Old Face"/>
          <w:sz w:val="28"/>
          <w:szCs w:val="28"/>
        </w:rPr>
      </w:pPr>
      <w:r w:rsidRPr="00E10FBC">
        <w:rPr>
          <w:rFonts w:ascii="Times New Roman" w:eastAsia="Times New Roman" w:hAnsi="Times New Roman" w:cs="Baskerville Old Face"/>
          <w:sz w:val="28"/>
          <w:szCs w:val="28"/>
        </w:rPr>
        <w:t xml:space="preserve">Наблюдава  се приключване на дела в по-продължителен период от време, което се дължи на не своевременно изготвяне  и представяне на заключенията от експертите  по назначените им съдебни експертизи. </w:t>
      </w:r>
      <w:r w:rsidRPr="00E10FBC">
        <w:rPr>
          <w:rFonts w:ascii="Times New Roman" w:eastAsia="Times New Roman" w:hAnsi="Times New Roman" w:cs="Times New Roman"/>
          <w:sz w:val="28"/>
          <w:szCs w:val="28"/>
        </w:rPr>
        <w:t>По-голяма част от делата, разследвани в ОСлО при ОП Монтана са с фактическа и правна сложност,</w:t>
      </w:r>
      <w:r w:rsidRPr="00E10FBC">
        <w:rPr>
          <w:rFonts w:ascii="Times New Roman" w:eastAsia="Times New Roman" w:hAnsi="Times New Roman" w:cs="Baskerville Old Face"/>
          <w:sz w:val="28"/>
          <w:szCs w:val="28"/>
        </w:rPr>
        <w:t xml:space="preserve"> с по-голям обем  от  писмени доказателства, което забавя изготвянето им, както и приключването на същите в законоустановения двумесечен  срок. </w:t>
      </w:r>
    </w:p>
    <w:p w14:paraId="10CAFB15" w14:textId="77777777" w:rsidR="00E10FBC" w:rsidRPr="00E10FBC" w:rsidRDefault="00E10FBC" w:rsidP="00E10FBC">
      <w:pPr>
        <w:spacing w:after="0" w:line="240" w:lineRule="auto"/>
        <w:ind w:firstLine="708"/>
        <w:jc w:val="both"/>
        <w:rPr>
          <w:rFonts w:ascii="Times New Roman" w:eastAsia="Times New Roman" w:hAnsi="Times New Roman" w:cs="Times New Roman"/>
          <w:sz w:val="28"/>
          <w:szCs w:val="28"/>
        </w:rPr>
      </w:pPr>
      <w:r w:rsidRPr="00E10FBC">
        <w:rPr>
          <w:rFonts w:ascii="Times New Roman" w:eastAsia="Times New Roman" w:hAnsi="Times New Roman" w:cs="Times New Roman"/>
          <w:sz w:val="28"/>
          <w:szCs w:val="28"/>
        </w:rPr>
        <w:t>Цифрите показват и влошаване на качеството на разследване по приключените дела, като за поредна година има върнати за допълнително разследване дела от съда и прокуратурата.</w:t>
      </w:r>
    </w:p>
    <w:p w14:paraId="560EFE96" w14:textId="77777777" w:rsidR="00E10FBC" w:rsidRPr="00E10FBC" w:rsidRDefault="00E10FBC" w:rsidP="00E10FBC">
      <w:pPr>
        <w:spacing w:after="0" w:line="240" w:lineRule="auto"/>
        <w:ind w:firstLine="708"/>
        <w:jc w:val="both"/>
        <w:rPr>
          <w:rFonts w:ascii="Times New Roman" w:eastAsia="Times New Roman" w:hAnsi="Times New Roman" w:cs="Times New Roman"/>
          <w:sz w:val="28"/>
          <w:szCs w:val="28"/>
        </w:rPr>
      </w:pPr>
      <w:r w:rsidRPr="00E10FBC">
        <w:rPr>
          <w:rFonts w:ascii="Times New Roman" w:eastAsia="Times New Roman" w:hAnsi="Times New Roman" w:cs="Times New Roman"/>
          <w:sz w:val="28"/>
          <w:szCs w:val="28"/>
        </w:rPr>
        <w:t xml:space="preserve">В процесът на работа е необходимо да се вземат мерки за подобряване  на  качеството и срочността на разследването  по досъдебните производства, възложени на следствения отдел. </w:t>
      </w:r>
    </w:p>
    <w:p w14:paraId="1849B5E8" w14:textId="77777777" w:rsidR="00E10FBC" w:rsidRPr="00E10FBC" w:rsidRDefault="00E10FBC" w:rsidP="00E10FBC">
      <w:pPr>
        <w:spacing w:after="0" w:line="240" w:lineRule="auto"/>
        <w:ind w:firstLine="708"/>
        <w:jc w:val="both"/>
        <w:rPr>
          <w:rFonts w:ascii="Times New Roman" w:eastAsia="Times New Roman" w:hAnsi="Times New Roman" w:cs="Times New Roman"/>
          <w:sz w:val="28"/>
          <w:szCs w:val="28"/>
        </w:rPr>
      </w:pPr>
      <w:r w:rsidRPr="00E10FBC">
        <w:rPr>
          <w:rFonts w:ascii="Times New Roman" w:eastAsia="Times New Roman" w:hAnsi="Times New Roman" w:cs="Times New Roman"/>
          <w:sz w:val="28"/>
          <w:szCs w:val="28"/>
        </w:rPr>
        <w:t xml:space="preserve">За постигане на това е нужно задълбочено познаване, непрекъснато обновяване и утвърждаване на действаща практика. </w:t>
      </w:r>
    </w:p>
    <w:p w14:paraId="5ED450F5" w14:textId="2CACD48A" w:rsidR="00E10FBC" w:rsidRPr="00E10FBC" w:rsidRDefault="00E10FBC" w:rsidP="00E10FBC">
      <w:pPr>
        <w:spacing w:after="0" w:line="240" w:lineRule="auto"/>
        <w:ind w:firstLine="720"/>
        <w:jc w:val="both"/>
        <w:rPr>
          <w:rFonts w:ascii="Times New Roman" w:eastAsia="Times New Roman" w:hAnsi="Times New Roman" w:cs="Times New Roman"/>
          <w:sz w:val="28"/>
          <w:szCs w:val="28"/>
        </w:rPr>
      </w:pPr>
      <w:r w:rsidRPr="00E10FBC">
        <w:rPr>
          <w:rFonts w:ascii="Times New Roman" w:eastAsia="Times New Roman" w:hAnsi="Times New Roman" w:cs="Times New Roman"/>
          <w:sz w:val="28"/>
          <w:szCs w:val="28"/>
        </w:rPr>
        <w:t xml:space="preserve">По този повод би трябвало се провеждат по-чести и продуктивни обучения на следователите от вътрешни лектори /от друг съдебен орган, НСлС/ или външен лектор, които да са от друга структура на следствените органи, с утвърдена и даваща резултати практика по съответен текст от НК. </w:t>
      </w:r>
    </w:p>
    <w:p w14:paraId="1232B261" w14:textId="77777777" w:rsidR="00E10FBC" w:rsidRPr="00E10FBC" w:rsidRDefault="00E10FBC" w:rsidP="00E10FBC">
      <w:pPr>
        <w:spacing w:after="0" w:line="240" w:lineRule="auto"/>
        <w:ind w:firstLine="720"/>
        <w:jc w:val="both"/>
        <w:rPr>
          <w:rFonts w:ascii="Times New Roman" w:eastAsia="Times New Roman" w:hAnsi="Times New Roman" w:cs="Times New Roman"/>
          <w:sz w:val="28"/>
          <w:szCs w:val="28"/>
        </w:rPr>
      </w:pPr>
      <w:r w:rsidRPr="00E10FBC">
        <w:rPr>
          <w:rFonts w:ascii="Times New Roman" w:eastAsia="Times New Roman" w:hAnsi="Times New Roman" w:cs="Times New Roman"/>
          <w:sz w:val="28"/>
          <w:szCs w:val="28"/>
        </w:rPr>
        <w:t xml:space="preserve">Това би довело до прилагане на еднаква съдебна практика в различните съдебни райони и повишаване ефективността на работата на следствените органи.  </w:t>
      </w:r>
    </w:p>
    <w:p w14:paraId="3DF1F1E1" w14:textId="44C98D5C" w:rsidR="00E10FBC" w:rsidRPr="00E10FBC" w:rsidRDefault="00E10FBC" w:rsidP="00E10FBC">
      <w:pPr>
        <w:spacing w:after="0" w:line="240" w:lineRule="auto"/>
        <w:jc w:val="both"/>
        <w:rPr>
          <w:rFonts w:ascii="Times New Roman" w:eastAsia="Times New Roman" w:hAnsi="Times New Roman" w:cs="Baskerville Old Face"/>
          <w:sz w:val="28"/>
          <w:szCs w:val="28"/>
        </w:rPr>
      </w:pPr>
      <w:r w:rsidRPr="00E10FBC">
        <w:rPr>
          <w:rFonts w:ascii="Times New Roman" w:eastAsia="Times New Roman" w:hAnsi="Times New Roman" w:cs="Baskerville Old Face"/>
          <w:sz w:val="28"/>
          <w:szCs w:val="28"/>
        </w:rPr>
        <w:tab/>
      </w:r>
      <w:r w:rsidR="00BE6428">
        <w:rPr>
          <w:rFonts w:ascii="Times New Roman" w:eastAsia="Times New Roman" w:hAnsi="Times New Roman" w:cs="Baskerville Old Face"/>
          <w:sz w:val="28"/>
          <w:szCs w:val="28"/>
        </w:rPr>
        <w:t>П</w:t>
      </w:r>
      <w:r w:rsidRPr="00E10FBC">
        <w:rPr>
          <w:rFonts w:ascii="Times New Roman" w:eastAsia="Times New Roman" w:hAnsi="Times New Roman" w:cs="Baskerville Old Face"/>
          <w:sz w:val="28"/>
          <w:szCs w:val="28"/>
        </w:rPr>
        <w:t>ри по-добра организация на работа, своевременно насрочване на процесуалните действия, взаимодействието с наблюдаващите прокурори да постигне значително подобряване на работата си, а от там и отчитане на по-добри резултати по основните показатели на следствената дейност за службата.</w:t>
      </w:r>
    </w:p>
    <w:p w14:paraId="50D29FB6" w14:textId="77777777" w:rsidR="00E10FBC" w:rsidRPr="00BC14F1" w:rsidRDefault="00E10FBC" w:rsidP="00BC14F1">
      <w:pPr>
        <w:spacing w:after="0" w:line="240" w:lineRule="auto"/>
        <w:ind w:firstLine="720"/>
        <w:jc w:val="both"/>
        <w:rPr>
          <w:rFonts w:ascii="Times New Roman" w:eastAsia="Times New Roman" w:hAnsi="Times New Roman" w:cs="Times New Roman"/>
          <w:sz w:val="28"/>
          <w:szCs w:val="28"/>
        </w:rPr>
      </w:pPr>
    </w:p>
    <w:p w14:paraId="25CCA9D0" w14:textId="77777777" w:rsidR="00F65234" w:rsidRPr="00F65234" w:rsidRDefault="00F65234" w:rsidP="00F65234">
      <w:pPr>
        <w:spacing w:after="0" w:line="240" w:lineRule="auto"/>
        <w:ind w:firstLine="709"/>
        <w:jc w:val="both"/>
        <w:rPr>
          <w:rFonts w:ascii="Times New Roman" w:eastAsia="Times New Roman" w:hAnsi="Times New Roman" w:cs="Times New Roman"/>
          <w:b/>
          <w:smallCaps/>
          <w:sz w:val="28"/>
          <w:szCs w:val="28"/>
          <w:lang w:val="en-US"/>
        </w:rPr>
      </w:pPr>
      <w:r w:rsidRPr="00F65234">
        <w:rPr>
          <w:rFonts w:ascii="Times New Roman" w:eastAsia="Times New Roman" w:hAnsi="Times New Roman" w:cs="Times New Roman"/>
          <w:b/>
          <w:smallCaps/>
          <w:sz w:val="28"/>
          <w:szCs w:val="28"/>
          <w:lang w:val="en-US" w:eastAsia="bg-BG"/>
        </w:rPr>
        <w:t xml:space="preserve">НАТОВАРЕНОСТ НА ПРОКУРАТУРИТЕ ПО </w:t>
      </w:r>
      <w:r w:rsidRPr="00F65234">
        <w:rPr>
          <w:rFonts w:ascii="Times New Roman" w:eastAsia="Times New Roman" w:hAnsi="Times New Roman" w:cs="Times New Roman"/>
          <w:b/>
          <w:smallCaps/>
          <w:sz w:val="28"/>
          <w:szCs w:val="28"/>
          <w:lang w:val="en-US"/>
        </w:rPr>
        <w:t>ПРАВИЛАТА ЗА ИЗМЕРВАНЕ НА НАТОВАРЕНОСТТА, ОДОБРЕНИ С ПРОТОКОЛ № 60/2014 Г. НА ВСС</w:t>
      </w:r>
    </w:p>
    <w:p w14:paraId="379B5A84"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rPr>
      </w:pPr>
    </w:p>
    <w:p w14:paraId="4FF271EC"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Правилата на ВСС за измерване на натовареността включват отчитане на работните дни през годината. За всяка прокуратура в региона са отчетени действително отработените дни, като стойностите са различни за всяка териториална единица.</w:t>
      </w:r>
    </w:p>
    <w:p w14:paraId="23095CA1"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Като цифрови стойности общият обем на прокурорската дейност, включващ прокурорска дейност (брой актове) и дейност по администриране, възлиза на 26766 единици. За сравнение – общият обем на натовареността по статистическа табл. 5 е 32609 бр. Разликата е 5843 броя в полза на показателите в табл. 5.</w:t>
      </w:r>
    </w:p>
    <w:p w14:paraId="39334390"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Сравнението при отделните прокуратури изглежда по следния начин по някои показатели:</w:t>
      </w:r>
    </w:p>
    <w:p w14:paraId="4EC7FB8F" w14:textId="77777777" w:rsidR="00F65234" w:rsidRPr="00F65234" w:rsidRDefault="00F65234" w:rsidP="00F65234">
      <w:pPr>
        <w:spacing w:after="0" w:line="240" w:lineRule="auto"/>
        <w:ind w:firstLine="709"/>
        <w:jc w:val="both"/>
        <w:rPr>
          <w:rFonts w:ascii="Times New Roman" w:eastAsia="Calibri" w:hAnsi="Times New Roman" w:cs="Times New Roman"/>
          <w:i/>
          <w:sz w:val="24"/>
          <w:szCs w:val="24"/>
          <w:u w:val="single"/>
        </w:rPr>
      </w:pPr>
      <w:r w:rsidRPr="00F65234">
        <w:rPr>
          <w:rFonts w:ascii="Times New Roman" w:eastAsia="Calibri" w:hAnsi="Times New Roman" w:cs="Times New Roman"/>
          <w:i/>
          <w:sz w:val="24"/>
          <w:szCs w:val="24"/>
          <w:u w:val="single"/>
        </w:rPr>
        <w:lastRenderedPageBreak/>
        <w:t>Общ обем на прокурорска дейност: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1205"/>
        <w:gridCol w:w="1204"/>
        <w:gridCol w:w="1205"/>
        <w:gridCol w:w="1204"/>
        <w:gridCol w:w="1205"/>
        <w:gridCol w:w="1205"/>
        <w:gridCol w:w="1205"/>
      </w:tblGrid>
      <w:tr w:rsidR="00F65234" w:rsidRPr="00F65234" w14:paraId="7FF2E958" w14:textId="77777777" w:rsidTr="00F65234">
        <w:tc>
          <w:tcPr>
            <w:tcW w:w="2409" w:type="dxa"/>
            <w:gridSpan w:val="2"/>
            <w:tcBorders>
              <w:top w:val="single" w:sz="4" w:space="0" w:color="auto"/>
              <w:left w:val="single" w:sz="4" w:space="0" w:color="auto"/>
              <w:bottom w:val="single" w:sz="4" w:space="0" w:color="auto"/>
              <w:right w:val="single" w:sz="4" w:space="0" w:color="auto"/>
            </w:tcBorders>
            <w:hideMark/>
          </w:tcPr>
          <w:p w14:paraId="690A7D3B" w14:textId="77777777" w:rsidR="00F65234" w:rsidRPr="00F65234" w:rsidRDefault="00F65234" w:rsidP="00F65234">
            <w:pPr>
              <w:spacing w:after="0" w:line="240" w:lineRule="auto"/>
              <w:ind w:firstLine="709"/>
              <w:jc w:val="both"/>
              <w:rPr>
                <w:rFonts w:ascii="Times New Roman" w:eastAsia="Calibri" w:hAnsi="Times New Roman" w:cs="Times New Roman"/>
                <w:sz w:val="24"/>
                <w:szCs w:val="24"/>
              </w:rPr>
            </w:pPr>
            <w:r w:rsidRPr="00F65234">
              <w:rPr>
                <w:rFonts w:ascii="Times New Roman" w:eastAsia="Calibri" w:hAnsi="Times New Roman" w:cs="Times New Roman"/>
                <w:sz w:val="24"/>
                <w:szCs w:val="24"/>
              </w:rPr>
              <w:t>ОП Монтана</w:t>
            </w:r>
          </w:p>
        </w:tc>
        <w:tc>
          <w:tcPr>
            <w:tcW w:w="2409" w:type="dxa"/>
            <w:gridSpan w:val="2"/>
            <w:tcBorders>
              <w:top w:val="single" w:sz="4" w:space="0" w:color="auto"/>
              <w:left w:val="single" w:sz="4" w:space="0" w:color="auto"/>
              <w:bottom w:val="single" w:sz="4" w:space="0" w:color="auto"/>
              <w:right w:val="single" w:sz="4" w:space="0" w:color="auto"/>
            </w:tcBorders>
            <w:hideMark/>
          </w:tcPr>
          <w:p w14:paraId="527329EF" w14:textId="77777777" w:rsidR="00F65234" w:rsidRPr="00F65234" w:rsidRDefault="00F65234" w:rsidP="00F65234">
            <w:pPr>
              <w:spacing w:after="0" w:line="240" w:lineRule="auto"/>
              <w:ind w:firstLine="709"/>
              <w:jc w:val="both"/>
              <w:rPr>
                <w:rFonts w:ascii="Times New Roman" w:eastAsia="Calibri" w:hAnsi="Times New Roman" w:cs="Times New Roman"/>
                <w:sz w:val="24"/>
                <w:szCs w:val="24"/>
              </w:rPr>
            </w:pPr>
            <w:r w:rsidRPr="00F65234">
              <w:rPr>
                <w:rFonts w:ascii="Times New Roman" w:eastAsia="Calibri" w:hAnsi="Times New Roman" w:cs="Times New Roman"/>
                <w:sz w:val="24"/>
                <w:szCs w:val="24"/>
              </w:rPr>
              <w:t>РП Монтана</w:t>
            </w:r>
          </w:p>
        </w:tc>
        <w:tc>
          <w:tcPr>
            <w:tcW w:w="2409" w:type="dxa"/>
            <w:gridSpan w:val="2"/>
            <w:tcBorders>
              <w:top w:val="single" w:sz="4" w:space="0" w:color="auto"/>
              <w:left w:val="single" w:sz="4" w:space="0" w:color="auto"/>
              <w:bottom w:val="single" w:sz="4" w:space="0" w:color="auto"/>
              <w:right w:val="single" w:sz="4" w:space="0" w:color="auto"/>
            </w:tcBorders>
            <w:hideMark/>
          </w:tcPr>
          <w:p w14:paraId="271C8613" w14:textId="77777777" w:rsidR="00F65234" w:rsidRPr="00F65234" w:rsidRDefault="00F65234" w:rsidP="00F65234">
            <w:pPr>
              <w:spacing w:after="0" w:line="240" w:lineRule="auto"/>
              <w:ind w:firstLine="709"/>
              <w:jc w:val="both"/>
              <w:rPr>
                <w:rFonts w:ascii="Times New Roman" w:eastAsia="Calibri" w:hAnsi="Times New Roman" w:cs="Times New Roman"/>
                <w:sz w:val="24"/>
                <w:szCs w:val="24"/>
              </w:rPr>
            </w:pPr>
            <w:r w:rsidRPr="00F65234">
              <w:rPr>
                <w:rFonts w:ascii="Times New Roman" w:eastAsia="Calibri" w:hAnsi="Times New Roman" w:cs="Times New Roman"/>
                <w:sz w:val="24"/>
                <w:szCs w:val="24"/>
              </w:rPr>
              <w:t>РП Лом</w:t>
            </w:r>
          </w:p>
        </w:tc>
        <w:tc>
          <w:tcPr>
            <w:tcW w:w="2410" w:type="dxa"/>
            <w:gridSpan w:val="2"/>
            <w:tcBorders>
              <w:top w:val="single" w:sz="4" w:space="0" w:color="auto"/>
              <w:left w:val="single" w:sz="4" w:space="0" w:color="auto"/>
              <w:bottom w:val="single" w:sz="4" w:space="0" w:color="auto"/>
              <w:right w:val="single" w:sz="4" w:space="0" w:color="auto"/>
            </w:tcBorders>
            <w:hideMark/>
          </w:tcPr>
          <w:p w14:paraId="0C504EFD" w14:textId="77777777" w:rsidR="00F65234" w:rsidRPr="00F65234" w:rsidRDefault="00F65234" w:rsidP="00F65234">
            <w:pPr>
              <w:spacing w:after="0" w:line="240" w:lineRule="auto"/>
              <w:ind w:firstLine="709"/>
              <w:jc w:val="both"/>
              <w:rPr>
                <w:rFonts w:ascii="Times New Roman" w:eastAsia="Calibri" w:hAnsi="Times New Roman" w:cs="Times New Roman"/>
                <w:sz w:val="24"/>
                <w:szCs w:val="24"/>
              </w:rPr>
            </w:pPr>
            <w:r w:rsidRPr="00F65234">
              <w:rPr>
                <w:rFonts w:ascii="Times New Roman" w:eastAsia="Calibri" w:hAnsi="Times New Roman" w:cs="Times New Roman"/>
                <w:sz w:val="24"/>
                <w:szCs w:val="24"/>
              </w:rPr>
              <w:t>РП Берковица</w:t>
            </w:r>
          </w:p>
        </w:tc>
      </w:tr>
      <w:tr w:rsidR="00F65234" w:rsidRPr="00F65234" w14:paraId="3E827220" w14:textId="77777777" w:rsidTr="00F65234">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24EEBFF8" w14:textId="77777777" w:rsidR="00F65234" w:rsidRPr="00F65234" w:rsidRDefault="00F65234" w:rsidP="00F65234">
            <w:pPr>
              <w:spacing w:after="0" w:line="240" w:lineRule="auto"/>
              <w:jc w:val="both"/>
              <w:rPr>
                <w:rFonts w:ascii="Times New Roman" w:eastAsia="Calibri" w:hAnsi="Times New Roman" w:cs="Times New Roman"/>
                <w:sz w:val="24"/>
                <w:szCs w:val="24"/>
              </w:rPr>
            </w:pPr>
            <w:r w:rsidRPr="00F65234">
              <w:rPr>
                <w:rFonts w:ascii="Times New Roman" w:eastAsia="Calibri" w:hAnsi="Times New Roman" w:cs="Times New Roman"/>
                <w:sz w:val="24"/>
                <w:szCs w:val="24"/>
              </w:rPr>
              <w:t>Табл. 5</w:t>
            </w:r>
          </w:p>
        </w:tc>
        <w:tc>
          <w:tcPr>
            <w:tcW w:w="1205" w:type="dxa"/>
            <w:tcBorders>
              <w:top w:val="single" w:sz="4" w:space="0" w:color="auto"/>
              <w:left w:val="single" w:sz="4" w:space="0" w:color="auto"/>
              <w:bottom w:val="single" w:sz="4" w:space="0" w:color="auto"/>
              <w:right w:val="single" w:sz="4" w:space="0" w:color="auto"/>
            </w:tcBorders>
            <w:hideMark/>
          </w:tcPr>
          <w:p w14:paraId="76474F41" w14:textId="77777777" w:rsidR="00F65234" w:rsidRPr="00F65234" w:rsidRDefault="00F65234" w:rsidP="00F65234">
            <w:pPr>
              <w:spacing w:after="0" w:line="240" w:lineRule="auto"/>
              <w:jc w:val="both"/>
              <w:rPr>
                <w:rFonts w:ascii="Times New Roman" w:eastAsia="Calibri" w:hAnsi="Times New Roman" w:cs="Times New Roman"/>
                <w:sz w:val="24"/>
                <w:szCs w:val="24"/>
              </w:rPr>
            </w:pPr>
            <w:r w:rsidRPr="00F65234">
              <w:rPr>
                <w:rFonts w:ascii="Times New Roman" w:eastAsia="Calibri" w:hAnsi="Times New Roman" w:cs="Times New Roman"/>
                <w:sz w:val="24"/>
                <w:szCs w:val="24"/>
              </w:rPr>
              <w:t>На ВСС</w:t>
            </w:r>
          </w:p>
        </w:tc>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28B8595D" w14:textId="77777777" w:rsidR="00F65234" w:rsidRPr="00F65234" w:rsidRDefault="00F65234" w:rsidP="00F65234">
            <w:pPr>
              <w:spacing w:after="0" w:line="240" w:lineRule="auto"/>
              <w:jc w:val="both"/>
              <w:rPr>
                <w:rFonts w:ascii="Times New Roman" w:eastAsia="Calibri" w:hAnsi="Times New Roman" w:cs="Times New Roman"/>
                <w:sz w:val="24"/>
                <w:szCs w:val="24"/>
              </w:rPr>
            </w:pPr>
            <w:r w:rsidRPr="00F65234">
              <w:rPr>
                <w:rFonts w:ascii="Times New Roman" w:eastAsia="Calibri" w:hAnsi="Times New Roman" w:cs="Times New Roman"/>
                <w:sz w:val="24"/>
                <w:szCs w:val="24"/>
              </w:rPr>
              <w:t>Табл. 5</w:t>
            </w:r>
          </w:p>
        </w:tc>
        <w:tc>
          <w:tcPr>
            <w:tcW w:w="1205" w:type="dxa"/>
            <w:tcBorders>
              <w:top w:val="single" w:sz="4" w:space="0" w:color="auto"/>
              <w:left w:val="single" w:sz="4" w:space="0" w:color="auto"/>
              <w:bottom w:val="single" w:sz="4" w:space="0" w:color="auto"/>
              <w:right w:val="single" w:sz="4" w:space="0" w:color="auto"/>
            </w:tcBorders>
            <w:hideMark/>
          </w:tcPr>
          <w:p w14:paraId="43491C3A" w14:textId="77777777" w:rsidR="00F65234" w:rsidRPr="00F65234" w:rsidRDefault="00F65234" w:rsidP="00F65234">
            <w:pPr>
              <w:spacing w:after="0" w:line="240" w:lineRule="auto"/>
              <w:jc w:val="both"/>
              <w:rPr>
                <w:rFonts w:ascii="Times New Roman" w:eastAsia="Calibri" w:hAnsi="Times New Roman" w:cs="Times New Roman"/>
                <w:sz w:val="24"/>
                <w:szCs w:val="24"/>
              </w:rPr>
            </w:pPr>
            <w:r w:rsidRPr="00F65234">
              <w:rPr>
                <w:rFonts w:ascii="Times New Roman" w:eastAsia="Calibri" w:hAnsi="Times New Roman" w:cs="Times New Roman"/>
                <w:sz w:val="24"/>
                <w:szCs w:val="24"/>
              </w:rPr>
              <w:t>На ВСС</w:t>
            </w:r>
          </w:p>
        </w:tc>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66CCB5EF" w14:textId="77777777" w:rsidR="00F65234" w:rsidRPr="00F65234" w:rsidRDefault="00F65234" w:rsidP="00F65234">
            <w:pPr>
              <w:spacing w:after="0" w:line="240" w:lineRule="auto"/>
              <w:jc w:val="both"/>
              <w:rPr>
                <w:rFonts w:ascii="Times New Roman" w:eastAsia="Calibri" w:hAnsi="Times New Roman" w:cs="Times New Roman"/>
                <w:sz w:val="24"/>
                <w:szCs w:val="24"/>
              </w:rPr>
            </w:pPr>
            <w:r w:rsidRPr="00F65234">
              <w:rPr>
                <w:rFonts w:ascii="Times New Roman" w:eastAsia="Calibri" w:hAnsi="Times New Roman" w:cs="Times New Roman"/>
                <w:sz w:val="24"/>
                <w:szCs w:val="24"/>
              </w:rPr>
              <w:t>Табл. 5</w:t>
            </w:r>
          </w:p>
        </w:tc>
        <w:tc>
          <w:tcPr>
            <w:tcW w:w="1205" w:type="dxa"/>
            <w:tcBorders>
              <w:top w:val="single" w:sz="4" w:space="0" w:color="auto"/>
              <w:left w:val="single" w:sz="4" w:space="0" w:color="auto"/>
              <w:bottom w:val="single" w:sz="4" w:space="0" w:color="auto"/>
              <w:right w:val="single" w:sz="4" w:space="0" w:color="auto"/>
            </w:tcBorders>
            <w:hideMark/>
          </w:tcPr>
          <w:p w14:paraId="566C7BFF" w14:textId="77777777" w:rsidR="00F65234" w:rsidRPr="00F65234" w:rsidRDefault="00F65234" w:rsidP="00F65234">
            <w:pPr>
              <w:spacing w:after="0" w:line="240" w:lineRule="auto"/>
              <w:jc w:val="both"/>
              <w:rPr>
                <w:rFonts w:ascii="Times New Roman" w:eastAsia="Calibri" w:hAnsi="Times New Roman" w:cs="Times New Roman"/>
                <w:sz w:val="24"/>
                <w:szCs w:val="24"/>
              </w:rPr>
            </w:pPr>
            <w:r w:rsidRPr="00F65234">
              <w:rPr>
                <w:rFonts w:ascii="Times New Roman" w:eastAsia="Calibri" w:hAnsi="Times New Roman" w:cs="Times New Roman"/>
                <w:sz w:val="24"/>
                <w:szCs w:val="24"/>
              </w:rPr>
              <w:t>На ВСС</w:t>
            </w:r>
          </w:p>
        </w:tc>
        <w:tc>
          <w:tcPr>
            <w:tcW w:w="1205" w:type="dxa"/>
            <w:tcBorders>
              <w:top w:val="single" w:sz="4" w:space="0" w:color="auto"/>
              <w:left w:val="single" w:sz="4" w:space="0" w:color="auto"/>
              <w:bottom w:val="single" w:sz="4" w:space="0" w:color="auto"/>
              <w:right w:val="single" w:sz="4" w:space="0" w:color="auto"/>
            </w:tcBorders>
            <w:shd w:val="clear" w:color="auto" w:fill="D9D9D9"/>
            <w:hideMark/>
          </w:tcPr>
          <w:p w14:paraId="1ADDCE3D" w14:textId="77777777" w:rsidR="00F65234" w:rsidRPr="00F65234" w:rsidRDefault="00F65234" w:rsidP="00F65234">
            <w:pPr>
              <w:spacing w:after="0" w:line="240" w:lineRule="auto"/>
              <w:jc w:val="both"/>
              <w:rPr>
                <w:rFonts w:ascii="Times New Roman" w:eastAsia="Calibri" w:hAnsi="Times New Roman" w:cs="Times New Roman"/>
                <w:sz w:val="24"/>
                <w:szCs w:val="24"/>
              </w:rPr>
            </w:pPr>
            <w:r w:rsidRPr="00F65234">
              <w:rPr>
                <w:rFonts w:ascii="Times New Roman" w:eastAsia="Calibri" w:hAnsi="Times New Roman" w:cs="Times New Roman"/>
                <w:sz w:val="24"/>
                <w:szCs w:val="24"/>
              </w:rPr>
              <w:t>Табл. 5</w:t>
            </w:r>
          </w:p>
        </w:tc>
        <w:tc>
          <w:tcPr>
            <w:tcW w:w="1205" w:type="dxa"/>
            <w:tcBorders>
              <w:top w:val="single" w:sz="4" w:space="0" w:color="auto"/>
              <w:left w:val="single" w:sz="4" w:space="0" w:color="auto"/>
              <w:bottom w:val="single" w:sz="4" w:space="0" w:color="auto"/>
              <w:right w:val="single" w:sz="4" w:space="0" w:color="auto"/>
            </w:tcBorders>
            <w:hideMark/>
          </w:tcPr>
          <w:p w14:paraId="4A3DC384" w14:textId="77777777" w:rsidR="00F65234" w:rsidRPr="00F65234" w:rsidRDefault="00F65234" w:rsidP="00F65234">
            <w:pPr>
              <w:spacing w:after="0" w:line="240" w:lineRule="auto"/>
              <w:jc w:val="both"/>
              <w:rPr>
                <w:rFonts w:ascii="Times New Roman" w:eastAsia="Calibri" w:hAnsi="Times New Roman" w:cs="Times New Roman"/>
                <w:sz w:val="24"/>
                <w:szCs w:val="24"/>
              </w:rPr>
            </w:pPr>
            <w:r w:rsidRPr="00F65234">
              <w:rPr>
                <w:rFonts w:ascii="Times New Roman" w:eastAsia="Calibri" w:hAnsi="Times New Roman" w:cs="Times New Roman"/>
                <w:sz w:val="24"/>
                <w:szCs w:val="24"/>
              </w:rPr>
              <w:t>На ВСС</w:t>
            </w:r>
          </w:p>
        </w:tc>
      </w:tr>
      <w:tr w:rsidR="00F65234" w:rsidRPr="00F65234" w14:paraId="7F24BBB4" w14:textId="77777777" w:rsidTr="00F65234">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2D6100EE" w14:textId="77777777" w:rsidR="00F65234" w:rsidRPr="00F65234" w:rsidRDefault="00F65234" w:rsidP="00F65234">
            <w:pPr>
              <w:spacing w:after="0" w:line="240" w:lineRule="auto"/>
              <w:jc w:val="both"/>
              <w:rPr>
                <w:rFonts w:ascii="Times New Roman" w:eastAsia="Calibri" w:hAnsi="Times New Roman" w:cs="Times New Roman"/>
                <w:b/>
                <w:sz w:val="24"/>
                <w:szCs w:val="24"/>
              </w:rPr>
            </w:pPr>
            <w:r w:rsidRPr="00F65234">
              <w:rPr>
                <w:rFonts w:ascii="Times New Roman" w:eastAsia="Calibri" w:hAnsi="Times New Roman" w:cs="Times New Roman"/>
                <w:b/>
                <w:sz w:val="24"/>
                <w:szCs w:val="24"/>
              </w:rPr>
              <w:t>6229</w:t>
            </w:r>
          </w:p>
        </w:tc>
        <w:tc>
          <w:tcPr>
            <w:tcW w:w="1205" w:type="dxa"/>
            <w:tcBorders>
              <w:top w:val="single" w:sz="4" w:space="0" w:color="auto"/>
              <w:left w:val="single" w:sz="4" w:space="0" w:color="auto"/>
              <w:bottom w:val="single" w:sz="4" w:space="0" w:color="auto"/>
              <w:right w:val="single" w:sz="4" w:space="0" w:color="auto"/>
            </w:tcBorders>
            <w:hideMark/>
          </w:tcPr>
          <w:p w14:paraId="7D6D72FD" w14:textId="77777777" w:rsidR="00F65234" w:rsidRPr="00F65234" w:rsidRDefault="00F65234" w:rsidP="00F65234">
            <w:pPr>
              <w:spacing w:after="0" w:line="240" w:lineRule="auto"/>
              <w:jc w:val="both"/>
              <w:rPr>
                <w:rFonts w:ascii="Times New Roman" w:eastAsia="Calibri" w:hAnsi="Times New Roman" w:cs="Times New Roman"/>
                <w:b/>
                <w:sz w:val="24"/>
                <w:szCs w:val="24"/>
              </w:rPr>
            </w:pPr>
            <w:r w:rsidRPr="00F65234">
              <w:rPr>
                <w:rFonts w:ascii="Times New Roman" w:eastAsia="Calibri" w:hAnsi="Times New Roman" w:cs="Times New Roman"/>
                <w:b/>
                <w:sz w:val="24"/>
                <w:szCs w:val="24"/>
              </w:rPr>
              <w:t>4176</w:t>
            </w:r>
          </w:p>
        </w:tc>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6AE14D84" w14:textId="77777777" w:rsidR="00F65234" w:rsidRPr="00F65234" w:rsidRDefault="00F65234" w:rsidP="00F65234">
            <w:pPr>
              <w:spacing w:after="0" w:line="240" w:lineRule="auto"/>
              <w:jc w:val="both"/>
              <w:rPr>
                <w:rFonts w:ascii="Times New Roman" w:eastAsia="Calibri" w:hAnsi="Times New Roman" w:cs="Times New Roman"/>
                <w:b/>
                <w:sz w:val="24"/>
                <w:szCs w:val="24"/>
              </w:rPr>
            </w:pPr>
            <w:r w:rsidRPr="00F65234">
              <w:rPr>
                <w:rFonts w:ascii="Times New Roman" w:eastAsia="Calibri" w:hAnsi="Times New Roman" w:cs="Times New Roman"/>
                <w:b/>
                <w:sz w:val="24"/>
                <w:szCs w:val="24"/>
              </w:rPr>
              <w:t>24353</w:t>
            </w:r>
          </w:p>
        </w:tc>
        <w:tc>
          <w:tcPr>
            <w:tcW w:w="1205" w:type="dxa"/>
            <w:tcBorders>
              <w:top w:val="single" w:sz="4" w:space="0" w:color="auto"/>
              <w:left w:val="single" w:sz="4" w:space="0" w:color="auto"/>
              <w:bottom w:val="single" w:sz="4" w:space="0" w:color="auto"/>
              <w:right w:val="single" w:sz="4" w:space="0" w:color="auto"/>
            </w:tcBorders>
            <w:hideMark/>
          </w:tcPr>
          <w:p w14:paraId="6067B9A9" w14:textId="77777777" w:rsidR="00F65234" w:rsidRPr="00F65234" w:rsidRDefault="00F65234" w:rsidP="00F65234">
            <w:pPr>
              <w:spacing w:after="0" w:line="240" w:lineRule="auto"/>
              <w:jc w:val="both"/>
              <w:rPr>
                <w:rFonts w:ascii="Times New Roman" w:eastAsia="Calibri" w:hAnsi="Times New Roman" w:cs="Times New Roman"/>
                <w:b/>
                <w:sz w:val="24"/>
                <w:szCs w:val="24"/>
              </w:rPr>
            </w:pPr>
            <w:r w:rsidRPr="00F65234">
              <w:rPr>
                <w:rFonts w:ascii="Times New Roman" w:eastAsia="Calibri" w:hAnsi="Times New Roman" w:cs="Times New Roman"/>
                <w:b/>
                <w:sz w:val="24"/>
                <w:szCs w:val="24"/>
              </w:rPr>
              <w:t>22858</w:t>
            </w:r>
          </w:p>
        </w:tc>
        <w:tc>
          <w:tcPr>
            <w:tcW w:w="1204" w:type="dxa"/>
            <w:tcBorders>
              <w:top w:val="single" w:sz="4" w:space="0" w:color="auto"/>
              <w:left w:val="single" w:sz="4" w:space="0" w:color="auto"/>
              <w:bottom w:val="single" w:sz="4" w:space="0" w:color="auto"/>
              <w:right w:val="single" w:sz="4" w:space="0" w:color="auto"/>
            </w:tcBorders>
            <w:shd w:val="clear" w:color="auto" w:fill="D9D9D9"/>
          </w:tcPr>
          <w:p w14:paraId="064A7A37" w14:textId="77777777" w:rsidR="00F65234" w:rsidRPr="00F65234" w:rsidRDefault="00F65234" w:rsidP="00F65234">
            <w:pPr>
              <w:spacing w:after="0" w:line="240" w:lineRule="auto"/>
              <w:jc w:val="both"/>
              <w:rPr>
                <w:rFonts w:ascii="Times New Roman" w:eastAsia="Calibri" w:hAnsi="Times New Roman" w:cs="Times New Roman"/>
                <w:b/>
                <w:sz w:val="24"/>
                <w:szCs w:val="24"/>
              </w:rPr>
            </w:pPr>
          </w:p>
        </w:tc>
        <w:tc>
          <w:tcPr>
            <w:tcW w:w="1205" w:type="dxa"/>
            <w:tcBorders>
              <w:top w:val="single" w:sz="4" w:space="0" w:color="auto"/>
              <w:left w:val="single" w:sz="4" w:space="0" w:color="auto"/>
              <w:bottom w:val="single" w:sz="4" w:space="0" w:color="auto"/>
              <w:right w:val="single" w:sz="4" w:space="0" w:color="auto"/>
            </w:tcBorders>
          </w:tcPr>
          <w:p w14:paraId="723F4015" w14:textId="77777777" w:rsidR="00F65234" w:rsidRPr="00F65234" w:rsidRDefault="00F65234" w:rsidP="00F65234">
            <w:pPr>
              <w:spacing w:after="0" w:line="240" w:lineRule="auto"/>
              <w:jc w:val="both"/>
              <w:rPr>
                <w:rFonts w:ascii="Times New Roman" w:eastAsia="Calibri" w:hAnsi="Times New Roman" w:cs="Times New Roman"/>
                <w:b/>
                <w:sz w:val="24"/>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D9D9D9"/>
          </w:tcPr>
          <w:p w14:paraId="7F8A56FE" w14:textId="77777777" w:rsidR="00F65234" w:rsidRPr="00F65234" w:rsidRDefault="00F65234" w:rsidP="00F65234">
            <w:pPr>
              <w:spacing w:after="0" w:line="240" w:lineRule="auto"/>
              <w:jc w:val="both"/>
              <w:rPr>
                <w:rFonts w:ascii="Times New Roman" w:eastAsia="Calibri" w:hAnsi="Times New Roman" w:cs="Times New Roman"/>
                <w:b/>
                <w:sz w:val="24"/>
                <w:szCs w:val="24"/>
              </w:rPr>
            </w:pPr>
          </w:p>
        </w:tc>
        <w:tc>
          <w:tcPr>
            <w:tcW w:w="1205" w:type="dxa"/>
            <w:tcBorders>
              <w:top w:val="single" w:sz="4" w:space="0" w:color="auto"/>
              <w:left w:val="single" w:sz="4" w:space="0" w:color="auto"/>
              <w:bottom w:val="single" w:sz="4" w:space="0" w:color="auto"/>
              <w:right w:val="single" w:sz="4" w:space="0" w:color="auto"/>
            </w:tcBorders>
          </w:tcPr>
          <w:p w14:paraId="793847BB" w14:textId="77777777" w:rsidR="00F65234" w:rsidRPr="00F65234" w:rsidRDefault="00F65234" w:rsidP="00F65234">
            <w:pPr>
              <w:spacing w:after="0" w:line="240" w:lineRule="auto"/>
              <w:jc w:val="both"/>
              <w:rPr>
                <w:rFonts w:ascii="Times New Roman" w:eastAsia="Calibri" w:hAnsi="Times New Roman" w:cs="Times New Roman"/>
                <w:b/>
                <w:sz w:val="24"/>
                <w:szCs w:val="24"/>
              </w:rPr>
            </w:pPr>
          </w:p>
        </w:tc>
      </w:tr>
    </w:tbl>
    <w:p w14:paraId="3F41E273"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rPr>
      </w:pPr>
    </w:p>
    <w:p w14:paraId="5D992B92"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От тази таблица може да се направи извод, че за всички прокуратури е налице драстична разлика между актуализираната натовареност в табл. 5 и натовареността по Правилата на ВСС, като натовареността в статистическите таблици е значително по-висока от отчетената по Правилата;</w:t>
      </w:r>
    </w:p>
    <w:p w14:paraId="5829590D" w14:textId="77777777" w:rsidR="00F65234" w:rsidRPr="00F65234" w:rsidRDefault="00F65234" w:rsidP="00F65234">
      <w:pPr>
        <w:spacing w:after="0" w:line="240" w:lineRule="auto"/>
        <w:ind w:firstLine="709"/>
        <w:jc w:val="both"/>
        <w:rPr>
          <w:rFonts w:ascii="Times New Roman" w:eastAsia="Calibri" w:hAnsi="Times New Roman" w:cs="Times New Roman"/>
          <w:color w:val="FF0000"/>
          <w:sz w:val="28"/>
          <w:szCs w:val="28"/>
        </w:rPr>
      </w:pPr>
    </w:p>
    <w:p w14:paraId="454A3FD5" w14:textId="77777777" w:rsidR="00F65234" w:rsidRPr="00F65234" w:rsidRDefault="00F65234" w:rsidP="00F65234">
      <w:pPr>
        <w:spacing w:after="0" w:line="240" w:lineRule="auto"/>
        <w:ind w:firstLine="709"/>
        <w:jc w:val="both"/>
        <w:rPr>
          <w:rFonts w:ascii="Times New Roman" w:eastAsia="Calibri" w:hAnsi="Times New Roman" w:cs="Times New Roman"/>
          <w:i/>
          <w:sz w:val="28"/>
          <w:szCs w:val="28"/>
          <w:u w:val="single"/>
        </w:rPr>
      </w:pPr>
      <w:r w:rsidRPr="00F65234">
        <w:rPr>
          <w:rFonts w:ascii="Times New Roman" w:eastAsia="Calibri" w:hAnsi="Times New Roman" w:cs="Times New Roman"/>
          <w:i/>
          <w:sz w:val="28"/>
          <w:szCs w:val="28"/>
          <w:u w:val="single"/>
        </w:rPr>
        <w:t>Обем по постановени актове по следствения надзор: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1205"/>
        <w:gridCol w:w="1204"/>
        <w:gridCol w:w="1205"/>
      </w:tblGrid>
      <w:tr w:rsidR="00C83687" w:rsidRPr="00F65234" w14:paraId="14E45D86" w14:textId="77777777" w:rsidTr="00C83687">
        <w:tc>
          <w:tcPr>
            <w:tcW w:w="2409" w:type="dxa"/>
            <w:gridSpan w:val="2"/>
            <w:tcBorders>
              <w:top w:val="single" w:sz="4" w:space="0" w:color="auto"/>
              <w:left w:val="single" w:sz="4" w:space="0" w:color="auto"/>
              <w:bottom w:val="single" w:sz="4" w:space="0" w:color="auto"/>
              <w:right w:val="single" w:sz="4" w:space="0" w:color="auto"/>
            </w:tcBorders>
            <w:hideMark/>
          </w:tcPr>
          <w:p w14:paraId="4C7FAEBC" w14:textId="77777777" w:rsidR="00C83687" w:rsidRPr="00F65234" w:rsidRDefault="00C83687" w:rsidP="00F65234">
            <w:pPr>
              <w:spacing w:after="0" w:line="240" w:lineRule="auto"/>
              <w:rPr>
                <w:rFonts w:ascii="Times New Roman" w:eastAsia="Calibri" w:hAnsi="Times New Roman" w:cs="Times New Roman"/>
                <w:b/>
                <w:sz w:val="28"/>
                <w:szCs w:val="28"/>
              </w:rPr>
            </w:pPr>
            <w:r w:rsidRPr="00F65234">
              <w:rPr>
                <w:rFonts w:ascii="Times New Roman" w:eastAsia="Calibri" w:hAnsi="Times New Roman" w:cs="Times New Roman"/>
                <w:b/>
                <w:sz w:val="28"/>
                <w:szCs w:val="28"/>
              </w:rPr>
              <w:t>ОП Монтана</w:t>
            </w:r>
          </w:p>
        </w:tc>
        <w:tc>
          <w:tcPr>
            <w:tcW w:w="2409" w:type="dxa"/>
            <w:gridSpan w:val="2"/>
            <w:tcBorders>
              <w:top w:val="single" w:sz="4" w:space="0" w:color="auto"/>
              <w:left w:val="single" w:sz="4" w:space="0" w:color="auto"/>
              <w:bottom w:val="single" w:sz="4" w:space="0" w:color="auto"/>
              <w:right w:val="single" w:sz="4" w:space="0" w:color="auto"/>
            </w:tcBorders>
            <w:hideMark/>
          </w:tcPr>
          <w:p w14:paraId="595F52C3" w14:textId="77777777" w:rsidR="00C83687" w:rsidRPr="00F65234" w:rsidRDefault="00C83687" w:rsidP="00F65234">
            <w:pPr>
              <w:spacing w:after="0" w:line="240" w:lineRule="auto"/>
              <w:jc w:val="both"/>
              <w:rPr>
                <w:rFonts w:ascii="Times New Roman" w:eastAsia="Calibri" w:hAnsi="Times New Roman" w:cs="Times New Roman"/>
                <w:b/>
                <w:sz w:val="28"/>
                <w:szCs w:val="28"/>
              </w:rPr>
            </w:pPr>
            <w:r w:rsidRPr="00F65234">
              <w:rPr>
                <w:rFonts w:ascii="Times New Roman" w:eastAsia="Calibri" w:hAnsi="Times New Roman" w:cs="Times New Roman"/>
                <w:b/>
                <w:sz w:val="28"/>
                <w:szCs w:val="28"/>
              </w:rPr>
              <w:t>РП Монтана</w:t>
            </w:r>
          </w:p>
        </w:tc>
      </w:tr>
      <w:tr w:rsidR="00C83687" w:rsidRPr="00F65234" w14:paraId="4AC12342" w14:textId="77777777" w:rsidTr="00C83687">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17E48DDD" w14:textId="77777777" w:rsidR="00C83687" w:rsidRPr="00F65234" w:rsidRDefault="00C83687" w:rsidP="00F65234">
            <w:pPr>
              <w:spacing w:after="0" w:line="240" w:lineRule="auto"/>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Табл. 5</w:t>
            </w:r>
          </w:p>
        </w:tc>
        <w:tc>
          <w:tcPr>
            <w:tcW w:w="1205" w:type="dxa"/>
            <w:tcBorders>
              <w:top w:val="single" w:sz="4" w:space="0" w:color="auto"/>
              <w:left w:val="single" w:sz="4" w:space="0" w:color="auto"/>
              <w:bottom w:val="single" w:sz="4" w:space="0" w:color="auto"/>
              <w:right w:val="single" w:sz="4" w:space="0" w:color="auto"/>
            </w:tcBorders>
            <w:hideMark/>
          </w:tcPr>
          <w:p w14:paraId="362302E5" w14:textId="77777777" w:rsidR="00C83687" w:rsidRPr="00F65234" w:rsidRDefault="00C83687" w:rsidP="00F65234">
            <w:pPr>
              <w:spacing w:after="0" w:line="240" w:lineRule="auto"/>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На ВСС</w:t>
            </w:r>
          </w:p>
        </w:tc>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7832DA16" w14:textId="77777777" w:rsidR="00C83687" w:rsidRPr="00F65234" w:rsidRDefault="00C83687" w:rsidP="00F65234">
            <w:pPr>
              <w:spacing w:after="0" w:line="240" w:lineRule="auto"/>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Табл. 5</w:t>
            </w:r>
          </w:p>
        </w:tc>
        <w:tc>
          <w:tcPr>
            <w:tcW w:w="1205" w:type="dxa"/>
            <w:tcBorders>
              <w:top w:val="single" w:sz="4" w:space="0" w:color="auto"/>
              <w:left w:val="single" w:sz="4" w:space="0" w:color="auto"/>
              <w:bottom w:val="single" w:sz="4" w:space="0" w:color="auto"/>
              <w:right w:val="single" w:sz="4" w:space="0" w:color="auto"/>
            </w:tcBorders>
            <w:hideMark/>
          </w:tcPr>
          <w:p w14:paraId="51E58875" w14:textId="77777777" w:rsidR="00C83687" w:rsidRPr="00F65234" w:rsidRDefault="00C83687" w:rsidP="00F65234">
            <w:pPr>
              <w:spacing w:after="0" w:line="240" w:lineRule="auto"/>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На ВСС</w:t>
            </w:r>
          </w:p>
        </w:tc>
      </w:tr>
      <w:tr w:rsidR="00C83687" w:rsidRPr="00F65234" w14:paraId="3EA71AC9" w14:textId="77777777" w:rsidTr="00F65234">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6E7270C4" w14:textId="77777777" w:rsidR="00C83687" w:rsidRPr="00F65234" w:rsidRDefault="00C83687" w:rsidP="00F65234">
            <w:pPr>
              <w:spacing w:after="0" w:line="240" w:lineRule="auto"/>
              <w:jc w:val="both"/>
              <w:rPr>
                <w:rFonts w:ascii="Times New Roman" w:eastAsia="Calibri" w:hAnsi="Times New Roman" w:cs="Times New Roman"/>
                <w:b/>
                <w:sz w:val="28"/>
                <w:szCs w:val="28"/>
              </w:rPr>
            </w:pPr>
            <w:r w:rsidRPr="00F65234">
              <w:rPr>
                <w:rFonts w:ascii="Times New Roman" w:eastAsia="Calibri" w:hAnsi="Times New Roman" w:cs="Times New Roman"/>
                <w:b/>
                <w:sz w:val="28"/>
                <w:szCs w:val="28"/>
              </w:rPr>
              <w:t>4111</w:t>
            </w:r>
          </w:p>
        </w:tc>
        <w:tc>
          <w:tcPr>
            <w:tcW w:w="1205" w:type="dxa"/>
            <w:tcBorders>
              <w:top w:val="single" w:sz="4" w:space="0" w:color="auto"/>
              <w:left w:val="single" w:sz="4" w:space="0" w:color="auto"/>
              <w:bottom w:val="single" w:sz="4" w:space="0" w:color="auto"/>
              <w:right w:val="single" w:sz="4" w:space="0" w:color="auto"/>
            </w:tcBorders>
            <w:hideMark/>
          </w:tcPr>
          <w:p w14:paraId="375D0E95" w14:textId="77777777" w:rsidR="00C83687" w:rsidRPr="00F65234" w:rsidRDefault="00C83687" w:rsidP="00F65234">
            <w:pPr>
              <w:spacing w:after="0" w:line="240" w:lineRule="auto"/>
              <w:jc w:val="both"/>
              <w:rPr>
                <w:rFonts w:ascii="Times New Roman" w:eastAsia="Calibri" w:hAnsi="Times New Roman" w:cs="Times New Roman"/>
                <w:b/>
                <w:sz w:val="28"/>
                <w:szCs w:val="28"/>
              </w:rPr>
            </w:pPr>
            <w:r w:rsidRPr="00F65234">
              <w:rPr>
                <w:rFonts w:ascii="Times New Roman" w:eastAsia="Calibri" w:hAnsi="Times New Roman" w:cs="Times New Roman"/>
                <w:b/>
                <w:sz w:val="28"/>
                <w:szCs w:val="28"/>
              </w:rPr>
              <w:t>2783</w:t>
            </w:r>
          </w:p>
        </w:tc>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08053BE1" w14:textId="77777777" w:rsidR="00C83687" w:rsidRPr="00F65234" w:rsidRDefault="00C83687" w:rsidP="00F65234">
            <w:pPr>
              <w:spacing w:after="0" w:line="240" w:lineRule="auto"/>
              <w:jc w:val="both"/>
              <w:rPr>
                <w:rFonts w:ascii="Times New Roman" w:eastAsia="Calibri" w:hAnsi="Times New Roman" w:cs="Times New Roman"/>
                <w:b/>
                <w:sz w:val="28"/>
                <w:szCs w:val="28"/>
              </w:rPr>
            </w:pPr>
            <w:r w:rsidRPr="00F65234">
              <w:rPr>
                <w:rFonts w:ascii="Times New Roman" w:eastAsia="Calibri" w:hAnsi="Times New Roman" w:cs="Times New Roman"/>
                <w:b/>
                <w:sz w:val="28"/>
                <w:szCs w:val="28"/>
              </w:rPr>
              <w:t>18821</w:t>
            </w:r>
          </w:p>
        </w:tc>
        <w:tc>
          <w:tcPr>
            <w:tcW w:w="1205" w:type="dxa"/>
            <w:tcBorders>
              <w:top w:val="single" w:sz="4" w:space="0" w:color="auto"/>
              <w:left w:val="single" w:sz="4" w:space="0" w:color="auto"/>
              <w:bottom w:val="single" w:sz="4" w:space="0" w:color="auto"/>
              <w:right w:val="single" w:sz="4" w:space="0" w:color="auto"/>
            </w:tcBorders>
            <w:hideMark/>
          </w:tcPr>
          <w:p w14:paraId="4BD6E0BB" w14:textId="77777777" w:rsidR="00C83687" w:rsidRPr="00F65234" w:rsidRDefault="00C83687" w:rsidP="00F65234">
            <w:pPr>
              <w:spacing w:after="0" w:line="240" w:lineRule="auto"/>
              <w:jc w:val="both"/>
              <w:rPr>
                <w:rFonts w:ascii="Times New Roman" w:eastAsia="Calibri" w:hAnsi="Times New Roman" w:cs="Times New Roman"/>
                <w:b/>
                <w:sz w:val="28"/>
                <w:szCs w:val="28"/>
              </w:rPr>
            </w:pPr>
            <w:r w:rsidRPr="00F65234">
              <w:rPr>
                <w:rFonts w:ascii="Times New Roman" w:eastAsia="Calibri" w:hAnsi="Times New Roman" w:cs="Times New Roman"/>
                <w:b/>
                <w:sz w:val="28"/>
                <w:szCs w:val="28"/>
              </w:rPr>
              <w:t>20593</w:t>
            </w:r>
          </w:p>
        </w:tc>
      </w:tr>
    </w:tbl>
    <w:p w14:paraId="2BBB550E" w14:textId="77777777" w:rsidR="00F65234" w:rsidRPr="00F65234" w:rsidRDefault="00F65234" w:rsidP="00F65234">
      <w:pPr>
        <w:spacing w:after="0" w:line="240" w:lineRule="auto"/>
        <w:ind w:firstLine="709"/>
        <w:jc w:val="both"/>
        <w:rPr>
          <w:rFonts w:ascii="Times New Roman" w:eastAsia="Calibri" w:hAnsi="Times New Roman" w:cs="Times New Roman"/>
          <w:i/>
          <w:sz w:val="28"/>
          <w:szCs w:val="28"/>
          <w:u w:val="single"/>
        </w:rPr>
      </w:pPr>
    </w:p>
    <w:p w14:paraId="4CBAD13A" w14:textId="77777777" w:rsidR="00F65234" w:rsidRPr="00F65234" w:rsidRDefault="00F65234" w:rsidP="00F65234">
      <w:pPr>
        <w:spacing w:after="0" w:line="240" w:lineRule="auto"/>
        <w:ind w:firstLine="709"/>
        <w:jc w:val="both"/>
        <w:rPr>
          <w:rFonts w:ascii="Times New Roman" w:eastAsia="Calibri" w:hAnsi="Times New Roman" w:cs="Times New Roman"/>
          <w:i/>
          <w:sz w:val="28"/>
          <w:szCs w:val="28"/>
          <w:u w:val="single"/>
        </w:rPr>
      </w:pPr>
      <w:r w:rsidRPr="00F65234">
        <w:rPr>
          <w:rFonts w:ascii="Times New Roman" w:eastAsia="Calibri" w:hAnsi="Times New Roman" w:cs="Times New Roman"/>
          <w:i/>
          <w:sz w:val="28"/>
          <w:szCs w:val="28"/>
          <w:u w:val="single"/>
        </w:rPr>
        <w:t>Обем по общо актове и дейности по всички видове  надзори: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1205"/>
        <w:gridCol w:w="1204"/>
        <w:gridCol w:w="1205"/>
      </w:tblGrid>
      <w:tr w:rsidR="00C83687" w:rsidRPr="00F65234" w14:paraId="23A8CAC9" w14:textId="77777777" w:rsidTr="00C83687">
        <w:tc>
          <w:tcPr>
            <w:tcW w:w="2409" w:type="dxa"/>
            <w:gridSpan w:val="2"/>
            <w:tcBorders>
              <w:top w:val="single" w:sz="4" w:space="0" w:color="auto"/>
              <w:left w:val="single" w:sz="4" w:space="0" w:color="auto"/>
              <w:bottom w:val="single" w:sz="4" w:space="0" w:color="auto"/>
              <w:right w:val="single" w:sz="4" w:space="0" w:color="auto"/>
            </w:tcBorders>
            <w:hideMark/>
          </w:tcPr>
          <w:p w14:paraId="35F9816D" w14:textId="77777777" w:rsidR="00C83687" w:rsidRPr="00F65234" w:rsidRDefault="00C83687" w:rsidP="00F65234">
            <w:pPr>
              <w:spacing w:after="0" w:line="240" w:lineRule="auto"/>
              <w:jc w:val="both"/>
              <w:rPr>
                <w:rFonts w:ascii="Times New Roman" w:eastAsia="Calibri" w:hAnsi="Times New Roman" w:cs="Times New Roman"/>
                <w:b/>
                <w:sz w:val="28"/>
                <w:szCs w:val="28"/>
              </w:rPr>
            </w:pPr>
            <w:r w:rsidRPr="00F65234">
              <w:rPr>
                <w:rFonts w:ascii="Times New Roman" w:eastAsia="Calibri" w:hAnsi="Times New Roman" w:cs="Times New Roman"/>
                <w:b/>
                <w:sz w:val="28"/>
                <w:szCs w:val="28"/>
              </w:rPr>
              <w:t>ОП Монтана</w:t>
            </w:r>
          </w:p>
        </w:tc>
        <w:tc>
          <w:tcPr>
            <w:tcW w:w="2409" w:type="dxa"/>
            <w:gridSpan w:val="2"/>
            <w:tcBorders>
              <w:top w:val="single" w:sz="4" w:space="0" w:color="auto"/>
              <w:left w:val="single" w:sz="4" w:space="0" w:color="auto"/>
              <w:bottom w:val="single" w:sz="4" w:space="0" w:color="auto"/>
              <w:right w:val="single" w:sz="4" w:space="0" w:color="auto"/>
            </w:tcBorders>
            <w:hideMark/>
          </w:tcPr>
          <w:p w14:paraId="3FE706E4" w14:textId="77777777" w:rsidR="00C83687" w:rsidRPr="00F65234" w:rsidRDefault="00C83687" w:rsidP="00F65234">
            <w:pPr>
              <w:spacing w:after="0" w:line="240" w:lineRule="auto"/>
              <w:jc w:val="both"/>
              <w:rPr>
                <w:rFonts w:ascii="Times New Roman" w:eastAsia="Calibri" w:hAnsi="Times New Roman" w:cs="Times New Roman"/>
                <w:b/>
                <w:sz w:val="28"/>
                <w:szCs w:val="28"/>
              </w:rPr>
            </w:pPr>
            <w:r w:rsidRPr="00F65234">
              <w:rPr>
                <w:rFonts w:ascii="Times New Roman" w:eastAsia="Calibri" w:hAnsi="Times New Roman" w:cs="Times New Roman"/>
                <w:b/>
                <w:sz w:val="28"/>
                <w:szCs w:val="28"/>
              </w:rPr>
              <w:t>РП Монтана</w:t>
            </w:r>
          </w:p>
        </w:tc>
      </w:tr>
      <w:tr w:rsidR="00C83687" w:rsidRPr="00F65234" w14:paraId="4331ABB9" w14:textId="77777777" w:rsidTr="00C83687">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1D7844D5" w14:textId="77777777" w:rsidR="00C83687" w:rsidRPr="00F65234" w:rsidRDefault="00C83687" w:rsidP="00F65234">
            <w:pPr>
              <w:spacing w:after="0" w:line="240" w:lineRule="auto"/>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Табл. 5</w:t>
            </w:r>
          </w:p>
        </w:tc>
        <w:tc>
          <w:tcPr>
            <w:tcW w:w="1205" w:type="dxa"/>
            <w:tcBorders>
              <w:top w:val="single" w:sz="4" w:space="0" w:color="auto"/>
              <w:left w:val="single" w:sz="4" w:space="0" w:color="auto"/>
              <w:bottom w:val="single" w:sz="4" w:space="0" w:color="auto"/>
              <w:right w:val="single" w:sz="4" w:space="0" w:color="auto"/>
            </w:tcBorders>
            <w:hideMark/>
          </w:tcPr>
          <w:p w14:paraId="29F5619E" w14:textId="77777777" w:rsidR="00C83687" w:rsidRPr="00F65234" w:rsidRDefault="00C83687" w:rsidP="00F65234">
            <w:pPr>
              <w:spacing w:after="0" w:line="240" w:lineRule="auto"/>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На ВСС</w:t>
            </w:r>
          </w:p>
        </w:tc>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45AEB3C1" w14:textId="77777777" w:rsidR="00C83687" w:rsidRPr="00F65234" w:rsidRDefault="00C83687" w:rsidP="00F65234">
            <w:pPr>
              <w:spacing w:after="0" w:line="240" w:lineRule="auto"/>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Табл. 5</w:t>
            </w:r>
          </w:p>
        </w:tc>
        <w:tc>
          <w:tcPr>
            <w:tcW w:w="1205" w:type="dxa"/>
            <w:tcBorders>
              <w:top w:val="single" w:sz="4" w:space="0" w:color="auto"/>
              <w:left w:val="single" w:sz="4" w:space="0" w:color="auto"/>
              <w:bottom w:val="single" w:sz="4" w:space="0" w:color="auto"/>
              <w:right w:val="single" w:sz="4" w:space="0" w:color="auto"/>
            </w:tcBorders>
            <w:hideMark/>
          </w:tcPr>
          <w:p w14:paraId="5A32C648" w14:textId="77777777" w:rsidR="00C83687" w:rsidRPr="00F65234" w:rsidRDefault="00C83687" w:rsidP="00F65234">
            <w:pPr>
              <w:spacing w:after="0" w:line="240" w:lineRule="auto"/>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На ВСС</w:t>
            </w:r>
          </w:p>
        </w:tc>
      </w:tr>
      <w:tr w:rsidR="00C83687" w:rsidRPr="00F65234" w14:paraId="0995FC1A" w14:textId="77777777" w:rsidTr="00C83687">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6395A382" w14:textId="77777777" w:rsidR="00C83687" w:rsidRPr="00F65234" w:rsidRDefault="00C83687" w:rsidP="00F65234">
            <w:pPr>
              <w:spacing w:after="0" w:line="240" w:lineRule="auto"/>
              <w:jc w:val="both"/>
              <w:rPr>
                <w:rFonts w:ascii="Times New Roman" w:eastAsia="Calibri" w:hAnsi="Times New Roman" w:cs="Times New Roman"/>
                <w:b/>
                <w:sz w:val="28"/>
                <w:szCs w:val="28"/>
              </w:rPr>
            </w:pPr>
            <w:r w:rsidRPr="00F65234">
              <w:rPr>
                <w:rFonts w:ascii="Times New Roman" w:eastAsia="Calibri" w:hAnsi="Times New Roman" w:cs="Times New Roman"/>
                <w:b/>
                <w:sz w:val="28"/>
                <w:szCs w:val="28"/>
              </w:rPr>
              <w:t>5591</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AEA11E" w14:textId="77777777" w:rsidR="00C83687" w:rsidRPr="00F65234" w:rsidRDefault="00C83687" w:rsidP="00F65234">
            <w:pPr>
              <w:spacing w:after="0" w:line="240" w:lineRule="auto"/>
              <w:jc w:val="both"/>
              <w:rPr>
                <w:rFonts w:ascii="Times New Roman" w:eastAsia="Calibri" w:hAnsi="Times New Roman" w:cs="Times New Roman"/>
                <w:b/>
                <w:sz w:val="28"/>
                <w:szCs w:val="28"/>
              </w:rPr>
            </w:pPr>
            <w:r w:rsidRPr="00F65234">
              <w:rPr>
                <w:rFonts w:ascii="Times New Roman" w:eastAsia="Calibri" w:hAnsi="Times New Roman" w:cs="Times New Roman"/>
                <w:b/>
                <w:sz w:val="28"/>
                <w:szCs w:val="28"/>
              </w:rPr>
              <w:t>4162</w:t>
            </w:r>
          </w:p>
        </w:tc>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0C67F583" w14:textId="77777777" w:rsidR="00C83687" w:rsidRPr="00F65234" w:rsidRDefault="00C83687" w:rsidP="00F65234">
            <w:pPr>
              <w:spacing w:after="0" w:line="240" w:lineRule="auto"/>
              <w:jc w:val="both"/>
              <w:rPr>
                <w:rFonts w:ascii="Times New Roman" w:eastAsia="Calibri" w:hAnsi="Times New Roman" w:cs="Times New Roman"/>
                <w:b/>
                <w:sz w:val="28"/>
                <w:szCs w:val="28"/>
              </w:rPr>
            </w:pPr>
            <w:r w:rsidRPr="00F65234">
              <w:rPr>
                <w:rFonts w:ascii="Times New Roman" w:eastAsia="Calibri" w:hAnsi="Times New Roman" w:cs="Times New Roman"/>
                <w:b/>
                <w:sz w:val="28"/>
                <w:szCs w:val="28"/>
              </w:rPr>
              <w:t>22080</w:t>
            </w:r>
          </w:p>
        </w:tc>
        <w:tc>
          <w:tcPr>
            <w:tcW w:w="1205" w:type="dxa"/>
            <w:tcBorders>
              <w:top w:val="single" w:sz="4" w:space="0" w:color="auto"/>
              <w:left w:val="single" w:sz="4" w:space="0" w:color="auto"/>
              <w:bottom w:val="single" w:sz="4" w:space="0" w:color="auto"/>
              <w:right w:val="single" w:sz="4" w:space="0" w:color="auto"/>
            </w:tcBorders>
            <w:hideMark/>
          </w:tcPr>
          <w:p w14:paraId="0B424E94" w14:textId="77777777" w:rsidR="00C83687" w:rsidRPr="00F65234" w:rsidRDefault="00C83687" w:rsidP="00F65234">
            <w:pPr>
              <w:spacing w:after="0" w:line="240" w:lineRule="auto"/>
              <w:jc w:val="both"/>
              <w:rPr>
                <w:rFonts w:ascii="Times New Roman" w:eastAsia="Calibri" w:hAnsi="Times New Roman" w:cs="Times New Roman"/>
                <w:b/>
                <w:sz w:val="28"/>
                <w:szCs w:val="28"/>
              </w:rPr>
            </w:pPr>
            <w:r w:rsidRPr="00F65234">
              <w:rPr>
                <w:rFonts w:ascii="Times New Roman" w:eastAsia="Calibri" w:hAnsi="Times New Roman" w:cs="Times New Roman"/>
                <w:b/>
                <w:sz w:val="28"/>
                <w:szCs w:val="28"/>
              </w:rPr>
              <w:t>20553</w:t>
            </w:r>
          </w:p>
        </w:tc>
      </w:tr>
    </w:tbl>
    <w:p w14:paraId="59F53075" w14:textId="77777777" w:rsidR="00F65234" w:rsidRPr="00F65234" w:rsidRDefault="00F65234" w:rsidP="00F65234">
      <w:pPr>
        <w:spacing w:after="0" w:line="240" w:lineRule="auto"/>
        <w:ind w:firstLine="709"/>
        <w:jc w:val="both"/>
        <w:rPr>
          <w:rFonts w:ascii="Times New Roman" w:eastAsia="Calibri" w:hAnsi="Times New Roman" w:cs="Times New Roman"/>
          <w:i/>
          <w:sz w:val="28"/>
          <w:szCs w:val="28"/>
        </w:rPr>
      </w:pPr>
    </w:p>
    <w:p w14:paraId="2E50EF7E" w14:textId="77777777" w:rsidR="00F65234" w:rsidRPr="00F65234" w:rsidRDefault="00F65234" w:rsidP="00F65234">
      <w:pPr>
        <w:spacing w:after="0" w:line="240" w:lineRule="auto"/>
        <w:ind w:firstLine="709"/>
        <w:jc w:val="both"/>
        <w:rPr>
          <w:rFonts w:ascii="Times New Roman" w:eastAsia="Calibri" w:hAnsi="Times New Roman" w:cs="Times New Roman"/>
          <w:i/>
          <w:sz w:val="28"/>
          <w:szCs w:val="28"/>
          <w:u w:val="single"/>
        </w:rPr>
      </w:pPr>
      <w:r w:rsidRPr="00F65234">
        <w:rPr>
          <w:rFonts w:ascii="Times New Roman" w:eastAsia="Calibri" w:hAnsi="Times New Roman" w:cs="Times New Roman"/>
          <w:i/>
          <w:sz w:val="28"/>
          <w:szCs w:val="28"/>
          <w:u w:val="single"/>
        </w:rPr>
        <w:t>Обем по участия в съдебни заседания: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1205"/>
        <w:gridCol w:w="1204"/>
        <w:gridCol w:w="1205"/>
      </w:tblGrid>
      <w:tr w:rsidR="00C83687" w:rsidRPr="00F65234" w14:paraId="4867CEDC" w14:textId="77777777" w:rsidTr="00C83687">
        <w:tc>
          <w:tcPr>
            <w:tcW w:w="2409" w:type="dxa"/>
            <w:gridSpan w:val="2"/>
            <w:tcBorders>
              <w:top w:val="single" w:sz="4" w:space="0" w:color="auto"/>
              <w:left w:val="single" w:sz="4" w:space="0" w:color="auto"/>
              <w:bottom w:val="single" w:sz="4" w:space="0" w:color="auto"/>
              <w:right w:val="single" w:sz="4" w:space="0" w:color="auto"/>
            </w:tcBorders>
            <w:hideMark/>
          </w:tcPr>
          <w:p w14:paraId="72007955" w14:textId="77777777" w:rsidR="00C83687" w:rsidRPr="00F65234" w:rsidRDefault="00C83687" w:rsidP="00F65234">
            <w:pPr>
              <w:spacing w:after="0" w:line="240" w:lineRule="auto"/>
              <w:jc w:val="both"/>
              <w:rPr>
                <w:rFonts w:ascii="Times New Roman" w:eastAsia="Calibri" w:hAnsi="Times New Roman" w:cs="Times New Roman"/>
                <w:b/>
                <w:sz w:val="28"/>
                <w:szCs w:val="28"/>
              </w:rPr>
            </w:pPr>
            <w:r w:rsidRPr="00F65234">
              <w:rPr>
                <w:rFonts w:ascii="Times New Roman" w:eastAsia="Calibri" w:hAnsi="Times New Roman" w:cs="Times New Roman"/>
                <w:b/>
                <w:sz w:val="28"/>
                <w:szCs w:val="28"/>
              </w:rPr>
              <w:t>ОП Монтана</w:t>
            </w:r>
          </w:p>
        </w:tc>
        <w:tc>
          <w:tcPr>
            <w:tcW w:w="2409" w:type="dxa"/>
            <w:gridSpan w:val="2"/>
            <w:tcBorders>
              <w:top w:val="single" w:sz="4" w:space="0" w:color="auto"/>
              <w:left w:val="single" w:sz="4" w:space="0" w:color="auto"/>
              <w:bottom w:val="single" w:sz="4" w:space="0" w:color="auto"/>
              <w:right w:val="single" w:sz="4" w:space="0" w:color="auto"/>
            </w:tcBorders>
            <w:hideMark/>
          </w:tcPr>
          <w:p w14:paraId="173B9370" w14:textId="77777777" w:rsidR="00C83687" w:rsidRPr="00F65234" w:rsidRDefault="00C83687" w:rsidP="00F65234">
            <w:pPr>
              <w:spacing w:after="0" w:line="240" w:lineRule="auto"/>
              <w:jc w:val="both"/>
              <w:rPr>
                <w:rFonts w:ascii="Times New Roman" w:eastAsia="Calibri" w:hAnsi="Times New Roman" w:cs="Times New Roman"/>
                <w:b/>
                <w:sz w:val="28"/>
                <w:szCs w:val="28"/>
              </w:rPr>
            </w:pPr>
            <w:r w:rsidRPr="00F65234">
              <w:rPr>
                <w:rFonts w:ascii="Times New Roman" w:eastAsia="Calibri" w:hAnsi="Times New Roman" w:cs="Times New Roman"/>
                <w:b/>
                <w:sz w:val="28"/>
                <w:szCs w:val="28"/>
              </w:rPr>
              <w:t>РП Монтана</w:t>
            </w:r>
          </w:p>
        </w:tc>
      </w:tr>
      <w:tr w:rsidR="00C83687" w:rsidRPr="00F65234" w14:paraId="3D15FD88" w14:textId="77777777" w:rsidTr="00C83687">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5177AF54" w14:textId="77777777" w:rsidR="00C83687" w:rsidRPr="00F65234" w:rsidRDefault="00C83687" w:rsidP="00F65234">
            <w:pPr>
              <w:spacing w:after="0" w:line="240" w:lineRule="auto"/>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Табл. 5</w:t>
            </w:r>
          </w:p>
        </w:tc>
        <w:tc>
          <w:tcPr>
            <w:tcW w:w="1205" w:type="dxa"/>
            <w:tcBorders>
              <w:top w:val="single" w:sz="4" w:space="0" w:color="auto"/>
              <w:left w:val="single" w:sz="4" w:space="0" w:color="auto"/>
              <w:bottom w:val="single" w:sz="4" w:space="0" w:color="auto"/>
              <w:right w:val="single" w:sz="4" w:space="0" w:color="auto"/>
            </w:tcBorders>
            <w:hideMark/>
          </w:tcPr>
          <w:p w14:paraId="778E0872" w14:textId="77777777" w:rsidR="00C83687" w:rsidRPr="00F65234" w:rsidRDefault="00C83687" w:rsidP="00F65234">
            <w:pPr>
              <w:spacing w:after="0" w:line="240" w:lineRule="auto"/>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На ВСС</w:t>
            </w:r>
          </w:p>
        </w:tc>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1EE702F0" w14:textId="77777777" w:rsidR="00C83687" w:rsidRPr="00F65234" w:rsidRDefault="00C83687" w:rsidP="00F65234">
            <w:pPr>
              <w:spacing w:after="0" w:line="240" w:lineRule="auto"/>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Табл. 5</w:t>
            </w:r>
          </w:p>
        </w:tc>
        <w:tc>
          <w:tcPr>
            <w:tcW w:w="1205" w:type="dxa"/>
            <w:tcBorders>
              <w:top w:val="single" w:sz="4" w:space="0" w:color="auto"/>
              <w:left w:val="single" w:sz="4" w:space="0" w:color="auto"/>
              <w:bottom w:val="single" w:sz="4" w:space="0" w:color="auto"/>
              <w:right w:val="single" w:sz="4" w:space="0" w:color="auto"/>
            </w:tcBorders>
            <w:hideMark/>
          </w:tcPr>
          <w:p w14:paraId="1F687F0A" w14:textId="77777777" w:rsidR="00C83687" w:rsidRPr="00F65234" w:rsidRDefault="00C83687" w:rsidP="00F65234">
            <w:pPr>
              <w:spacing w:after="0" w:line="240" w:lineRule="auto"/>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На ВСС</w:t>
            </w:r>
          </w:p>
        </w:tc>
      </w:tr>
      <w:tr w:rsidR="00C83687" w:rsidRPr="00F65234" w14:paraId="5FC5719D" w14:textId="77777777" w:rsidTr="00F65234">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0FAC1317" w14:textId="77777777" w:rsidR="00C83687" w:rsidRPr="00F65234" w:rsidRDefault="00C83687" w:rsidP="00F65234">
            <w:pPr>
              <w:spacing w:after="0" w:line="240" w:lineRule="auto"/>
              <w:jc w:val="both"/>
              <w:rPr>
                <w:rFonts w:ascii="Times New Roman" w:eastAsia="Calibri" w:hAnsi="Times New Roman" w:cs="Times New Roman"/>
                <w:b/>
                <w:sz w:val="28"/>
                <w:szCs w:val="28"/>
              </w:rPr>
            </w:pPr>
            <w:r w:rsidRPr="00F65234">
              <w:rPr>
                <w:rFonts w:ascii="Times New Roman" w:eastAsia="Calibri" w:hAnsi="Times New Roman" w:cs="Times New Roman"/>
                <w:b/>
                <w:sz w:val="28"/>
                <w:szCs w:val="28"/>
              </w:rPr>
              <w:t>617</w:t>
            </w:r>
          </w:p>
        </w:tc>
        <w:tc>
          <w:tcPr>
            <w:tcW w:w="1205" w:type="dxa"/>
            <w:tcBorders>
              <w:top w:val="single" w:sz="4" w:space="0" w:color="auto"/>
              <w:left w:val="single" w:sz="4" w:space="0" w:color="auto"/>
              <w:bottom w:val="single" w:sz="4" w:space="0" w:color="auto"/>
              <w:right w:val="single" w:sz="4" w:space="0" w:color="auto"/>
            </w:tcBorders>
            <w:hideMark/>
          </w:tcPr>
          <w:p w14:paraId="5765142C" w14:textId="77777777" w:rsidR="00C83687" w:rsidRPr="00F65234" w:rsidRDefault="00C83687" w:rsidP="00F65234">
            <w:pPr>
              <w:spacing w:after="0" w:line="240" w:lineRule="auto"/>
              <w:jc w:val="both"/>
              <w:rPr>
                <w:rFonts w:ascii="Times New Roman" w:eastAsia="Calibri" w:hAnsi="Times New Roman" w:cs="Times New Roman"/>
                <w:b/>
                <w:sz w:val="28"/>
                <w:szCs w:val="28"/>
              </w:rPr>
            </w:pPr>
            <w:r w:rsidRPr="00F65234">
              <w:rPr>
                <w:rFonts w:ascii="Times New Roman" w:eastAsia="Calibri" w:hAnsi="Times New Roman" w:cs="Times New Roman"/>
                <w:b/>
                <w:sz w:val="28"/>
                <w:szCs w:val="28"/>
              </w:rPr>
              <w:t>617</w:t>
            </w:r>
          </w:p>
        </w:tc>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5BC3CC60" w14:textId="77777777" w:rsidR="00C83687" w:rsidRPr="00F65234" w:rsidRDefault="00C83687" w:rsidP="00F65234">
            <w:pPr>
              <w:spacing w:after="0" w:line="240" w:lineRule="auto"/>
              <w:jc w:val="both"/>
              <w:rPr>
                <w:rFonts w:ascii="Times New Roman" w:eastAsia="Calibri" w:hAnsi="Times New Roman" w:cs="Times New Roman"/>
                <w:b/>
                <w:sz w:val="28"/>
                <w:szCs w:val="28"/>
              </w:rPr>
            </w:pPr>
            <w:r w:rsidRPr="00F65234">
              <w:rPr>
                <w:rFonts w:ascii="Times New Roman" w:eastAsia="Calibri" w:hAnsi="Times New Roman" w:cs="Times New Roman"/>
                <w:b/>
                <w:sz w:val="28"/>
                <w:szCs w:val="28"/>
              </w:rPr>
              <w:t>1616</w:t>
            </w:r>
          </w:p>
        </w:tc>
        <w:tc>
          <w:tcPr>
            <w:tcW w:w="1205" w:type="dxa"/>
            <w:tcBorders>
              <w:top w:val="single" w:sz="4" w:space="0" w:color="auto"/>
              <w:left w:val="single" w:sz="4" w:space="0" w:color="auto"/>
              <w:bottom w:val="single" w:sz="4" w:space="0" w:color="auto"/>
              <w:right w:val="single" w:sz="4" w:space="0" w:color="auto"/>
            </w:tcBorders>
            <w:hideMark/>
          </w:tcPr>
          <w:p w14:paraId="01846A67" w14:textId="77777777" w:rsidR="00C83687" w:rsidRPr="00F65234" w:rsidRDefault="00C83687" w:rsidP="00F65234">
            <w:pPr>
              <w:spacing w:after="0" w:line="240" w:lineRule="auto"/>
              <w:jc w:val="both"/>
              <w:rPr>
                <w:rFonts w:ascii="Times New Roman" w:eastAsia="Calibri" w:hAnsi="Times New Roman" w:cs="Times New Roman"/>
                <w:b/>
                <w:sz w:val="28"/>
                <w:szCs w:val="28"/>
              </w:rPr>
            </w:pPr>
            <w:r w:rsidRPr="00F65234">
              <w:rPr>
                <w:rFonts w:ascii="Times New Roman" w:eastAsia="Calibri" w:hAnsi="Times New Roman" w:cs="Times New Roman"/>
                <w:b/>
                <w:sz w:val="28"/>
                <w:szCs w:val="28"/>
              </w:rPr>
              <w:t>1635</w:t>
            </w:r>
          </w:p>
        </w:tc>
      </w:tr>
    </w:tbl>
    <w:p w14:paraId="34A483FB" w14:textId="77777777" w:rsidR="00F65234" w:rsidRPr="00F65234" w:rsidRDefault="00F65234" w:rsidP="00F65234">
      <w:pPr>
        <w:spacing w:after="0" w:line="240" w:lineRule="auto"/>
        <w:ind w:firstLine="709"/>
        <w:jc w:val="both"/>
        <w:rPr>
          <w:rFonts w:ascii="Times New Roman" w:eastAsia="Calibri" w:hAnsi="Times New Roman" w:cs="Times New Roman"/>
          <w:i/>
          <w:sz w:val="28"/>
          <w:szCs w:val="28"/>
        </w:rPr>
      </w:pPr>
    </w:p>
    <w:p w14:paraId="2667F5E6" w14:textId="77777777" w:rsidR="00F65234" w:rsidRPr="00F65234" w:rsidRDefault="00F65234" w:rsidP="00F65234">
      <w:pPr>
        <w:spacing w:after="0" w:line="240" w:lineRule="auto"/>
        <w:ind w:firstLine="709"/>
        <w:jc w:val="both"/>
        <w:rPr>
          <w:rFonts w:ascii="Times New Roman" w:eastAsia="Calibri" w:hAnsi="Times New Roman" w:cs="Times New Roman"/>
          <w:i/>
          <w:sz w:val="28"/>
          <w:szCs w:val="28"/>
          <w:u w:val="single"/>
        </w:rPr>
      </w:pPr>
      <w:r w:rsidRPr="00F65234">
        <w:rPr>
          <w:rFonts w:ascii="Times New Roman" w:eastAsia="Calibri" w:hAnsi="Times New Roman" w:cs="Times New Roman"/>
          <w:i/>
          <w:sz w:val="28"/>
          <w:szCs w:val="28"/>
          <w:u w:val="single"/>
        </w:rPr>
        <w:t>Обем по други дейности, вкл. административна:</w:t>
      </w:r>
    </w:p>
    <w:p w14:paraId="7D51377E" w14:textId="77777777" w:rsidR="00F65234" w:rsidRPr="00F65234" w:rsidRDefault="00F65234" w:rsidP="00F65234">
      <w:pPr>
        <w:spacing w:after="0" w:line="240" w:lineRule="auto"/>
        <w:ind w:firstLine="709"/>
        <w:jc w:val="both"/>
        <w:rPr>
          <w:rFonts w:ascii="Times New Roman" w:eastAsia="Calibri" w:hAnsi="Times New Roman" w:cs="Times New Roman"/>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1205"/>
        <w:gridCol w:w="1204"/>
        <w:gridCol w:w="1205"/>
      </w:tblGrid>
      <w:tr w:rsidR="00C83687" w:rsidRPr="00F65234" w14:paraId="3BB1E54D" w14:textId="77777777" w:rsidTr="00C83687">
        <w:tc>
          <w:tcPr>
            <w:tcW w:w="2409" w:type="dxa"/>
            <w:gridSpan w:val="2"/>
            <w:tcBorders>
              <w:top w:val="single" w:sz="4" w:space="0" w:color="auto"/>
              <w:left w:val="single" w:sz="4" w:space="0" w:color="auto"/>
              <w:bottom w:val="single" w:sz="4" w:space="0" w:color="auto"/>
              <w:right w:val="single" w:sz="4" w:space="0" w:color="auto"/>
            </w:tcBorders>
            <w:hideMark/>
          </w:tcPr>
          <w:p w14:paraId="2FCACCCB" w14:textId="77777777" w:rsidR="00C83687" w:rsidRPr="00F65234" w:rsidRDefault="00C83687" w:rsidP="00F65234">
            <w:pPr>
              <w:spacing w:after="0" w:line="240" w:lineRule="auto"/>
              <w:jc w:val="both"/>
              <w:rPr>
                <w:rFonts w:ascii="Times New Roman" w:eastAsia="Calibri" w:hAnsi="Times New Roman" w:cs="Times New Roman"/>
                <w:b/>
                <w:sz w:val="28"/>
                <w:szCs w:val="28"/>
              </w:rPr>
            </w:pPr>
            <w:r w:rsidRPr="00F65234">
              <w:rPr>
                <w:rFonts w:ascii="Times New Roman" w:eastAsia="Calibri" w:hAnsi="Times New Roman" w:cs="Times New Roman"/>
                <w:b/>
                <w:sz w:val="28"/>
                <w:szCs w:val="28"/>
              </w:rPr>
              <w:t>ОП Монтана</w:t>
            </w:r>
          </w:p>
        </w:tc>
        <w:tc>
          <w:tcPr>
            <w:tcW w:w="2409" w:type="dxa"/>
            <w:gridSpan w:val="2"/>
            <w:tcBorders>
              <w:top w:val="single" w:sz="4" w:space="0" w:color="auto"/>
              <w:left w:val="single" w:sz="4" w:space="0" w:color="auto"/>
              <w:bottom w:val="single" w:sz="4" w:space="0" w:color="auto"/>
              <w:right w:val="single" w:sz="4" w:space="0" w:color="auto"/>
            </w:tcBorders>
            <w:hideMark/>
          </w:tcPr>
          <w:p w14:paraId="121F5081" w14:textId="77777777" w:rsidR="00C83687" w:rsidRPr="00F65234" w:rsidRDefault="00C83687" w:rsidP="00F65234">
            <w:pPr>
              <w:spacing w:after="0" w:line="240" w:lineRule="auto"/>
              <w:jc w:val="both"/>
              <w:rPr>
                <w:rFonts w:ascii="Times New Roman" w:eastAsia="Calibri" w:hAnsi="Times New Roman" w:cs="Times New Roman"/>
                <w:b/>
                <w:sz w:val="28"/>
                <w:szCs w:val="28"/>
              </w:rPr>
            </w:pPr>
            <w:r w:rsidRPr="00F65234">
              <w:rPr>
                <w:rFonts w:ascii="Times New Roman" w:eastAsia="Calibri" w:hAnsi="Times New Roman" w:cs="Times New Roman"/>
                <w:b/>
                <w:sz w:val="28"/>
                <w:szCs w:val="28"/>
              </w:rPr>
              <w:t>РП Монтана</w:t>
            </w:r>
          </w:p>
        </w:tc>
      </w:tr>
      <w:tr w:rsidR="00C83687" w:rsidRPr="00F65234" w14:paraId="7EC12430" w14:textId="77777777" w:rsidTr="00C83687">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32B68407" w14:textId="77777777" w:rsidR="00C83687" w:rsidRPr="00F65234" w:rsidRDefault="00C83687" w:rsidP="00F65234">
            <w:pPr>
              <w:spacing w:after="0" w:line="240" w:lineRule="auto"/>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Табл. 5</w:t>
            </w:r>
          </w:p>
        </w:tc>
        <w:tc>
          <w:tcPr>
            <w:tcW w:w="1205" w:type="dxa"/>
            <w:tcBorders>
              <w:top w:val="single" w:sz="4" w:space="0" w:color="auto"/>
              <w:left w:val="single" w:sz="4" w:space="0" w:color="auto"/>
              <w:bottom w:val="single" w:sz="4" w:space="0" w:color="auto"/>
              <w:right w:val="single" w:sz="4" w:space="0" w:color="auto"/>
            </w:tcBorders>
            <w:hideMark/>
          </w:tcPr>
          <w:p w14:paraId="1EF3DE35" w14:textId="77777777" w:rsidR="00C83687" w:rsidRPr="00F65234" w:rsidRDefault="00C83687" w:rsidP="00F65234">
            <w:pPr>
              <w:spacing w:after="0" w:line="240" w:lineRule="auto"/>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На ВСС</w:t>
            </w:r>
          </w:p>
        </w:tc>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0CA04CAE" w14:textId="77777777" w:rsidR="00C83687" w:rsidRPr="00F65234" w:rsidRDefault="00C83687" w:rsidP="00F65234">
            <w:pPr>
              <w:spacing w:after="0" w:line="240" w:lineRule="auto"/>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Табл. 5</w:t>
            </w:r>
          </w:p>
        </w:tc>
        <w:tc>
          <w:tcPr>
            <w:tcW w:w="1205" w:type="dxa"/>
            <w:tcBorders>
              <w:top w:val="single" w:sz="4" w:space="0" w:color="auto"/>
              <w:left w:val="single" w:sz="4" w:space="0" w:color="auto"/>
              <w:bottom w:val="single" w:sz="4" w:space="0" w:color="auto"/>
              <w:right w:val="single" w:sz="4" w:space="0" w:color="auto"/>
            </w:tcBorders>
            <w:hideMark/>
          </w:tcPr>
          <w:p w14:paraId="7CAA763D" w14:textId="77777777" w:rsidR="00C83687" w:rsidRPr="00F65234" w:rsidRDefault="00C83687" w:rsidP="00F65234">
            <w:pPr>
              <w:spacing w:after="0" w:line="240" w:lineRule="auto"/>
              <w:jc w:val="both"/>
              <w:rPr>
                <w:rFonts w:ascii="Times New Roman" w:eastAsia="Calibri" w:hAnsi="Times New Roman" w:cs="Times New Roman"/>
                <w:sz w:val="28"/>
                <w:szCs w:val="28"/>
              </w:rPr>
            </w:pPr>
            <w:r w:rsidRPr="00F65234">
              <w:rPr>
                <w:rFonts w:ascii="Times New Roman" w:eastAsia="Calibri" w:hAnsi="Times New Roman" w:cs="Times New Roman"/>
                <w:sz w:val="28"/>
                <w:szCs w:val="28"/>
              </w:rPr>
              <w:t>На ВСС</w:t>
            </w:r>
          </w:p>
        </w:tc>
      </w:tr>
      <w:tr w:rsidR="00C83687" w:rsidRPr="00F65234" w14:paraId="741A6585" w14:textId="77777777" w:rsidTr="00F65234">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52963754" w14:textId="77777777" w:rsidR="00C83687" w:rsidRPr="00F65234" w:rsidRDefault="00C83687" w:rsidP="00F65234">
            <w:pPr>
              <w:spacing w:after="0" w:line="240" w:lineRule="auto"/>
              <w:jc w:val="both"/>
              <w:rPr>
                <w:rFonts w:ascii="Times New Roman" w:eastAsia="Calibri" w:hAnsi="Times New Roman" w:cs="Times New Roman"/>
                <w:b/>
                <w:sz w:val="28"/>
                <w:szCs w:val="28"/>
              </w:rPr>
            </w:pPr>
            <w:r w:rsidRPr="00F65234">
              <w:rPr>
                <w:rFonts w:ascii="Times New Roman" w:eastAsia="Calibri" w:hAnsi="Times New Roman" w:cs="Times New Roman"/>
                <w:b/>
                <w:sz w:val="28"/>
                <w:szCs w:val="28"/>
              </w:rPr>
              <w:t>1360</w:t>
            </w:r>
          </w:p>
        </w:tc>
        <w:tc>
          <w:tcPr>
            <w:tcW w:w="1205" w:type="dxa"/>
            <w:tcBorders>
              <w:top w:val="single" w:sz="4" w:space="0" w:color="auto"/>
              <w:left w:val="single" w:sz="4" w:space="0" w:color="auto"/>
              <w:bottom w:val="single" w:sz="4" w:space="0" w:color="auto"/>
              <w:right w:val="single" w:sz="4" w:space="0" w:color="auto"/>
            </w:tcBorders>
            <w:hideMark/>
          </w:tcPr>
          <w:p w14:paraId="67D56EF3" w14:textId="77777777" w:rsidR="00C83687" w:rsidRPr="00F65234" w:rsidRDefault="00C83687" w:rsidP="00F65234">
            <w:pPr>
              <w:spacing w:after="0" w:line="240" w:lineRule="auto"/>
              <w:jc w:val="both"/>
              <w:rPr>
                <w:rFonts w:ascii="Times New Roman" w:eastAsia="Calibri" w:hAnsi="Times New Roman" w:cs="Times New Roman"/>
                <w:b/>
                <w:sz w:val="28"/>
                <w:szCs w:val="28"/>
              </w:rPr>
            </w:pPr>
            <w:r w:rsidRPr="00F65234">
              <w:rPr>
                <w:rFonts w:ascii="Times New Roman" w:eastAsia="Calibri" w:hAnsi="Times New Roman" w:cs="Times New Roman"/>
                <w:b/>
                <w:sz w:val="28"/>
                <w:szCs w:val="28"/>
              </w:rPr>
              <w:t>554</w:t>
            </w:r>
          </w:p>
        </w:tc>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020E4D87" w14:textId="77777777" w:rsidR="00C83687" w:rsidRPr="00F65234" w:rsidRDefault="00C83687" w:rsidP="00F65234">
            <w:pPr>
              <w:spacing w:after="0" w:line="240" w:lineRule="auto"/>
              <w:jc w:val="both"/>
              <w:rPr>
                <w:rFonts w:ascii="Times New Roman" w:eastAsia="Calibri" w:hAnsi="Times New Roman" w:cs="Times New Roman"/>
                <w:b/>
                <w:sz w:val="28"/>
                <w:szCs w:val="28"/>
              </w:rPr>
            </w:pPr>
            <w:r w:rsidRPr="00F65234">
              <w:rPr>
                <w:rFonts w:ascii="Times New Roman" w:eastAsia="Calibri" w:hAnsi="Times New Roman" w:cs="Times New Roman"/>
                <w:b/>
                <w:sz w:val="28"/>
                <w:szCs w:val="28"/>
              </w:rPr>
              <w:t>2176</w:t>
            </w:r>
          </w:p>
        </w:tc>
        <w:tc>
          <w:tcPr>
            <w:tcW w:w="1205" w:type="dxa"/>
            <w:tcBorders>
              <w:top w:val="single" w:sz="4" w:space="0" w:color="auto"/>
              <w:left w:val="single" w:sz="4" w:space="0" w:color="auto"/>
              <w:bottom w:val="single" w:sz="4" w:space="0" w:color="auto"/>
              <w:right w:val="single" w:sz="4" w:space="0" w:color="auto"/>
            </w:tcBorders>
            <w:hideMark/>
          </w:tcPr>
          <w:p w14:paraId="79C0E112" w14:textId="77777777" w:rsidR="00C83687" w:rsidRPr="00F65234" w:rsidRDefault="00C83687" w:rsidP="00F65234">
            <w:pPr>
              <w:spacing w:after="0" w:line="240" w:lineRule="auto"/>
              <w:jc w:val="both"/>
              <w:rPr>
                <w:rFonts w:ascii="Times New Roman" w:eastAsia="Calibri" w:hAnsi="Times New Roman" w:cs="Times New Roman"/>
                <w:b/>
                <w:sz w:val="28"/>
                <w:szCs w:val="28"/>
              </w:rPr>
            </w:pPr>
            <w:r w:rsidRPr="00F65234">
              <w:rPr>
                <w:rFonts w:ascii="Times New Roman" w:eastAsia="Calibri" w:hAnsi="Times New Roman" w:cs="Times New Roman"/>
                <w:b/>
                <w:sz w:val="28"/>
                <w:szCs w:val="28"/>
              </w:rPr>
              <w:t>1721</w:t>
            </w:r>
          </w:p>
        </w:tc>
      </w:tr>
    </w:tbl>
    <w:p w14:paraId="33B594CE" w14:textId="77777777" w:rsidR="00F65234" w:rsidRPr="00F65234" w:rsidRDefault="00F65234" w:rsidP="00F65234">
      <w:pPr>
        <w:spacing w:after="0" w:line="240" w:lineRule="auto"/>
        <w:ind w:firstLine="709"/>
        <w:jc w:val="both"/>
        <w:rPr>
          <w:rFonts w:ascii="Times New Roman" w:eastAsia="Calibri" w:hAnsi="Times New Roman" w:cs="Times New Roman"/>
          <w:color w:val="FF0000"/>
          <w:sz w:val="28"/>
          <w:szCs w:val="28"/>
          <w:lang w:eastAsia="bg-BG"/>
        </w:rPr>
      </w:pPr>
    </w:p>
    <w:p w14:paraId="581A757B" w14:textId="77777777" w:rsidR="00F65234" w:rsidRPr="00F65234" w:rsidRDefault="00F65234" w:rsidP="00F65234">
      <w:pPr>
        <w:spacing w:after="0" w:line="240" w:lineRule="auto"/>
        <w:ind w:firstLine="709"/>
        <w:jc w:val="both"/>
        <w:rPr>
          <w:rFonts w:ascii="Times New Roman" w:eastAsia="Calibri" w:hAnsi="Times New Roman" w:cs="Times New Roman"/>
          <w:b/>
          <w:sz w:val="28"/>
          <w:szCs w:val="28"/>
          <w:lang w:eastAsia="bg-BG"/>
        </w:rPr>
      </w:pPr>
      <w:r w:rsidRPr="00F65234">
        <w:rPr>
          <w:rFonts w:ascii="Times New Roman" w:eastAsia="Calibri" w:hAnsi="Times New Roman" w:cs="Times New Roman"/>
          <w:sz w:val="28"/>
          <w:szCs w:val="28"/>
          <w:lang w:eastAsia="bg-BG"/>
        </w:rPr>
        <w:t>Разглеждайки всички таблици, се наблюдават съществени разлики при всички сравнявани показатели, като само цифровите стойности при показателите от таблица 5 са по-ниски от тези по Правилата на ВСС. Съвпадат приблизително единствено броя на участията в съдебни заседания в ОП Монтана и РП Монтана. По всички останали показатели цифровите стойности по статистическите таблици са по-високи от тези по Правилата на ВСС.</w:t>
      </w:r>
    </w:p>
    <w:p w14:paraId="0A19D6F0"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 xml:space="preserve">Може да се посочи като извод, че отчетените в УИС данни, не отразяват пълно прокурорската дейност. Такива актове са например постановления за обединяване на досъдебни производства или преписки; писма по преписки (напомнителни, за изискване и др.); постановления за възобновяване на наказателни производства; разпореждания до нотариуси и ЧСИ за предаване на документи и др. </w:t>
      </w:r>
    </w:p>
    <w:p w14:paraId="1C577434" w14:textId="77777777" w:rsidR="00F65234" w:rsidRPr="00F65234" w:rsidRDefault="00F65234" w:rsidP="00F65234">
      <w:pPr>
        <w:numPr>
          <w:ilvl w:val="0"/>
          <w:numId w:val="47"/>
        </w:numPr>
        <w:spacing w:after="0" w:line="240" w:lineRule="auto"/>
        <w:ind w:left="0"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 xml:space="preserve">отчетените в УИС данни, които не са извлечени в статистическите форми, не отразяват напълно и административната дейност – извършени проверки и ревизии; дейността по изготвяне на анализи и доклади; извършени </w:t>
      </w:r>
      <w:r w:rsidRPr="00F65234">
        <w:rPr>
          <w:rFonts w:ascii="Times New Roman" w:eastAsia="Calibri" w:hAnsi="Times New Roman" w:cs="Times New Roman"/>
          <w:sz w:val="28"/>
          <w:szCs w:val="28"/>
          <w:lang w:eastAsia="bg-BG"/>
        </w:rPr>
        <w:lastRenderedPageBreak/>
        <w:t>атестации на служители; заповеди, свързани с кадрови въпроси – ползване на отпуск, отлагане или прекъсване на такъв, за заместване, за утвърждаване на графици, за командироване, възложени със заповед дежурства и др., които не са посочени в Правилата на ВСС и не се отчитат като дейност, но изготвянето им отнема значително време от работния ден.</w:t>
      </w:r>
    </w:p>
    <w:p w14:paraId="6211BF83" w14:textId="77777777" w:rsidR="00F65234" w:rsidRPr="00F65234" w:rsidRDefault="00F65234" w:rsidP="00F65234">
      <w:pPr>
        <w:numPr>
          <w:ilvl w:val="0"/>
          <w:numId w:val="47"/>
        </w:numPr>
        <w:spacing w:after="0" w:line="240" w:lineRule="auto"/>
        <w:ind w:left="0"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отчетените в УИС данни, които не са извлечени в статистическите форми, не отразяват пълно дейността по надзора за законност и административно-съдебния надзор, както и дейността по гражданско-съдебния надзор. Липсват като броими показатели: писмата, с които се възлага проверка на контролни органи по надзора за законност; подадени протести по ГСН, становища по искови молби, изготвяне на доклади по надзора за законност до АП и ВАП (които често са много обемни); лични проверки; изготвяне на резолюции за прекратяване на преписки по надзора за законност; подадени жалби срещу решения на гражданския съд и др. След последните изменения в АПК, касаещи начина на провеждане на касационните производства по НАХД (в закрити съдебни заседания), по всяко дело се изготвя писмено становище от прокурора, което изисква по-голяма прецизност, отнема значително време, а изготвянето на тези становища не се отчита в Правилата за натовареност.</w:t>
      </w:r>
    </w:p>
    <w:p w14:paraId="5DECEF83" w14:textId="77777777" w:rsidR="00F65234" w:rsidRPr="00F65234" w:rsidRDefault="00F65234" w:rsidP="00F65234">
      <w:pPr>
        <w:numPr>
          <w:ilvl w:val="0"/>
          <w:numId w:val="47"/>
        </w:numPr>
        <w:spacing w:after="0" w:line="240" w:lineRule="auto"/>
        <w:ind w:left="0"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в същото време в статистическата таблица 5 не са включени всички дейности, посочени в Правилата на ВСС – такива са например изготвените вътрешно-организационни актове (правилници, инструкции, правила).</w:t>
      </w:r>
    </w:p>
    <w:p w14:paraId="65AD5625" w14:textId="77777777" w:rsidR="00F65234" w:rsidRPr="00F65234" w:rsidRDefault="00F65234" w:rsidP="00F65234">
      <w:pPr>
        <w:numPr>
          <w:ilvl w:val="0"/>
          <w:numId w:val="47"/>
        </w:numPr>
        <w:spacing w:after="0" w:line="240" w:lineRule="auto"/>
        <w:ind w:left="0"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отчетените в УИС данни не сe извличат в пълнота в статистическите форми. Няма друго обяснение за голямата разлика например при „</w:t>
      </w:r>
      <w:r w:rsidRPr="00F65234">
        <w:rPr>
          <w:rFonts w:ascii="Times New Roman" w:eastAsia="Calibri" w:hAnsi="Times New Roman" w:cs="Times New Roman"/>
          <w:sz w:val="28"/>
          <w:szCs w:val="28"/>
        </w:rPr>
        <w:t>Обем по общо актове и дейности по всички видове  надзори</w:t>
      </w:r>
      <w:r w:rsidRPr="00F65234">
        <w:rPr>
          <w:rFonts w:ascii="Times New Roman" w:eastAsia="Calibri" w:hAnsi="Times New Roman" w:cs="Times New Roman"/>
          <w:sz w:val="28"/>
          <w:szCs w:val="28"/>
          <w:lang w:eastAsia="bg-BG"/>
        </w:rPr>
        <w:t>“, които се въвеждат в табл. 5 също от данните в УИС.</w:t>
      </w:r>
    </w:p>
    <w:p w14:paraId="45CEB650"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Сравняваните показатели по двете методики за измерване на натовареността са структурирани по различен начин и трудно могат да бъдат сравнени напълно по такъв начин, че сравнението да е точно и коректно. Поради това считаме за препоръчително обемът на прокурорската дейност да се отчита по един и същ начин, като Правилата за натовареност на ВСС бъдат анализирани подробно и в тях да бъдат включени всички липсващи дейности, които представляват значителна част от общата прокурорска дейност. Това предложение сме отправяли и в предходни отчетни доклади.</w:t>
      </w:r>
    </w:p>
    <w:p w14:paraId="2634F1FB" w14:textId="77777777" w:rsidR="00F65234" w:rsidRPr="00F65234" w:rsidRDefault="00F65234" w:rsidP="00F65234">
      <w:pPr>
        <w:spacing w:after="0" w:line="240" w:lineRule="auto"/>
        <w:ind w:firstLine="709"/>
        <w:jc w:val="both"/>
        <w:rPr>
          <w:rFonts w:ascii="Times New Roman" w:eastAsia="Calibri" w:hAnsi="Times New Roman" w:cs="Times New Roman"/>
          <w:color w:val="FF0000"/>
          <w:sz w:val="28"/>
          <w:szCs w:val="28"/>
          <w:lang w:eastAsia="bg-BG"/>
        </w:rPr>
      </w:pPr>
    </w:p>
    <w:p w14:paraId="5833F8A2" w14:textId="77777777" w:rsidR="00F65234" w:rsidRPr="00F65234" w:rsidRDefault="00F65234" w:rsidP="00F65234">
      <w:pPr>
        <w:ind w:firstLine="708"/>
        <w:jc w:val="both"/>
        <w:rPr>
          <w:rFonts w:ascii="Times New Roman" w:eastAsia="Calibri" w:hAnsi="Times New Roman" w:cs="Times New Roman"/>
          <w:b/>
          <w:sz w:val="28"/>
          <w:szCs w:val="28"/>
          <w:u w:val="single"/>
        </w:rPr>
      </w:pPr>
      <w:r w:rsidRPr="00F65234">
        <w:rPr>
          <w:rFonts w:ascii="Times New Roman" w:eastAsia="Calibri" w:hAnsi="Times New Roman" w:cs="Times New Roman"/>
          <w:b/>
          <w:sz w:val="28"/>
          <w:szCs w:val="28"/>
          <w:u w:val="single"/>
        </w:rPr>
        <w:t>6. Предприети мерки за преодоляване на разликите в индивидуалната натовареност:</w:t>
      </w:r>
    </w:p>
    <w:p w14:paraId="5CD63F82"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 xml:space="preserve">В изпълнение на </w:t>
      </w:r>
      <w:r w:rsidRPr="00F65234">
        <w:rPr>
          <w:rFonts w:ascii="Times New Roman" w:eastAsia="Calibri" w:hAnsi="Times New Roman" w:cs="Times New Roman"/>
          <w:sz w:val="28"/>
          <w:szCs w:val="28"/>
        </w:rPr>
        <w:t>Правилата за приложението на разпределението на преписките и досъдебните производства на принципа на случайния подбор в ПРБ, през периода е издадена заповед</w:t>
      </w:r>
      <w:r w:rsidRPr="00F65234">
        <w:rPr>
          <w:rFonts w:ascii="Times New Roman" w:eastAsia="Calibri" w:hAnsi="Times New Roman" w:cs="Times New Roman"/>
          <w:sz w:val="28"/>
          <w:szCs w:val="28"/>
          <w:lang w:eastAsia="bg-BG"/>
        </w:rPr>
        <w:t xml:space="preserve"> на административния ръководител на ОП Монтана, с която са създадени 12 групи. В края на периода разликите в натовареността са минимални.</w:t>
      </w:r>
    </w:p>
    <w:p w14:paraId="224F4435"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 xml:space="preserve">Със заповед на административния ръководител са въведени 3 групи за случайно разпределение на дела и следствени поръчки, които се разследват от следователите в ОСлО-ОП Монтана – досъдебни производства и следствени </w:t>
      </w:r>
      <w:r w:rsidRPr="00F65234">
        <w:rPr>
          <w:rFonts w:ascii="Times New Roman" w:eastAsia="Calibri" w:hAnsi="Times New Roman" w:cs="Times New Roman"/>
          <w:sz w:val="28"/>
          <w:szCs w:val="28"/>
          <w:lang w:eastAsia="bg-BG"/>
        </w:rPr>
        <w:lastRenderedPageBreak/>
        <w:t>поръчки. Следствените поръчки безспорно отнемат по-малко време на следователя и не изискват в такава степен правен анализ на събраните чрез тях доказателства, но също отнемат време. Въпреки, че през 2022 г. броят на получените за изпълнение в ОСлО следствени поръчки е незначително намалял в сравнение с 2021 г. същият остава по - висок от този през и 2020 г.</w:t>
      </w:r>
    </w:p>
    <w:p w14:paraId="55F860E5" w14:textId="77777777" w:rsidR="00F65234" w:rsidRPr="00F65234" w:rsidRDefault="00F65234" w:rsidP="00F65234">
      <w:pPr>
        <w:spacing w:after="0" w:line="240" w:lineRule="auto"/>
        <w:ind w:firstLine="709"/>
        <w:jc w:val="both"/>
        <w:rPr>
          <w:rFonts w:ascii="Times New Roman" w:eastAsia="Times New Roman" w:hAnsi="Times New Roman" w:cs="Times New Roman"/>
          <w:sz w:val="28"/>
          <w:szCs w:val="28"/>
          <w:lang w:eastAsia="bg-BG"/>
        </w:rPr>
      </w:pPr>
      <w:r w:rsidRPr="00F65234">
        <w:rPr>
          <w:rFonts w:ascii="Times New Roman" w:eastAsia="Times New Roman" w:hAnsi="Times New Roman" w:cs="Times New Roman"/>
          <w:sz w:val="28"/>
          <w:szCs w:val="28"/>
          <w:lang w:eastAsia="bg-BG"/>
        </w:rPr>
        <w:t>През отчетната 2022 г.</w:t>
      </w:r>
      <w:r w:rsidRPr="00F65234">
        <w:rPr>
          <w:rFonts w:ascii="Times New Roman" w:eastAsia="Times New Roman" w:hAnsi="Times New Roman" w:cs="Times New Roman"/>
          <w:sz w:val="28"/>
          <w:szCs w:val="28"/>
          <w:lang w:val="en-US" w:eastAsia="bg-BG"/>
        </w:rPr>
        <w:t xml:space="preserve"> </w:t>
      </w:r>
      <w:r w:rsidRPr="00F65234">
        <w:rPr>
          <w:rFonts w:ascii="Times New Roman" w:eastAsia="Times New Roman" w:hAnsi="Times New Roman" w:cs="Times New Roman"/>
          <w:sz w:val="28"/>
          <w:szCs w:val="28"/>
          <w:lang w:eastAsia="bg-BG"/>
        </w:rPr>
        <w:t xml:space="preserve">разликите в натовареността между прокурорите в обединената РП Монтана с ТО Лом и ТО Берковица макар и не напълно е преодоляна до голяма степен. </w:t>
      </w:r>
      <w:r w:rsidRPr="00F65234">
        <w:rPr>
          <w:rFonts w:ascii="Times New Roman" w:eastAsia="Times New Roman" w:hAnsi="Times New Roman" w:cs="Times New Roman"/>
          <w:sz w:val="28"/>
          <w:szCs w:val="28"/>
        </w:rPr>
        <w:t>С увеличаването на броя прокурори в ТО Лом проблема от предходната 2021 г. е напът да бъде преодолян и натовареността да бъде изравнена с останалите прокурори в обединената РП Монтана. Това е констатирано и при мониторинга на районната прокуратура, извършен от определените със заповед на административния ръководител на ОП Монтана прокурори от състава на ОП Монтана</w:t>
      </w:r>
      <w:r w:rsidRPr="00F65234">
        <w:rPr>
          <w:rFonts w:ascii="Times New Roman" w:eastAsia="Times New Roman" w:hAnsi="Times New Roman" w:cs="Times New Roman"/>
          <w:sz w:val="28"/>
          <w:szCs w:val="28"/>
          <w:lang w:eastAsia="bg-BG"/>
        </w:rPr>
        <w:t xml:space="preserve">. </w:t>
      </w:r>
    </w:p>
    <w:p w14:paraId="34AA2183"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p>
    <w:p w14:paraId="7DD45CC7" w14:textId="77777777" w:rsidR="00F65234" w:rsidRPr="00F65234" w:rsidRDefault="00F65234" w:rsidP="00F65234">
      <w:pPr>
        <w:spacing w:line="240" w:lineRule="auto"/>
        <w:ind w:firstLine="708"/>
        <w:jc w:val="both"/>
        <w:rPr>
          <w:rFonts w:ascii="Times New Roman" w:eastAsia="Calibri" w:hAnsi="Times New Roman" w:cs="Times New Roman"/>
          <w:b/>
          <w:sz w:val="28"/>
          <w:szCs w:val="28"/>
          <w:u w:val="single"/>
        </w:rPr>
      </w:pPr>
      <w:r w:rsidRPr="00F65234">
        <w:rPr>
          <w:rFonts w:ascii="Times New Roman" w:eastAsia="Calibri" w:hAnsi="Times New Roman" w:cs="Times New Roman"/>
          <w:b/>
          <w:sz w:val="28"/>
          <w:szCs w:val="28"/>
          <w:u w:val="single"/>
        </w:rPr>
        <w:t xml:space="preserve">7. Предложения, свързани със статистическите показатели и начините за определяне на обема прокурорска дейност и средната натовареност: </w:t>
      </w:r>
    </w:p>
    <w:p w14:paraId="56F8355A" w14:textId="77777777" w:rsidR="00F65234" w:rsidRPr="00F65234" w:rsidRDefault="00F65234" w:rsidP="00F65234">
      <w:pPr>
        <w:spacing w:after="0" w:line="240" w:lineRule="auto"/>
        <w:ind w:firstLine="709"/>
        <w:jc w:val="both"/>
        <w:rPr>
          <w:rFonts w:ascii="Times New Roman" w:eastAsia="Calibri" w:hAnsi="Times New Roman" w:cs="Times New Roman"/>
          <w:sz w:val="28"/>
          <w:szCs w:val="28"/>
          <w:lang w:eastAsia="bg-BG"/>
        </w:rPr>
      </w:pPr>
      <w:r w:rsidRPr="00F65234">
        <w:rPr>
          <w:rFonts w:ascii="Times New Roman" w:eastAsia="Calibri" w:hAnsi="Times New Roman" w:cs="Times New Roman"/>
          <w:sz w:val="28"/>
          <w:szCs w:val="28"/>
          <w:lang w:eastAsia="bg-BG"/>
        </w:rPr>
        <w:t>Предложения за правилно и обективно изчисляване на натовареността са дадени по-долу, а и в началото на този раздел.</w:t>
      </w:r>
    </w:p>
    <w:p w14:paraId="0B23AFAA" w14:textId="77777777" w:rsidR="00F65234" w:rsidRPr="00F65234" w:rsidRDefault="00F65234" w:rsidP="00F65234">
      <w:pPr>
        <w:spacing w:line="240" w:lineRule="auto"/>
        <w:ind w:firstLine="708"/>
        <w:jc w:val="both"/>
        <w:rPr>
          <w:rFonts w:ascii="Times New Roman" w:eastAsia="Calibri" w:hAnsi="Times New Roman" w:cs="Times New Roman"/>
          <w:sz w:val="28"/>
          <w:szCs w:val="28"/>
        </w:rPr>
      </w:pPr>
      <w:r w:rsidRPr="00F65234">
        <w:rPr>
          <w:rFonts w:ascii="Times New Roman" w:eastAsia="Calibri" w:hAnsi="Times New Roman" w:cs="Times New Roman"/>
          <w:b/>
          <w:i/>
          <w:sz w:val="28"/>
          <w:szCs w:val="28"/>
        </w:rPr>
        <w:t xml:space="preserve">7.1. За уеднаквяване на натовареността </w:t>
      </w:r>
      <w:r w:rsidRPr="00F65234">
        <w:rPr>
          <w:rFonts w:ascii="Times New Roman" w:eastAsia="Calibri" w:hAnsi="Times New Roman" w:cs="Times New Roman"/>
          <w:sz w:val="28"/>
          <w:szCs w:val="28"/>
        </w:rPr>
        <w:t>е необходима цялостна оценка на натовареността за териториалните прокуратури по отделни нива (районни, окръжни и апелативни). След сравнението на различните прокуратури по нива е уместно да бъде изчислена средната натовареност, която пък да е определяща и при преценка за кадрови промени в прокуратурите.</w:t>
      </w:r>
    </w:p>
    <w:p w14:paraId="7316CACC" w14:textId="77777777" w:rsidR="00F65234" w:rsidRPr="00F65234" w:rsidRDefault="00F65234" w:rsidP="00F65234">
      <w:pPr>
        <w:spacing w:line="240" w:lineRule="auto"/>
        <w:ind w:firstLine="708"/>
        <w:jc w:val="both"/>
        <w:rPr>
          <w:rFonts w:ascii="Times New Roman" w:eastAsia="Calibri" w:hAnsi="Times New Roman" w:cs="Times New Roman"/>
          <w:sz w:val="28"/>
          <w:szCs w:val="28"/>
        </w:rPr>
      </w:pPr>
      <w:r w:rsidRPr="00F65234">
        <w:rPr>
          <w:rFonts w:ascii="Times New Roman" w:eastAsia="Calibri" w:hAnsi="Times New Roman" w:cs="Times New Roman"/>
          <w:b/>
          <w:i/>
          <w:sz w:val="28"/>
          <w:szCs w:val="28"/>
        </w:rPr>
        <w:t xml:space="preserve">7.2. При промяната на групите за случайно разпределение </w:t>
      </w:r>
      <w:r w:rsidRPr="00F65234">
        <w:rPr>
          <w:rFonts w:ascii="Times New Roman" w:eastAsia="Calibri" w:hAnsi="Times New Roman" w:cs="Times New Roman"/>
          <w:sz w:val="28"/>
          <w:szCs w:val="28"/>
        </w:rPr>
        <w:t>е необходим анализ на индивидуалната натовареност на прокурорите в отделните звена с цел преценка на правилността на определените им проценти в съответните групи. Това е от особено значение за обединените районни прокуратури във връзка с натовареността на отделните прокурори по териториални отделения и като част от съответната районна прокуратура.</w:t>
      </w:r>
    </w:p>
    <w:p w14:paraId="4C6EDD3C" w14:textId="77777777" w:rsidR="00F65234" w:rsidRPr="00F65234" w:rsidRDefault="00F65234" w:rsidP="00F65234">
      <w:pPr>
        <w:spacing w:line="240" w:lineRule="auto"/>
        <w:ind w:firstLine="708"/>
        <w:jc w:val="both"/>
        <w:rPr>
          <w:rFonts w:ascii="Times New Roman" w:eastAsia="Calibri" w:hAnsi="Times New Roman" w:cs="Times New Roman"/>
          <w:sz w:val="28"/>
          <w:szCs w:val="28"/>
        </w:rPr>
      </w:pPr>
      <w:r w:rsidRPr="00F65234">
        <w:rPr>
          <w:rFonts w:ascii="Times New Roman" w:eastAsia="Calibri" w:hAnsi="Times New Roman" w:cs="Times New Roman"/>
          <w:b/>
          <w:i/>
          <w:sz w:val="28"/>
          <w:szCs w:val="28"/>
        </w:rPr>
        <w:t xml:space="preserve">7.3. Необходима е единна система </w:t>
      </w:r>
      <w:r w:rsidRPr="00F65234">
        <w:rPr>
          <w:rFonts w:ascii="Times New Roman" w:eastAsia="Calibri" w:hAnsi="Times New Roman" w:cs="Times New Roman"/>
          <w:sz w:val="28"/>
          <w:szCs w:val="28"/>
        </w:rPr>
        <w:t>за отчитане на натовареността, която да включва всички действия и актове на прокурора, тъй като всички от тях отнемат част от времето му. Което ще допринесе за уеднаквяване показателите при прилагане</w:t>
      </w:r>
      <w:r w:rsidRPr="00F65234">
        <w:rPr>
          <w:rFonts w:ascii="Times New Roman" w:eastAsia="Calibri" w:hAnsi="Times New Roman" w:cs="Times New Roman"/>
          <w:sz w:val="28"/>
          <w:szCs w:val="28"/>
          <w:lang w:eastAsia="bg-BG"/>
        </w:rPr>
        <w:t xml:space="preserve"> показателите от таблица 5 и тези по правилата на ВСС.</w:t>
      </w:r>
    </w:p>
    <w:p w14:paraId="542A1AA4" w14:textId="77777777" w:rsidR="00F65234" w:rsidRPr="00F65234" w:rsidRDefault="00F65234" w:rsidP="00F65234">
      <w:pPr>
        <w:spacing w:line="240" w:lineRule="auto"/>
        <w:ind w:firstLine="708"/>
        <w:jc w:val="both"/>
        <w:rPr>
          <w:rFonts w:ascii="Times New Roman" w:eastAsia="Calibri" w:hAnsi="Times New Roman" w:cs="Times New Roman"/>
          <w:sz w:val="28"/>
          <w:szCs w:val="28"/>
        </w:rPr>
      </w:pPr>
      <w:r w:rsidRPr="00F65234">
        <w:rPr>
          <w:rFonts w:ascii="Times New Roman" w:eastAsia="Calibri" w:hAnsi="Times New Roman" w:cs="Times New Roman"/>
          <w:b/>
          <w:i/>
          <w:sz w:val="28"/>
          <w:szCs w:val="28"/>
        </w:rPr>
        <w:t xml:space="preserve">7.4. Необходимо е, с оглед измененията в АПК, </w:t>
      </w:r>
      <w:r w:rsidRPr="00F65234">
        <w:rPr>
          <w:rFonts w:ascii="Times New Roman" w:eastAsia="Calibri" w:hAnsi="Times New Roman" w:cs="Times New Roman"/>
          <w:sz w:val="28"/>
          <w:szCs w:val="28"/>
        </w:rPr>
        <w:t>касаещи провеждането на касационното производство по НАХД, да се предвиди натовареност за прокурорите, изготвили писмени становища по касационните дела пред административните съдилища.</w:t>
      </w:r>
    </w:p>
    <w:p w14:paraId="5B9ADC37" w14:textId="77777777" w:rsidR="00BC14F1" w:rsidRPr="00BC14F1" w:rsidRDefault="00BC14F1" w:rsidP="00BC14F1">
      <w:pPr>
        <w:spacing w:after="0" w:line="240" w:lineRule="auto"/>
        <w:jc w:val="both"/>
        <w:rPr>
          <w:rFonts w:ascii="Times New Roman" w:eastAsia="Times New Roman" w:hAnsi="Times New Roman" w:cs="Baskerville Old Face"/>
          <w:sz w:val="28"/>
          <w:szCs w:val="28"/>
        </w:rPr>
      </w:pPr>
    </w:p>
    <w:p w14:paraId="49F43213" w14:textId="77777777" w:rsidR="00BC14F1" w:rsidRDefault="00BC14F1" w:rsidP="00B94A4E">
      <w:pPr>
        <w:spacing w:after="0" w:line="240" w:lineRule="auto"/>
        <w:ind w:firstLine="708"/>
        <w:jc w:val="both"/>
        <w:rPr>
          <w:rFonts w:ascii="Times New Roman" w:hAnsi="Times New Roman"/>
          <w:sz w:val="28"/>
          <w:szCs w:val="28"/>
        </w:rPr>
      </w:pPr>
    </w:p>
    <w:p w14:paraId="20E858BD" w14:textId="77777777" w:rsidR="00320815" w:rsidRDefault="00320815">
      <w:pPr>
        <w:rPr>
          <w:rFonts w:ascii="Times New Roman" w:hAnsi="Times New Roman" w:cs="Times New Roman"/>
          <w:sz w:val="28"/>
          <w:szCs w:val="28"/>
        </w:rPr>
      </w:pPr>
      <w:r>
        <w:rPr>
          <w:rFonts w:ascii="Times New Roman" w:hAnsi="Times New Roman" w:cs="Times New Roman"/>
          <w:sz w:val="28"/>
          <w:szCs w:val="28"/>
        </w:rPr>
        <w:br w:type="page"/>
      </w:r>
    </w:p>
    <w:p w14:paraId="2FA09E13" w14:textId="77777777" w:rsidR="00897C29" w:rsidRPr="005260F7" w:rsidRDefault="00897C29" w:rsidP="00AE7BA2">
      <w:pPr>
        <w:spacing w:line="240" w:lineRule="auto"/>
        <w:ind w:firstLine="708"/>
        <w:jc w:val="both"/>
        <w:rPr>
          <w:rFonts w:ascii="Times New Roman" w:hAnsi="Times New Roman" w:cs="Times New Roman"/>
          <w:sz w:val="28"/>
          <w:szCs w:val="28"/>
        </w:rPr>
      </w:pPr>
    </w:p>
    <w:p w14:paraId="14E7B59F" w14:textId="77777777" w:rsidR="00897C29" w:rsidRPr="0049713A" w:rsidRDefault="00897C29" w:rsidP="00AE7BA2">
      <w:pPr>
        <w:shd w:val="clear" w:color="auto" w:fill="FFFFFF"/>
        <w:tabs>
          <w:tab w:val="left" w:pos="826"/>
        </w:tabs>
        <w:autoSpaceDE w:val="0"/>
        <w:autoSpaceDN w:val="0"/>
        <w:adjustRightInd w:val="0"/>
        <w:spacing w:after="0" w:line="240" w:lineRule="auto"/>
        <w:ind w:firstLine="709"/>
        <w:jc w:val="both"/>
        <w:rPr>
          <w:rFonts w:ascii="Times New Roman" w:hAnsi="Times New Roman"/>
          <w:color w:val="000000"/>
          <w:sz w:val="28"/>
          <w:szCs w:val="28"/>
        </w:rPr>
      </w:pPr>
    </w:p>
    <w:p w14:paraId="182F57D3" w14:textId="77777777" w:rsidR="00744A1A" w:rsidRPr="009F2688" w:rsidRDefault="00744A1A" w:rsidP="009F2688">
      <w:pPr>
        <w:spacing w:after="0" w:line="240" w:lineRule="auto"/>
      </w:pPr>
    </w:p>
    <w:p w14:paraId="6B4902EE" w14:textId="77777777" w:rsidR="00744A1A" w:rsidRPr="00DA7DD8" w:rsidRDefault="00744A1A" w:rsidP="003E58BB">
      <w:pPr>
        <w:keepNext/>
        <w:shd w:val="clear" w:color="auto" w:fill="FFFFFF"/>
        <w:autoSpaceDE w:val="0"/>
        <w:autoSpaceDN w:val="0"/>
        <w:adjustRightInd w:val="0"/>
        <w:spacing w:after="0" w:line="240" w:lineRule="auto"/>
        <w:jc w:val="center"/>
        <w:outlineLvl w:val="0"/>
        <w:rPr>
          <w:rFonts w:ascii="Times New Roman" w:hAnsi="Times New Roman" w:cs="Times New Roman"/>
          <w:b/>
          <w:caps/>
          <w:color w:val="000000"/>
          <w:kern w:val="32"/>
          <w:sz w:val="32"/>
          <w:lang w:val="en-US"/>
        </w:rPr>
      </w:pPr>
      <w:bookmarkStart w:id="138" w:name="_Toc127370317"/>
      <w:r w:rsidRPr="00DA7DD8">
        <w:rPr>
          <w:rFonts w:ascii="Times New Roman" w:hAnsi="Times New Roman" w:cs="Times New Roman"/>
          <w:b/>
          <w:caps/>
          <w:color w:val="000000"/>
          <w:kern w:val="32"/>
          <w:sz w:val="32"/>
        </w:rPr>
        <w:t xml:space="preserve">РАЗДЕЛ </w:t>
      </w:r>
      <w:r w:rsidR="00E7324A" w:rsidRPr="00DA7DD8">
        <w:rPr>
          <w:rFonts w:ascii="Times New Roman" w:hAnsi="Times New Roman" w:cs="Times New Roman"/>
          <w:b/>
          <w:caps/>
          <w:color w:val="000000"/>
          <w:kern w:val="32"/>
          <w:sz w:val="32"/>
          <w:lang w:val="en-US"/>
        </w:rPr>
        <w:t>III</w:t>
      </w:r>
      <w:bookmarkEnd w:id="138"/>
    </w:p>
    <w:p w14:paraId="6B025706" w14:textId="77777777" w:rsidR="00744A1A" w:rsidRPr="00DA7DD8" w:rsidRDefault="00E7324A" w:rsidP="00B13859">
      <w:pPr>
        <w:keepNext/>
        <w:shd w:val="clear" w:color="auto" w:fill="FFFFFF"/>
        <w:autoSpaceDE w:val="0"/>
        <w:autoSpaceDN w:val="0"/>
        <w:adjustRightInd w:val="0"/>
        <w:spacing w:after="0" w:line="240" w:lineRule="auto"/>
        <w:jc w:val="center"/>
        <w:outlineLvl w:val="0"/>
        <w:rPr>
          <w:rFonts w:ascii="Times New Roman" w:hAnsi="Times New Roman" w:cs="Times New Roman"/>
          <w:b/>
          <w:caps/>
          <w:color w:val="000000"/>
          <w:kern w:val="32"/>
          <w:sz w:val="32"/>
        </w:rPr>
      </w:pPr>
      <w:bookmarkStart w:id="139" w:name="_Toc127370318"/>
      <w:r w:rsidRPr="00DA7DD8">
        <w:rPr>
          <w:rFonts w:ascii="Times New Roman" w:hAnsi="Times New Roman" w:cs="Times New Roman"/>
          <w:b/>
          <w:caps/>
          <w:color w:val="000000"/>
          <w:kern w:val="32"/>
          <w:sz w:val="32"/>
        </w:rPr>
        <w:t>ДЕЙНОСТ НА ВЪРХОВНАТА КАСАЦИОННА ПРОКУРАТУРА</w:t>
      </w:r>
      <w:bookmarkEnd w:id="139"/>
    </w:p>
    <w:p w14:paraId="53D1770A" w14:textId="77777777" w:rsidR="00744A1A" w:rsidRPr="00DA7DD8" w:rsidRDefault="00744A1A" w:rsidP="00E7324A"/>
    <w:p w14:paraId="257F4E14" w14:textId="77777777" w:rsidR="00DA7DD8" w:rsidRPr="00DA7DD8" w:rsidRDefault="00DA7DD8" w:rsidP="00DA7DD8">
      <w:pPr>
        <w:keepNext/>
        <w:shd w:val="clear" w:color="auto" w:fill="FFFFFF"/>
        <w:autoSpaceDE w:val="0"/>
        <w:autoSpaceDN w:val="0"/>
        <w:adjustRightInd w:val="0"/>
        <w:spacing w:after="0" w:line="240" w:lineRule="auto"/>
        <w:jc w:val="center"/>
        <w:outlineLvl w:val="0"/>
        <w:rPr>
          <w:rFonts w:ascii="Times New Roman" w:hAnsi="Times New Roman" w:cs="Times New Roman"/>
          <w:b/>
          <w:caps/>
          <w:color w:val="000000"/>
          <w:kern w:val="32"/>
          <w:sz w:val="32"/>
          <w:lang w:val="en-US"/>
        </w:rPr>
      </w:pPr>
      <w:bookmarkStart w:id="140" w:name="_Toc127370319"/>
      <w:r w:rsidRPr="00DA7DD8">
        <w:rPr>
          <w:rFonts w:ascii="Times New Roman" w:hAnsi="Times New Roman" w:cs="Times New Roman"/>
          <w:b/>
          <w:caps/>
          <w:color w:val="000000"/>
          <w:kern w:val="32"/>
          <w:sz w:val="32"/>
          <w:lang w:val="en-US"/>
        </w:rPr>
        <w:t>РАЗДЕЛ IV</w:t>
      </w:r>
      <w:bookmarkEnd w:id="140"/>
    </w:p>
    <w:p w14:paraId="1FE32391" w14:textId="77777777" w:rsidR="00DA7DD8" w:rsidRPr="00DA7DD8" w:rsidRDefault="00DA7DD8" w:rsidP="00DA7DD8">
      <w:pPr>
        <w:keepNext/>
        <w:shd w:val="clear" w:color="auto" w:fill="FFFFFF"/>
        <w:autoSpaceDE w:val="0"/>
        <w:autoSpaceDN w:val="0"/>
        <w:adjustRightInd w:val="0"/>
        <w:spacing w:after="0" w:line="240" w:lineRule="auto"/>
        <w:jc w:val="center"/>
        <w:outlineLvl w:val="0"/>
        <w:rPr>
          <w:rFonts w:ascii="Times New Roman" w:hAnsi="Times New Roman" w:cs="Times New Roman"/>
          <w:b/>
          <w:caps/>
          <w:color w:val="000000"/>
          <w:kern w:val="32"/>
          <w:sz w:val="32"/>
          <w:lang w:val="en-US"/>
        </w:rPr>
      </w:pPr>
      <w:bookmarkStart w:id="141" w:name="_Toc127370320"/>
      <w:r w:rsidRPr="00DA7DD8">
        <w:rPr>
          <w:rFonts w:ascii="Times New Roman" w:hAnsi="Times New Roman" w:cs="Times New Roman"/>
          <w:b/>
          <w:caps/>
          <w:color w:val="000000"/>
          <w:kern w:val="32"/>
          <w:sz w:val="32"/>
          <w:lang w:val="en-US"/>
        </w:rPr>
        <w:t>ДЕЙНОСТ НА ТЕРИТОРИАЛНИТЕ ПРОКУРАТУРИ И НА ОКРЪЖНА ПРОКУРАТУРА МОНТАНА ПО АДМИНИСТРАТИВНОСЪДЕБНИЯ НАДЗОР И НАДЗОРА ЗА ЗАКОННОСТ</w:t>
      </w:r>
      <w:bookmarkEnd w:id="141"/>
    </w:p>
    <w:p w14:paraId="67D84465" w14:textId="77777777" w:rsidR="00DA7DD8" w:rsidRPr="00DA7DD8" w:rsidRDefault="00DA7DD8" w:rsidP="00DA7DD8">
      <w:pPr>
        <w:rPr>
          <w:rFonts w:ascii="Calibri" w:eastAsia="Calibri" w:hAnsi="Calibri" w:cs="Times New Roman"/>
          <w:lang w:val="en-US"/>
        </w:rPr>
      </w:pPr>
    </w:p>
    <w:p w14:paraId="5182E117" w14:textId="77777777" w:rsidR="00A42673" w:rsidRPr="00A42673" w:rsidRDefault="00A42673" w:rsidP="00A42673">
      <w:pPr>
        <w:keepNext/>
        <w:shd w:val="clear" w:color="auto" w:fill="FFFFFF"/>
        <w:tabs>
          <w:tab w:val="left" w:pos="763"/>
        </w:tabs>
        <w:autoSpaceDE w:val="0"/>
        <w:autoSpaceDN w:val="0"/>
        <w:adjustRightInd w:val="0"/>
        <w:spacing w:after="0" w:line="240" w:lineRule="auto"/>
        <w:ind w:firstLine="720"/>
        <w:jc w:val="both"/>
        <w:outlineLvl w:val="1"/>
        <w:rPr>
          <w:rFonts w:ascii="Times New Roman" w:eastAsia="Calibri" w:hAnsi="Times New Roman" w:cs="Arial"/>
          <w:b/>
          <w:iCs/>
          <w:color w:val="000000"/>
          <w:sz w:val="28"/>
          <w:lang w:eastAsia="bg-BG"/>
        </w:rPr>
      </w:pPr>
      <w:bookmarkStart w:id="142" w:name="_Toc127370321"/>
      <w:r w:rsidRPr="00A42673">
        <w:rPr>
          <w:rFonts w:ascii="Times New Roman" w:eastAsia="Calibri" w:hAnsi="Times New Roman" w:cs="Arial"/>
          <w:b/>
          <w:iCs/>
          <w:color w:val="000000"/>
          <w:sz w:val="28"/>
          <w:lang w:eastAsia="bg-BG"/>
        </w:rPr>
        <w:t>I. ДЕЙНОСТ НА ТЕРИТОРИАЛНИТЕ ПРОКУРАТУРИ</w:t>
      </w:r>
      <w:bookmarkEnd w:id="142"/>
    </w:p>
    <w:p w14:paraId="2502206D" w14:textId="77777777" w:rsidR="00A42673" w:rsidRPr="00A42673" w:rsidRDefault="00A42673" w:rsidP="00A42673">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color w:val="000000"/>
          <w:sz w:val="28"/>
          <w:u w:val="single"/>
          <w:lang w:eastAsia="bg-BG"/>
        </w:rPr>
      </w:pPr>
      <w:bookmarkStart w:id="143" w:name="_Toc380392152"/>
      <w:bookmarkStart w:id="144" w:name="_Toc127370322"/>
      <w:r w:rsidRPr="00A42673">
        <w:rPr>
          <w:rFonts w:ascii="Times New Roman" w:eastAsia="Calibri" w:hAnsi="Times New Roman" w:cs="Arial"/>
          <w:b/>
          <w:color w:val="000000"/>
          <w:sz w:val="28"/>
          <w:u w:val="single"/>
          <w:lang w:eastAsia="bg-BG"/>
        </w:rPr>
        <w:t>1. Състояние и организация на дейността по административно-съдебния надзор и надзора за законност по прилагането на закона.</w:t>
      </w:r>
      <w:bookmarkEnd w:id="143"/>
      <w:bookmarkEnd w:id="144"/>
    </w:p>
    <w:p w14:paraId="5DA2ACBE" w14:textId="77777777" w:rsidR="00A42673" w:rsidRPr="00A42673" w:rsidRDefault="00A42673" w:rsidP="00A42673">
      <w:pPr>
        <w:shd w:val="clear" w:color="auto" w:fill="FFFFFF"/>
        <w:tabs>
          <w:tab w:val="left" w:pos="826"/>
        </w:tabs>
        <w:autoSpaceDE w:val="0"/>
        <w:autoSpaceDN w:val="0"/>
        <w:adjustRightInd w:val="0"/>
        <w:spacing w:after="0" w:line="240" w:lineRule="auto"/>
        <w:ind w:firstLine="709"/>
        <w:jc w:val="both"/>
        <w:rPr>
          <w:rFonts w:ascii="Calibri" w:eastAsia="Calibri" w:hAnsi="Calibri" w:cs="Times New Roman"/>
          <w:color w:val="000000"/>
          <w:sz w:val="28"/>
          <w:lang w:eastAsia="bg-BG"/>
        </w:rPr>
      </w:pPr>
    </w:p>
    <w:p w14:paraId="44C9E93D" w14:textId="77777777" w:rsidR="00A42673" w:rsidRPr="00A42673" w:rsidRDefault="00A42673" w:rsidP="00A42673">
      <w:pPr>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w:eastAsia="Calibri" w:hAnsi="Times New Roman" w:cs="Times New Roman"/>
          <w:color w:val="000000"/>
          <w:sz w:val="28"/>
          <w:szCs w:val="28"/>
        </w:rPr>
        <w:t xml:space="preserve">Дейността по административно-съдебния надзор и надзора за законност в Окръжна прокуратура гр. Монтана, се осъществява от отдел, състоящ се  до </w:t>
      </w:r>
      <w:r w:rsidRPr="00A42673">
        <w:rPr>
          <w:rFonts w:ascii="Times New Roman CYR" w:eastAsia="Times New Roman" w:hAnsi="Times New Roman CYR" w:cs="Times New Roman CYR"/>
          <w:sz w:val="28"/>
          <w:szCs w:val="28"/>
          <w:lang w:val="en-US" w:eastAsia="bg-BG"/>
        </w:rPr>
        <w:t>07</w:t>
      </w:r>
      <w:r w:rsidRPr="00A42673">
        <w:rPr>
          <w:rFonts w:ascii="Times New Roman CYR" w:eastAsia="Times New Roman" w:hAnsi="Times New Roman CYR" w:cs="Times New Roman CYR"/>
          <w:sz w:val="28"/>
          <w:szCs w:val="28"/>
          <w:lang w:eastAsia="bg-BG"/>
        </w:rPr>
        <w:t xml:space="preserve">.06.2022 година </w:t>
      </w:r>
      <w:r w:rsidRPr="00A42673">
        <w:rPr>
          <w:rFonts w:ascii="Times New Roman" w:eastAsia="Calibri" w:hAnsi="Times New Roman" w:cs="Times New Roman"/>
          <w:color w:val="000000"/>
          <w:sz w:val="28"/>
          <w:szCs w:val="28"/>
        </w:rPr>
        <w:t xml:space="preserve"> от двама прокурори, а от същата дата   от трима прокурори.</w:t>
      </w:r>
    </w:p>
    <w:p w14:paraId="11059870"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За проверявания период  са действали 5 броя заповеди, както следва:</w:t>
      </w:r>
    </w:p>
    <w:p w14:paraId="1EB5BAE9" w14:textId="77777777" w:rsidR="00A42673" w:rsidRPr="00A42673" w:rsidRDefault="00A42673" w:rsidP="00A42673">
      <w:pPr>
        <w:spacing w:after="0" w:line="240" w:lineRule="auto"/>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Заповед № РД – 04-02/04.01.2022 година, Заповед № РД – 04-24/10.02.2022 година, Заповед № РД – 04-68/30.05.2022 година, Заповед № РД – 04-75/07.06.2022 година и Заповед № РД – 04-108/28.07.2022 година, издадени от административния ръководител на Окръжна прокуратура Монтана, същите са издавани поради промени в персоналния състав на прокурорите в Окръжна прокуратура Монтана. Численият и персоналният състав, както и разпределението на прокурорите и тяхната натовареност в административно-съдебния надзор и надзора за законност също са променени, като със Заповед № РД – 04-75/07.06.2022 година в  отдела от двама прокурори е включен още един. Към настоящия момент в административно-съдебния надзор и надзора за законност работят трима прокурори.</w:t>
      </w:r>
    </w:p>
    <w:p w14:paraId="3CD0354A"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На районно ниво в Районна прокуратура Монтана с териториалните й поделения е създадена необходимата организация във връзка с изпълнение на функциите и правомощията на прокурорите по тези надзори, като е отчетена спецификата на дейността им. Налице са условия, които допринасят за повишаване специализацията на прокурорите, както и за утвърждаване ролята на прокуратурата за правилното прилагане на закона и отстояване на принципите на законността.</w:t>
      </w:r>
    </w:p>
    <w:p w14:paraId="1A993E03"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 xml:space="preserve">Годишният план по надзора за законност е съобразен със спецификата на района и произтичащите от това конкретни основания за намеса. </w:t>
      </w:r>
    </w:p>
    <w:p w14:paraId="03ECC2AC"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 xml:space="preserve">Освен при изпълнение на плановете, действия по надзора за законност са предприемани както по инициатива на прокурорите, така и след сигнали на граждани и организации. Главната цел по административно – съдебния надзор </w:t>
      </w:r>
      <w:r w:rsidRPr="00A42673">
        <w:rPr>
          <w:rFonts w:ascii="Times New Roman" w:eastAsia="Calibri" w:hAnsi="Times New Roman" w:cs="Times New Roman"/>
          <w:color w:val="000000"/>
          <w:sz w:val="28"/>
          <w:szCs w:val="28"/>
        </w:rPr>
        <w:lastRenderedPageBreak/>
        <w:t>и надзора за законност през отчетната 2022 год. е била да се осигури законосъобразност на административните и подзаконовите нормативни актове, издавани от органите на местна власт и самоуправление  на територията,  обслужвана от Окръжна прокуратура  и Районна прокуратура Монтана.</w:t>
      </w:r>
    </w:p>
    <w:p w14:paraId="2CF50233"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p>
    <w:p w14:paraId="4E621D77" w14:textId="77777777" w:rsidR="00A42673" w:rsidRPr="00A42673" w:rsidRDefault="00A42673" w:rsidP="00A42673">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Arial"/>
          <w:b/>
          <w:color w:val="000000"/>
          <w:sz w:val="28"/>
          <w:lang w:eastAsia="bg-BG"/>
        </w:rPr>
      </w:pPr>
      <w:bookmarkStart w:id="145" w:name="_Toc127370323"/>
      <w:r w:rsidRPr="00A42673">
        <w:rPr>
          <w:rFonts w:ascii="Times New Roman" w:eastAsia="Calibri" w:hAnsi="Times New Roman" w:cs="Arial"/>
          <w:b/>
          <w:color w:val="000000"/>
          <w:sz w:val="28"/>
          <w:lang w:eastAsia="bg-BG"/>
        </w:rPr>
        <w:t>1.1. Кадрово обезпечаване, квалификация на прокурорите, натовареност по видове надзори и средно на един прокурор.</w:t>
      </w:r>
      <w:bookmarkEnd w:id="145"/>
    </w:p>
    <w:p w14:paraId="25114E40"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 xml:space="preserve">В административния отдел в ОП Монтана съгласно  Заповед № РД – 04-02/04.01.2022 година, Заповед № РД – 04-24/10.02.2022 година, Заповед № РД – 04-68/30.05.2022 година, Заповед № РД – 04-75/07.06.2022 година и Заповед № РД – 04-108/28.07.2022 година, в изпълнение на Заповед № РД-02-41/14.10.2015 г. на Главния прокурор на Република България, изменена и допълнена със Заповед № РД-02-6 от 06.04.2016 г., с която са утвърдени Правила за  приложението и разпределението на  преписките и досъдебните производства на принципа на случайния подбор в ПРБ  и настъпилите промени в тях,  в Окръжна прокуратура Монтана е определена група „Надзор за законност и административно съдебен надзор“, в която са включени към настоящия момент  трима прокурори. Определена е натовареността на един от прокурорите 100%, а на останалите двама по 40%.  </w:t>
      </w:r>
    </w:p>
    <w:p w14:paraId="23F3B5EF" w14:textId="77777777" w:rsidR="00A42673" w:rsidRPr="00A42673" w:rsidRDefault="00A42673" w:rsidP="00A42673">
      <w:pPr>
        <w:spacing w:after="0" w:line="240" w:lineRule="auto"/>
        <w:ind w:firstLine="720"/>
        <w:jc w:val="both"/>
        <w:rPr>
          <w:rFonts w:ascii="Times New Roman" w:eastAsia="Calibri" w:hAnsi="Times New Roman" w:cs="Times New Roman"/>
        </w:rPr>
      </w:pPr>
      <w:r w:rsidRPr="00A42673">
        <w:rPr>
          <w:rFonts w:ascii="Times New Roman" w:eastAsia="Calibri" w:hAnsi="Times New Roman" w:cs="Times New Roman"/>
          <w:color w:val="000000"/>
          <w:sz w:val="28"/>
          <w:szCs w:val="28"/>
        </w:rPr>
        <w:t>Със заповеди на Административния ръководител на Районна прокуратура  Монтана са определени 11 прокурори, които осъществяват дейността по надзора за законност в защита на обществения интерес и правата на гражданите, а именно прокурор.</w:t>
      </w:r>
      <w:r w:rsidRPr="00A42673">
        <w:rPr>
          <w:rFonts w:ascii="Times New Roman" w:eastAsia="Calibri" w:hAnsi="Times New Roman" w:cs="Times New Roman"/>
          <w:sz w:val="28"/>
          <w:szCs w:val="28"/>
        </w:rPr>
        <w:t xml:space="preserve"> Създадена е необходимата за ефективна работа организация. </w:t>
      </w:r>
    </w:p>
    <w:p w14:paraId="57974CA4"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 xml:space="preserve">Натовареността на прокурора по административно-съдебния надзор  в ОП Монтана в голяма степен е предопределена от тази на регионалния административен съд. Голяма част от делата в Административен съд  Монтана са с касационно наказателно-административен характер със задължително участие на прокурор, което определя и степента на натовареност на прокурорите от отдела. Съдиите от Административния съд са пет на брой,   обособени в три състава при разглеждане на делата в съдебно заседание, по които участва прокурорът от административния отдел, чието работно място е в сградата на АС Монтана. Извън участията в съдебни заседания по административни дела, при отчитане на натовареността на прокурорите от отдела, следва да се включи и дейността по решаване на преписки, извършване на общонадзорни проверки, възложени от горестоящи прокуратури, и заложени в годишния план на този надзор, както и по самоинициатива след самосезиране по материали от средствата за масова информация. </w:t>
      </w:r>
    </w:p>
    <w:p w14:paraId="62641FF8" w14:textId="77777777" w:rsidR="00A42673" w:rsidRPr="00A42673" w:rsidRDefault="00A42673" w:rsidP="00A42673">
      <w:pPr>
        <w:spacing w:after="0" w:line="240" w:lineRule="auto"/>
        <w:jc w:val="both"/>
        <w:rPr>
          <w:rFonts w:ascii="Times New Roman" w:eastAsia="Calibri" w:hAnsi="Times New Roman" w:cs="Times New Roman"/>
          <w:color w:val="000000"/>
          <w:sz w:val="28"/>
          <w:szCs w:val="28"/>
        </w:rPr>
      </w:pPr>
    </w:p>
    <w:p w14:paraId="362B589E" w14:textId="77777777" w:rsidR="00A42673" w:rsidRPr="00A42673" w:rsidRDefault="00A42673" w:rsidP="00A42673">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Arial"/>
          <w:b/>
          <w:i/>
          <w:color w:val="000000"/>
          <w:sz w:val="28"/>
          <w:lang w:eastAsia="bg-BG"/>
        </w:rPr>
      </w:pPr>
      <w:bookmarkStart w:id="146" w:name="_Toc380392154"/>
      <w:bookmarkStart w:id="147" w:name="_Toc127370324"/>
      <w:r w:rsidRPr="00A42673">
        <w:rPr>
          <w:rFonts w:ascii="Times New Roman" w:eastAsia="Calibri" w:hAnsi="Times New Roman" w:cs="Arial"/>
          <w:b/>
          <w:i/>
          <w:color w:val="000000"/>
          <w:sz w:val="28"/>
          <w:lang w:eastAsia="bg-BG"/>
        </w:rPr>
        <w:t>1.2. Проблеми при прилагането на законовата и подзаконовата нормативна уредба и предложения за законодателни промени.</w:t>
      </w:r>
      <w:bookmarkEnd w:id="146"/>
      <w:bookmarkEnd w:id="147"/>
    </w:p>
    <w:p w14:paraId="37F371FA"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 xml:space="preserve">Честите изменения в нормативната уредба, уреждаща издаването, изпълнението и оспорването на административни актове и подзаконови нормативни актове, създават в някои случаи проблем при прилагането на </w:t>
      </w:r>
      <w:r w:rsidRPr="00A42673">
        <w:rPr>
          <w:rFonts w:ascii="Times New Roman" w:eastAsia="Calibri" w:hAnsi="Times New Roman" w:cs="Times New Roman"/>
          <w:color w:val="000000"/>
          <w:sz w:val="28"/>
          <w:szCs w:val="28"/>
        </w:rPr>
        <w:lastRenderedPageBreak/>
        <w:t xml:space="preserve">материално-правните норми. Това налага уеднаквяване на прокурорската практика по отделни видове административни дела. Прокурорът от отдела осъществява постоянно наблюдение и анализ на съдебната практика по административни дела в Административен съд Монтана, с оглед сигнализиране на ВАП при констатирана противоречива или неправилна такава. </w:t>
      </w:r>
      <w:bookmarkStart w:id="148" w:name="_Toc380392155"/>
    </w:p>
    <w:p w14:paraId="11684FBA"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p>
    <w:p w14:paraId="69C7461E" w14:textId="77777777" w:rsidR="00A42673" w:rsidRPr="00A42673" w:rsidRDefault="00A42673" w:rsidP="00A42673">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color w:val="000000"/>
          <w:sz w:val="28"/>
          <w:u w:val="single"/>
          <w:lang w:eastAsia="bg-BG"/>
        </w:rPr>
      </w:pPr>
      <w:bookmarkStart w:id="149" w:name="_Toc127370325"/>
      <w:r w:rsidRPr="00A42673">
        <w:rPr>
          <w:rFonts w:ascii="Times New Roman" w:eastAsia="Calibri" w:hAnsi="Times New Roman" w:cs="Arial"/>
          <w:b/>
          <w:color w:val="000000"/>
          <w:sz w:val="28"/>
          <w:u w:val="single"/>
          <w:lang w:eastAsia="bg-BG"/>
        </w:rPr>
        <w:t>2. Дейност на административния отдел при Окръжна прокуратура Монтана по административно-съдебния надзор за законност на административните актове.</w:t>
      </w:r>
      <w:bookmarkEnd w:id="148"/>
      <w:bookmarkEnd w:id="149"/>
    </w:p>
    <w:p w14:paraId="1CD9EBE8" w14:textId="77777777" w:rsidR="00A42673" w:rsidRPr="00A42673" w:rsidRDefault="00A42673" w:rsidP="00A42673">
      <w:pPr>
        <w:spacing w:after="0" w:line="240" w:lineRule="auto"/>
        <w:ind w:firstLine="709"/>
        <w:jc w:val="both"/>
        <w:rPr>
          <w:rFonts w:ascii="Times New Roman" w:eastAsia="Calibri" w:hAnsi="Times New Roman" w:cs="Times New Roman"/>
          <w:b/>
          <w:iCs/>
          <w:color w:val="000000"/>
          <w:sz w:val="28"/>
          <w:szCs w:val="28"/>
          <w:lang w:eastAsia="bg-BG"/>
        </w:rPr>
      </w:pPr>
    </w:p>
    <w:p w14:paraId="6F3BD22F" w14:textId="77777777" w:rsidR="00A42673" w:rsidRPr="00A42673" w:rsidRDefault="00A42673" w:rsidP="00A42673">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Arial"/>
          <w:b/>
          <w:i/>
          <w:color w:val="000000"/>
          <w:sz w:val="28"/>
          <w:lang w:eastAsia="bg-BG"/>
        </w:rPr>
      </w:pPr>
      <w:bookmarkStart w:id="150" w:name="_Toc380392156"/>
      <w:bookmarkStart w:id="151" w:name="_Toc127370326"/>
      <w:r w:rsidRPr="00A42673">
        <w:rPr>
          <w:rFonts w:ascii="Times New Roman" w:eastAsia="Calibri" w:hAnsi="Times New Roman" w:cs="Arial"/>
          <w:b/>
          <w:i/>
          <w:color w:val="000000"/>
          <w:sz w:val="28"/>
          <w:lang w:eastAsia="bg-BG"/>
        </w:rPr>
        <w:t>2.1. Участие по закон в съдебни заседания по административни дела.</w:t>
      </w:r>
      <w:bookmarkEnd w:id="150"/>
      <w:bookmarkEnd w:id="151"/>
      <w:r w:rsidRPr="00A42673">
        <w:rPr>
          <w:rFonts w:ascii="Times New Roman" w:eastAsia="Calibri" w:hAnsi="Times New Roman" w:cs="Arial"/>
          <w:b/>
          <w:i/>
          <w:color w:val="000000"/>
          <w:sz w:val="28"/>
          <w:lang w:eastAsia="bg-BG"/>
        </w:rPr>
        <w:t xml:space="preserve"> </w:t>
      </w:r>
    </w:p>
    <w:p w14:paraId="64FB4A09"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През 2022 г. прокурорът, отговарящ за дейността по административно-съдебния надзор,  е взел участие в общо  в  286 съдебни заседания, в които са разгледани 242 административни дела. От тях първоинстанционни дела с участие на прокурор са 76 броя, касационните дела – 166 броя. Проведените съдебни заседания по образувани административни дела по протест на прокурор са 7 броя.</w:t>
      </w:r>
    </w:p>
    <w:p w14:paraId="175429F1"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Абсолютните данни за участие на прокурора по административни дела през 2022 г. (по закон, по Указание на главния прокурор и по лична преценка), съпоставени с данните от предходните две години, са видни от следната таблица:</w:t>
      </w:r>
    </w:p>
    <w:p w14:paraId="12D9C0E5"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1403"/>
        <w:gridCol w:w="1406"/>
        <w:gridCol w:w="1379"/>
        <w:gridCol w:w="1757"/>
        <w:gridCol w:w="1753"/>
      </w:tblGrid>
      <w:tr w:rsidR="00A42673" w:rsidRPr="00A42673" w14:paraId="68994F82" w14:textId="77777777" w:rsidTr="00A42673">
        <w:tc>
          <w:tcPr>
            <w:tcW w:w="1482" w:type="dxa"/>
            <w:tcBorders>
              <w:top w:val="single" w:sz="4" w:space="0" w:color="auto"/>
              <w:left w:val="single" w:sz="4" w:space="0" w:color="auto"/>
              <w:bottom w:val="single" w:sz="4" w:space="0" w:color="auto"/>
              <w:right w:val="single" w:sz="4" w:space="0" w:color="auto"/>
            </w:tcBorders>
            <w:hideMark/>
          </w:tcPr>
          <w:p w14:paraId="46C9C976" w14:textId="77777777" w:rsidR="00A42673" w:rsidRPr="00A42673" w:rsidRDefault="00A42673" w:rsidP="00A42673">
            <w:pPr>
              <w:spacing w:after="0" w:line="240" w:lineRule="auto"/>
              <w:rPr>
                <w:rFonts w:ascii="Times New Roman" w:eastAsia="Calibri" w:hAnsi="Times New Roman" w:cs="Times New Roman"/>
                <w:i/>
                <w:sz w:val="24"/>
                <w:szCs w:val="24"/>
              </w:rPr>
            </w:pPr>
            <w:r w:rsidRPr="00A42673">
              <w:rPr>
                <w:rFonts w:ascii="Times New Roman" w:eastAsia="Calibri" w:hAnsi="Times New Roman" w:cs="Times New Roman"/>
                <w:i/>
                <w:sz w:val="24"/>
                <w:szCs w:val="24"/>
              </w:rPr>
              <w:t>Година</w:t>
            </w:r>
          </w:p>
        </w:tc>
        <w:tc>
          <w:tcPr>
            <w:tcW w:w="1403" w:type="dxa"/>
            <w:tcBorders>
              <w:top w:val="single" w:sz="4" w:space="0" w:color="auto"/>
              <w:left w:val="single" w:sz="4" w:space="0" w:color="auto"/>
              <w:bottom w:val="single" w:sz="4" w:space="0" w:color="auto"/>
              <w:right w:val="single" w:sz="4" w:space="0" w:color="auto"/>
            </w:tcBorders>
            <w:hideMark/>
          </w:tcPr>
          <w:p w14:paraId="46429D84" w14:textId="77777777" w:rsidR="00A42673" w:rsidRPr="00A42673" w:rsidRDefault="00A42673" w:rsidP="00A42673">
            <w:pPr>
              <w:spacing w:after="0" w:line="240" w:lineRule="auto"/>
              <w:jc w:val="center"/>
              <w:rPr>
                <w:rFonts w:ascii="Times New Roman" w:eastAsia="Calibri" w:hAnsi="Times New Roman" w:cs="Times New Roman"/>
                <w:i/>
                <w:sz w:val="24"/>
                <w:szCs w:val="24"/>
              </w:rPr>
            </w:pPr>
            <w:r w:rsidRPr="00A42673">
              <w:rPr>
                <w:rFonts w:ascii="Times New Roman" w:eastAsia="Calibri" w:hAnsi="Times New Roman" w:cs="Times New Roman"/>
                <w:i/>
                <w:sz w:val="24"/>
                <w:szCs w:val="24"/>
              </w:rPr>
              <w:t>Общ брой адм. дела с участие на прокурор</w:t>
            </w:r>
          </w:p>
        </w:tc>
        <w:tc>
          <w:tcPr>
            <w:tcW w:w="1406" w:type="dxa"/>
            <w:tcBorders>
              <w:top w:val="single" w:sz="4" w:space="0" w:color="auto"/>
              <w:left w:val="single" w:sz="4" w:space="0" w:color="auto"/>
              <w:bottom w:val="single" w:sz="4" w:space="0" w:color="auto"/>
              <w:right w:val="single" w:sz="4" w:space="0" w:color="auto"/>
            </w:tcBorders>
            <w:hideMark/>
          </w:tcPr>
          <w:p w14:paraId="04A1AF24" w14:textId="77777777" w:rsidR="00A42673" w:rsidRPr="00A42673" w:rsidRDefault="00A42673" w:rsidP="00A42673">
            <w:pPr>
              <w:spacing w:after="0" w:line="240" w:lineRule="auto"/>
              <w:jc w:val="center"/>
              <w:rPr>
                <w:rFonts w:ascii="Times New Roman" w:eastAsia="Calibri" w:hAnsi="Times New Roman" w:cs="Times New Roman"/>
                <w:i/>
                <w:sz w:val="24"/>
                <w:szCs w:val="24"/>
              </w:rPr>
            </w:pPr>
            <w:r w:rsidRPr="00A42673">
              <w:rPr>
                <w:rFonts w:ascii="Times New Roman" w:eastAsia="Calibri" w:hAnsi="Times New Roman" w:cs="Times New Roman"/>
                <w:i/>
                <w:sz w:val="24"/>
                <w:szCs w:val="24"/>
              </w:rPr>
              <w:t>Общ брой съдебни заседания</w:t>
            </w:r>
          </w:p>
        </w:tc>
        <w:tc>
          <w:tcPr>
            <w:tcW w:w="1379" w:type="dxa"/>
            <w:tcBorders>
              <w:top w:val="single" w:sz="4" w:space="0" w:color="auto"/>
              <w:left w:val="single" w:sz="4" w:space="0" w:color="auto"/>
              <w:bottom w:val="single" w:sz="4" w:space="0" w:color="auto"/>
              <w:right w:val="single" w:sz="4" w:space="0" w:color="auto"/>
            </w:tcBorders>
            <w:hideMark/>
          </w:tcPr>
          <w:p w14:paraId="49C8B7EB" w14:textId="77777777" w:rsidR="00A42673" w:rsidRPr="00A42673" w:rsidRDefault="00A42673" w:rsidP="00A42673">
            <w:pPr>
              <w:spacing w:after="0" w:line="240" w:lineRule="auto"/>
              <w:jc w:val="center"/>
              <w:rPr>
                <w:rFonts w:ascii="Times New Roman" w:eastAsia="Calibri" w:hAnsi="Times New Roman" w:cs="Times New Roman"/>
                <w:i/>
                <w:sz w:val="24"/>
                <w:szCs w:val="24"/>
              </w:rPr>
            </w:pPr>
            <w:r w:rsidRPr="00A42673">
              <w:rPr>
                <w:rFonts w:ascii="Times New Roman" w:eastAsia="Calibri" w:hAnsi="Times New Roman" w:cs="Times New Roman"/>
                <w:i/>
                <w:sz w:val="24"/>
                <w:szCs w:val="24"/>
              </w:rPr>
              <w:t>Адм. дела</w:t>
            </w:r>
          </w:p>
          <w:p w14:paraId="344482EC" w14:textId="77777777" w:rsidR="00A42673" w:rsidRPr="00A42673" w:rsidRDefault="00A42673" w:rsidP="00A42673">
            <w:pPr>
              <w:spacing w:after="0" w:line="240" w:lineRule="auto"/>
              <w:jc w:val="center"/>
              <w:rPr>
                <w:rFonts w:ascii="Times New Roman" w:eastAsia="Calibri" w:hAnsi="Times New Roman" w:cs="Times New Roman"/>
                <w:i/>
                <w:sz w:val="24"/>
                <w:szCs w:val="24"/>
              </w:rPr>
            </w:pPr>
            <w:r w:rsidRPr="00A42673">
              <w:rPr>
                <w:rFonts w:ascii="Times New Roman" w:eastAsia="Calibri" w:hAnsi="Times New Roman" w:cs="Times New Roman"/>
                <w:i/>
                <w:sz w:val="24"/>
                <w:szCs w:val="24"/>
              </w:rPr>
              <w:t>по закон</w:t>
            </w:r>
          </w:p>
        </w:tc>
        <w:tc>
          <w:tcPr>
            <w:tcW w:w="1757" w:type="dxa"/>
            <w:tcBorders>
              <w:top w:val="single" w:sz="4" w:space="0" w:color="auto"/>
              <w:left w:val="single" w:sz="4" w:space="0" w:color="auto"/>
              <w:bottom w:val="single" w:sz="4" w:space="0" w:color="auto"/>
              <w:right w:val="single" w:sz="4" w:space="0" w:color="auto"/>
            </w:tcBorders>
            <w:hideMark/>
          </w:tcPr>
          <w:p w14:paraId="435F5553" w14:textId="77777777" w:rsidR="00A42673" w:rsidRPr="00A42673" w:rsidRDefault="00A42673" w:rsidP="00A42673">
            <w:pPr>
              <w:spacing w:after="0" w:line="240" w:lineRule="auto"/>
              <w:jc w:val="center"/>
              <w:rPr>
                <w:rFonts w:ascii="Times New Roman" w:eastAsia="Calibri" w:hAnsi="Times New Roman" w:cs="Times New Roman"/>
                <w:i/>
                <w:sz w:val="24"/>
                <w:szCs w:val="24"/>
              </w:rPr>
            </w:pPr>
            <w:r w:rsidRPr="00A42673">
              <w:rPr>
                <w:rFonts w:ascii="Times New Roman" w:eastAsia="Calibri" w:hAnsi="Times New Roman" w:cs="Times New Roman"/>
                <w:i/>
                <w:sz w:val="24"/>
                <w:szCs w:val="24"/>
              </w:rPr>
              <w:t>По Указание на главния прокурор</w:t>
            </w:r>
          </w:p>
        </w:tc>
        <w:tc>
          <w:tcPr>
            <w:tcW w:w="1753" w:type="dxa"/>
            <w:tcBorders>
              <w:top w:val="single" w:sz="4" w:space="0" w:color="auto"/>
              <w:left w:val="single" w:sz="4" w:space="0" w:color="auto"/>
              <w:bottom w:val="single" w:sz="4" w:space="0" w:color="auto"/>
              <w:right w:val="single" w:sz="4" w:space="0" w:color="auto"/>
            </w:tcBorders>
            <w:hideMark/>
          </w:tcPr>
          <w:p w14:paraId="3B5936D5" w14:textId="77777777" w:rsidR="00A42673" w:rsidRPr="00A42673" w:rsidRDefault="00A42673" w:rsidP="00A42673">
            <w:pPr>
              <w:spacing w:after="0" w:line="240" w:lineRule="auto"/>
              <w:jc w:val="center"/>
              <w:rPr>
                <w:rFonts w:ascii="Times New Roman" w:eastAsia="Calibri" w:hAnsi="Times New Roman" w:cs="Times New Roman"/>
                <w:i/>
                <w:sz w:val="24"/>
                <w:szCs w:val="24"/>
              </w:rPr>
            </w:pPr>
            <w:r w:rsidRPr="00A42673">
              <w:rPr>
                <w:rFonts w:ascii="Times New Roman" w:eastAsia="Calibri" w:hAnsi="Times New Roman" w:cs="Times New Roman"/>
                <w:i/>
                <w:sz w:val="24"/>
                <w:szCs w:val="24"/>
              </w:rPr>
              <w:t>По лична преценка</w:t>
            </w:r>
          </w:p>
        </w:tc>
      </w:tr>
      <w:tr w:rsidR="00A42673" w:rsidRPr="00A42673" w14:paraId="3B08F239" w14:textId="77777777" w:rsidTr="00A42673">
        <w:tc>
          <w:tcPr>
            <w:tcW w:w="1482" w:type="dxa"/>
            <w:tcBorders>
              <w:top w:val="single" w:sz="4" w:space="0" w:color="auto"/>
              <w:left w:val="single" w:sz="4" w:space="0" w:color="auto"/>
              <w:bottom w:val="single" w:sz="4" w:space="0" w:color="auto"/>
              <w:right w:val="single" w:sz="4" w:space="0" w:color="auto"/>
            </w:tcBorders>
            <w:shd w:val="clear" w:color="auto" w:fill="D6E3BC"/>
            <w:hideMark/>
          </w:tcPr>
          <w:p w14:paraId="5C8C2F07" w14:textId="77777777" w:rsidR="00A42673" w:rsidRPr="00A42673" w:rsidRDefault="00A42673" w:rsidP="00A42673">
            <w:pPr>
              <w:spacing w:after="0" w:line="240" w:lineRule="auto"/>
              <w:jc w:val="both"/>
              <w:rPr>
                <w:rFonts w:ascii="Times New Roman" w:eastAsia="Calibri" w:hAnsi="Times New Roman" w:cs="Times New Roman"/>
                <w:b/>
                <w:sz w:val="24"/>
                <w:szCs w:val="24"/>
              </w:rPr>
            </w:pPr>
            <w:r w:rsidRPr="00A42673">
              <w:rPr>
                <w:rFonts w:ascii="Times New Roman" w:eastAsia="Calibri" w:hAnsi="Times New Roman" w:cs="Times New Roman"/>
                <w:b/>
                <w:sz w:val="24"/>
                <w:szCs w:val="24"/>
              </w:rPr>
              <w:t xml:space="preserve">    2022 г.</w:t>
            </w:r>
          </w:p>
        </w:tc>
        <w:tc>
          <w:tcPr>
            <w:tcW w:w="1403" w:type="dxa"/>
            <w:tcBorders>
              <w:top w:val="single" w:sz="4" w:space="0" w:color="auto"/>
              <w:left w:val="single" w:sz="4" w:space="0" w:color="auto"/>
              <w:bottom w:val="single" w:sz="4" w:space="0" w:color="auto"/>
              <w:right w:val="single" w:sz="4" w:space="0" w:color="auto"/>
            </w:tcBorders>
            <w:shd w:val="clear" w:color="auto" w:fill="D6E3BC"/>
            <w:hideMark/>
          </w:tcPr>
          <w:p w14:paraId="08F5029A" w14:textId="77777777" w:rsidR="00A42673" w:rsidRPr="00A42673" w:rsidRDefault="00A42673" w:rsidP="00A42673">
            <w:pPr>
              <w:spacing w:after="0" w:line="240" w:lineRule="auto"/>
              <w:jc w:val="center"/>
              <w:rPr>
                <w:rFonts w:ascii="Times New Roman" w:eastAsia="Calibri" w:hAnsi="Times New Roman" w:cs="Times New Roman"/>
                <w:b/>
                <w:sz w:val="24"/>
                <w:szCs w:val="24"/>
              </w:rPr>
            </w:pPr>
            <w:r w:rsidRPr="00A42673">
              <w:rPr>
                <w:rFonts w:ascii="Times New Roman" w:eastAsia="Calibri" w:hAnsi="Times New Roman" w:cs="Times New Roman"/>
                <w:b/>
                <w:sz w:val="24"/>
                <w:szCs w:val="24"/>
              </w:rPr>
              <w:t>242</w:t>
            </w:r>
          </w:p>
        </w:tc>
        <w:tc>
          <w:tcPr>
            <w:tcW w:w="1406" w:type="dxa"/>
            <w:tcBorders>
              <w:top w:val="single" w:sz="4" w:space="0" w:color="auto"/>
              <w:left w:val="single" w:sz="4" w:space="0" w:color="auto"/>
              <w:bottom w:val="single" w:sz="4" w:space="0" w:color="auto"/>
              <w:right w:val="single" w:sz="4" w:space="0" w:color="auto"/>
            </w:tcBorders>
            <w:shd w:val="clear" w:color="auto" w:fill="D6E3BC"/>
            <w:hideMark/>
          </w:tcPr>
          <w:p w14:paraId="3A71865E" w14:textId="77777777" w:rsidR="00A42673" w:rsidRPr="00A42673" w:rsidRDefault="00A42673" w:rsidP="00A42673">
            <w:pPr>
              <w:spacing w:after="0" w:line="240" w:lineRule="auto"/>
              <w:jc w:val="center"/>
              <w:rPr>
                <w:rFonts w:ascii="Times New Roman" w:eastAsia="Calibri" w:hAnsi="Times New Roman" w:cs="Times New Roman"/>
                <w:b/>
                <w:sz w:val="24"/>
                <w:szCs w:val="24"/>
              </w:rPr>
            </w:pPr>
            <w:r w:rsidRPr="00A42673">
              <w:rPr>
                <w:rFonts w:ascii="Times New Roman" w:eastAsia="Calibri" w:hAnsi="Times New Roman" w:cs="Times New Roman"/>
                <w:b/>
                <w:sz w:val="24"/>
                <w:szCs w:val="24"/>
              </w:rPr>
              <w:t>286</w:t>
            </w:r>
          </w:p>
        </w:tc>
        <w:tc>
          <w:tcPr>
            <w:tcW w:w="1379" w:type="dxa"/>
            <w:tcBorders>
              <w:top w:val="single" w:sz="4" w:space="0" w:color="auto"/>
              <w:left w:val="single" w:sz="4" w:space="0" w:color="auto"/>
              <w:bottom w:val="single" w:sz="4" w:space="0" w:color="auto"/>
              <w:right w:val="single" w:sz="4" w:space="0" w:color="auto"/>
            </w:tcBorders>
            <w:shd w:val="clear" w:color="auto" w:fill="D6E3BC"/>
            <w:hideMark/>
          </w:tcPr>
          <w:p w14:paraId="303C955F" w14:textId="77777777" w:rsidR="00A42673" w:rsidRPr="00A42673" w:rsidRDefault="00A42673" w:rsidP="00A42673">
            <w:pPr>
              <w:spacing w:after="0" w:line="240" w:lineRule="auto"/>
              <w:jc w:val="center"/>
              <w:rPr>
                <w:rFonts w:ascii="Times New Roman" w:eastAsia="Calibri" w:hAnsi="Times New Roman" w:cs="Times New Roman"/>
                <w:b/>
                <w:sz w:val="24"/>
                <w:szCs w:val="24"/>
              </w:rPr>
            </w:pPr>
            <w:r w:rsidRPr="00A42673">
              <w:rPr>
                <w:rFonts w:ascii="Times New Roman" w:eastAsia="Calibri" w:hAnsi="Times New Roman" w:cs="Times New Roman"/>
                <w:b/>
                <w:sz w:val="24"/>
                <w:szCs w:val="24"/>
              </w:rPr>
              <w:t>173</w:t>
            </w:r>
          </w:p>
        </w:tc>
        <w:tc>
          <w:tcPr>
            <w:tcW w:w="1757" w:type="dxa"/>
            <w:tcBorders>
              <w:top w:val="single" w:sz="4" w:space="0" w:color="auto"/>
              <w:left w:val="single" w:sz="4" w:space="0" w:color="auto"/>
              <w:bottom w:val="single" w:sz="4" w:space="0" w:color="auto"/>
              <w:right w:val="single" w:sz="4" w:space="0" w:color="auto"/>
            </w:tcBorders>
            <w:shd w:val="clear" w:color="auto" w:fill="D6E3BC"/>
            <w:hideMark/>
          </w:tcPr>
          <w:p w14:paraId="1F3B3375" w14:textId="77777777" w:rsidR="00A42673" w:rsidRPr="00A42673" w:rsidRDefault="00A42673" w:rsidP="00A42673">
            <w:pPr>
              <w:spacing w:after="0" w:line="240" w:lineRule="auto"/>
              <w:jc w:val="center"/>
              <w:rPr>
                <w:rFonts w:ascii="Times New Roman" w:eastAsia="Calibri" w:hAnsi="Times New Roman" w:cs="Times New Roman"/>
                <w:b/>
                <w:sz w:val="24"/>
                <w:szCs w:val="24"/>
              </w:rPr>
            </w:pPr>
            <w:r w:rsidRPr="00A42673">
              <w:rPr>
                <w:rFonts w:ascii="Times New Roman" w:eastAsia="Calibri" w:hAnsi="Times New Roman" w:cs="Times New Roman"/>
                <w:b/>
                <w:sz w:val="24"/>
                <w:szCs w:val="24"/>
              </w:rPr>
              <w:t>16</w:t>
            </w:r>
          </w:p>
        </w:tc>
        <w:tc>
          <w:tcPr>
            <w:tcW w:w="1753" w:type="dxa"/>
            <w:tcBorders>
              <w:top w:val="single" w:sz="4" w:space="0" w:color="auto"/>
              <w:left w:val="single" w:sz="4" w:space="0" w:color="auto"/>
              <w:bottom w:val="single" w:sz="4" w:space="0" w:color="auto"/>
              <w:right w:val="single" w:sz="4" w:space="0" w:color="auto"/>
            </w:tcBorders>
            <w:shd w:val="clear" w:color="auto" w:fill="D6E3BC"/>
            <w:hideMark/>
          </w:tcPr>
          <w:p w14:paraId="3D31D018" w14:textId="77777777" w:rsidR="00A42673" w:rsidRPr="00A42673" w:rsidRDefault="00A42673" w:rsidP="00A42673">
            <w:pPr>
              <w:spacing w:after="0" w:line="240" w:lineRule="auto"/>
              <w:jc w:val="center"/>
              <w:rPr>
                <w:rFonts w:ascii="Times New Roman" w:eastAsia="Calibri" w:hAnsi="Times New Roman" w:cs="Times New Roman"/>
                <w:b/>
                <w:sz w:val="24"/>
                <w:szCs w:val="24"/>
              </w:rPr>
            </w:pPr>
            <w:r w:rsidRPr="00A42673">
              <w:rPr>
                <w:rFonts w:ascii="Times New Roman" w:eastAsia="Calibri" w:hAnsi="Times New Roman" w:cs="Times New Roman"/>
                <w:b/>
                <w:sz w:val="24"/>
                <w:szCs w:val="24"/>
              </w:rPr>
              <w:t>36</w:t>
            </w:r>
          </w:p>
        </w:tc>
      </w:tr>
      <w:tr w:rsidR="00A42673" w:rsidRPr="00A42673" w14:paraId="3C9E42E6" w14:textId="77777777" w:rsidTr="00A42673">
        <w:tc>
          <w:tcPr>
            <w:tcW w:w="1482" w:type="dxa"/>
            <w:tcBorders>
              <w:top w:val="single" w:sz="4" w:space="0" w:color="auto"/>
              <w:left w:val="single" w:sz="4" w:space="0" w:color="auto"/>
              <w:bottom w:val="single" w:sz="4" w:space="0" w:color="auto"/>
              <w:right w:val="single" w:sz="4" w:space="0" w:color="auto"/>
            </w:tcBorders>
            <w:hideMark/>
          </w:tcPr>
          <w:p w14:paraId="614155D0" w14:textId="77777777" w:rsidR="00A42673" w:rsidRPr="00A42673" w:rsidRDefault="00A42673" w:rsidP="00A42673">
            <w:pPr>
              <w:spacing w:after="0" w:line="240" w:lineRule="auto"/>
              <w:jc w:val="center"/>
              <w:rPr>
                <w:rFonts w:ascii="Times New Roman" w:eastAsia="Calibri" w:hAnsi="Times New Roman" w:cs="Times New Roman"/>
                <w:sz w:val="24"/>
                <w:szCs w:val="24"/>
              </w:rPr>
            </w:pPr>
            <w:r w:rsidRPr="00A42673">
              <w:rPr>
                <w:rFonts w:ascii="Times New Roman" w:eastAsia="Calibri" w:hAnsi="Times New Roman" w:cs="Times New Roman"/>
                <w:sz w:val="24"/>
                <w:szCs w:val="24"/>
              </w:rPr>
              <w:t>2021 г.</w:t>
            </w:r>
          </w:p>
        </w:tc>
        <w:tc>
          <w:tcPr>
            <w:tcW w:w="1403" w:type="dxa"/>
            <w:tcBorders>
              <w:top w:val="single" w:sz="4" w:space="0" w:color="auto"/>
              <w:left w:val="single" w:sz="4" w:space="0" w:color="auto"/>
              <w:bottom w:val="single" w:sz="4" w:space="0" w:color="auto"/>
              <w:right w:val="single" w:sz="4" w:space="0" w:color="auto"/>
            </w:tcBorders>
            <w:hideMark/>
          </w:tcPr>
          <w:p w14:paraId="2285F5FD" w14:textId="77777777" w:rsidR="00A42673" w:rsidRPr="00A42673" w:rsidRDefault="00A42673" w:rsidP="00A42673">
            <w:pPr>
              <w:spacing w:after="0" w:line="240" w:lineRule="auto"/>
              <w:jc w:val="center"/>
              <w:rPr>
                <w:rFonts w:ascii="Times New Roman" w:eastAsia="Calibri" w:hAnsi="Times New Roman" w:cs="Times New Roman"/>
                <w:sz w:val="24"/>
                <w:szCs w:val="24"/>
              </w:rPr>
            </w:pPr>
            <w:r w:rsidRPr="00A42673">
              <w:rPr>
                <w:rFonts w:ascii="Times New Roman" w:eastAsia="Calibri" w:hAnsi="Times New Roman" w:cs="Times New Roman"/>
                <w:sz w:val="24"/>
                <w:szCs w:val="24"/>
              </w:rPr>
              <w:t>233</w:t>
            </w:r>
          </w:p>
        </w:tc>
        <w:tc>
          <w:tcPr>
            <w:tcW w:w="1406" w:type="dxa"/>
            <w:tcBorders>
              <w:top w:val="single" w:sz="4" w:space="0" w:color="auto"/>
              <w:left w:val="single" w:sz="4" w:space="0" w:color="auto"/>
              <w:bottom w:val="single" w:sz="4" w:space="0" w:color="auto"/>
              <w:right w:val="single" w:sz="4" w:space="0" w:color="auto"/>
            </w:tcBorders>
            <w:hideMark/>
          </w:tcPr>
          <w:p w14:paraId="083AB432" w14:textId="77777777" w:rsidR="00A42673" w:rsidRPr="00A42673" w:rsidRDefault="00A42673" w:rsidP="00A42673">
            <w:pPr>
              <w:spacing w:after="0" w:line="240" w:lineRule="auto"/>
              <w:jc w:val="center"/>
              <w:rPr>
                <w:rFonts w:ascii="Times New Roman" w:eastAsia="Calibri" w:hAnsi="Times New Roman" w:cs="Times New Roman"/>
                <w:sz w:val="24"/>
                <w:szCs w:val="24"/>
              </w:rPr>
            </w:pPr>
            <w:r w:rsidRPr="00A42673">
              <w:rPr>
                <w:rFonts w:ascii="Times New Roman" w:eastAsia="Calibri" w:hAnsi="Times New Roman" w:cs="Times New Roman"/>
                <w:sz w:val="24"/>
                <w:szCs w:val="24"/>
              </w:rPr>
              <w:t>273</w:t>
            </w:r>
          </w:p>
        </w:tc>
        <w:tc>
          <w:tcPr>
            <w:tcW w:w="1379" w:type="dxa"/>
            <w:tcBorders>
              <w:top w:val="single" w:sz="4" w:space="0" w:color="auto"/>
              <w:left w:val="single" w:sz="4" w:space="0" w:color="auto"/>
              <w:bottom w:val="single" w:sz="4" w:space="0" w:color="auto"/>
              <w:right w:val="single" w:sz="4" w:space="0" w:color="auto"/>
            </w:tcBorders>
            <w:hideMark/>
          </w:tcPr>
          <w:p w14:paraId="4F1F8801" w14:textId="77777777" w:rsidR="00A42673" w:rsidRPr="00A42673" w:rsidRDefault="00A42673" w:rsidP="00A42673">
            <w:pPr>
              <w:spacing w:after="0" w:line="240" w:lineRule="auto"/>
              <w:jc w:val="center"/>
              <w:rPr>
                <w:rFonts w:ascii="Times New Roman" w:eastAsia="Calibri" w:hAnsi="Times New Roman" w:cs="Times New Roman"/>
                <w:sz w:val="24"/>
                <w:szCs w:val="24"/>
              </w:rPr>
            </w:pPr>
            <w:r w:rsidRPr="00A42673">
              <w:rPr>
                <w:rFonts w:ascii="Times New Roman" w:eastAsia="Calibri" w:hAnsi="Times New Roman" w:cs="Times New Roman"/>
                <w:sz w:val="24"/>
                <w:szCs w:val="24"/>
              </w:rPr>
              <w:t>203</w:t>
            </w:r>
          </w:p>
        </w:tc>
        <w:tc>
          <w:tcPr>
            <w:tcW w:w="1757" w:type="dxa"/>
            <w:tcBorders>
              <w:top w:val="single" w:sz="4" w:space="0" w:color="auto"/>
              <w:left w:val="single" w:sz="4" w:space="0" w:color="auto"/>
              <w:bottom w:val="single" w:sz="4" w:space="0" w:color="auto"/>
              <w:right w:val="single" w:sz="4" w:space="0" w:color="auto"/>
            </w:tcBorders>
            <w:hideMark/>
          </w:tcPr>
          <w:p w14:paraId="07B15DCB" w14:textId="77777777" w:rsidR="00A42673" w:rsidRPr="00A42673" w:rsidRDefault="00A42673" w:rsidP="00A42673">
            <w:pPr>
              <w:spacing w:after="0" w:line="240" w:lineRule="auto"/>
              <w:jc w:val="center"/>
              <w:rPr>
                <w:rFonts w:ascii="Times New Roman" w:eastAsia="Calibri" w:hAnsi="Times New Roman" w:cs="Times New Roman"/>
                <w:sz w:val="24"/>
                <w:szCs w:val="24"/>
              </w:rPr>
            </w:pPr>
            <w:r w:rsidRPr="00A42673">
              <w:rPr>
                <w:rFonts w:ascii="Times New Roman" w:eastAsia="Calibri" w:hAnsi="Times New Roman" w:cs="Times New Roman"/>
                <w:sz w:val="24"/>
                <w:szCs w:val="24"/>
              </w:rPr>
              <w:t>11</w:t>
            </w:r>
          </w:p>
        </w:tc>
        <w:tc>
          <w:tcPr>
            <w:tcW w:w="1753" w:type="dxa"/>
            <w:tcBorders>
              <w:top w:val="single" w:sz="4" w:space="0" w:color="auto"/>
              <w:left w:val="single" w:sz="4" w:space="0" w:color="auto"/>
              <w:bottom w:val="single" w:sz="4" w:space="0" w:color="auto"/>
              <w:right w:val="single" w:sz="4" w:space="0" w:color="auto"/>
            </w:tcBorders>
            <w:hideMark/>
          </w:tcPr>
          <w:p w14:paraId="3A67D68A" w14:textId="77777777" w:rsidR="00A42673" w:rsidRPr="00A42673" w:rsidRDefault="00A42673" w:rsidP="00A42673">
            <w:pPr>
              <w:spacing w:after="0" w:line="240" w:lineRule="auto"/>
              <w:jc w:val="center"/>
              <w:rPr>
                <w:rFonts w:ascii="Times New Roman" w:eastAsia="Calibri" w:hAnsi="Times New Roman" w:cs="Times New Roman"/>
                <w:sz w:val="24"/>
                <w:szCs w:val="24"/>
              </w:rPr>
            </w:pPr>
            <w:r w:rsidRPr="00A42673">
              <w:rPr>
                <w:rFonts w:ascii="Times New Roman" w:eastAsia="Calibri" w:hAnsi="Times New Roman" w:cs="Times New Roman"/>
                <w:sz w:val="24"/>
                <w:szCs w:val="24"/>
              </w:rPr>
              <w:t>19</w:t>
            </w:r>
          </w:p>
        </w:tc>
      </w:tr>
      <w:tr w:rsidR="00A42673" w:rsidRPr="00A42673" w14:paraId="5F0DE3C4" w14:textId="77777777" w:rsidTr="00A42673">
        <w:tc>
          <w:tcPr>
            <w:tcW w:w="1482" w:type="dxa"/>
            <w:tcBorders>
              <w:top w:val="single" w:sz="4" w:space="0" w:color="auto"/>
              <w:left w:val="single" w:sz="4" w:space="0" w:color="auto"/>
              <w:bottom w:val="single" w:sz="4" w:space="0" w:color="auto"/>
              <w:right w:val="single" w:sz="4" w:space="0" w:color="auto"/>
            </w:tcBorders>
            <w:hideMark/>
          </w:tcPr>
          <w:p w14:paraId="1E79586F" w14:textId="77777777" w:rsidR="00A42673" w:rsidRPr="00A42673" w:rsidRDefault="00A42673" w:rsidP="00A42673">
            <w:pPr>
              <w:spacing w:after="0" w:line="240" w:lineRule="auto"/>
              <w:jc w:val="center"/>
              <w:rPr>
                <w:rFonts w:ascii="Times New Roman" w:eastAsia="Calibri" w:hAnsi="Times New Roman" w:cs="Times New Roman"/>
                <w:sz w:val="24"/>
                <w:szCs w:val="24"/>
              </w:rPr>
            </w:pPr>
            <w:r w:rsidRPr="00A42673">
              <w:rPr>
                <w:rFonts w:ascii="Times New Roman" w:eastAsia="Calibri" w:hAnsi="Times New Roman" w:cs="Times New Roman"/>
                <w:sz w:val="24"/>
                <w:szCs w:val="24"/>
              </w:rPr>
              <w:t>2020 г.</w:t>
            </w:r>
          </w:p>
        </w:tc>
        <w:tc>
          <w:tcPr>
            <w:tcW w:w="1403" w:type="dxa"/>
            <w:tcBorders>
              <w:top w:val="single" w:sz="4" w:space="0" w:color="auto"/>
              <w:left w:val="single" w:sz="4" w:space="0" w:color="auto"/>
              <w:bottom w:val="single" w:sz="4" w:space="0" w:color="auto"/>
              <w:right w:val="single" w:sz="4" w:space="0" w:color="auto"/>
            </w:tcBorders>
            <w:hideMark/>
          </w:tcPr>
          <w:p w14:paraId="30425CDD" w14:textId="77777777" w:rsidR="00A42673" w:rsidRPr="00A42673" w:rsidRDefault="00A42673" w:rsidP="00A42673">
            <w:pPr>
              <w:spacing w:after="0" w:line="240" w:lineRule="auto"/>
              <w:jc w:val="center"/>
              <w:rPr>
                <w:rFonts w:ascii="Times New Roman" w:eastAsia="Calibri" w:hAnsi="Times New Roman" w:cs="Times New Roman"/>
                <w:sz w:val="24"/>
                <w:szCs w:val="24"/>
              </w:rPr>
            </w:pPr>
            <w:r w:rsidRPr="00A42673">
              <w:rPr>
                <w:rFonts w:ascii="Times New Roman" w:eastAsia="Calibri" w:hAnsi="Times New Roman" w:cs="Times New Roman"/>
                <w:sz w:val="24"/>
                <w:szCs w:val="24"/>
              </w:rPr>
              <w:t>284</w:t>
            </w:r>
          </w:p>
        </w:tc>
        <w:tc>
          <w:tcPr>
            <w:tcW w:w="1406" w:type="dxa"/>
            <w:tcBorders>
              <w:top w:val="single" w:sz="4" w:space="0" w:color="auto"/>
              <w:left w:val="single" w:sz="4" w:space="0" w:color="auto"/>
              <w:bottom w:val="single" w:sz="4" w:space="0" w:color="auto"/>
              <w:right w:val="single" w:sz="4" w:space="0" w:color="auto"/>
            </w:tcBorders>
            <w:hideMark/>
          </w:tcPr>
          <w:p w14:paraId="7CF14926" w14:textId="77777777" w:rsidR="00A42673" w:rsidRPr="00A42673" w:rsidRDefault="00A42673" w:rsidP="00A42673">
            <w:pPr>
              <w:spacing w:after="0" w:line="240" w:lineRule="auto"/>
              <w:jc w:val="center"/>
              <w:rPr>
                <w:rFonts w:ascii="Times New Roman" w:eastAsia="Calibri" w:hAnsi="Times New Roman" w:cs="Times New Roman"/>
                <w:sz w:val="24"/>
                <w:szCs w:val="24"/>
              </w:rPr>
            </w:pPr>
            <w:r w:rsidRPr="00A42673">
              <w:rPr>
                <w:rFonts w:ascii="Times New Roman" w:eastAsia="Calibri" w:hAnsi="Times New Roman" w:cs="Times New Roman"/>
                <w:sz w:val="24"/>
                <w:szCs w:val="24"/>
              </w:rPr>
              <w:t>298</w:t>
            </w:r>
          </w:p>
        </w:tc>
        <w:tc>
          <w:tcPr>
            <w:tcW w:w="1379" w:type="dxa"/>
            <w:tcBorders>
              <w:top w:val="single" w:sz="4" w:space="0" w:color="auto"/>
              <w:left w:val="single" w:sz="4" w:space="0" w:color="auto"/>
              <w:bottom w:val="single" w:sz="4" w:space="0" w:color="auto"/>
              <w:right w:val="single" w:sz="4" w:space="0" w:color="auto"/>
            </w:tcBorders>
            <w:hideMark/>
          </w:tcPr>
          <w:p w14:paraId="4F901FDB" w14:textId="77777777" w:rsidR="00A42673" w:rsidRPr="00A42673" w:rsidRDefault="00A42673" w:rsidP="00A42673">
            <w:pPr>
              <w:spacing w:after="0" w:line="240" w:lineRule="auto"/>
              <w:jc w:val="center"/>
              <w:rPr>
                <w:rFonts w:ascii="Times New Roman" w:eastAsia="Calibri" w:hAnsi="Times New Roman" w:cs="Times New Roman"/>
                <w:sz w:val="24"/>
                <w:szCs w:val="24"/>
              </w:rPr>
            </w:pPr>
            <w:r w:rsidRPr="00A42673">
              <w:rPr>
                <w:rFonts w:ascii="Times New Roman" w:eastAsia="Calibri" w:hAnsi="Times New Roman" w:cs="Times New Roman"/>
                <w:sz w:val="24"/>
                <w:szCs w:val="24"/>
              </w:rPr>
              <w:t>271</w:t>
            </w:r>
          </w:p>
        </w:tc>
        <w:tc>
          <w:tcPr>
            <w:tcW w:w="1757" w:type="dxa"/>
            <w:tcBorders>
              <w:top w:val="single" w:sz="4" w:space="0" w:color="auto"/>
              <w:left w:val="single" w:sz="4" w:space="0" w:color="auto"/>
              <w:bottom w:val="single" w:sz="4" w:space="0" w:color="auto"/>
              <w:right w:val="single" w:sz="4" w:space="0" w:color="auto"/>
            </w:tcBorders>
            <w:hideMark/>
          </w:tcPr>
          <w:p w14:paraId="6722E182" w14:textId="77777777" w:rsidR="00A42673" w:rsidRPr="00A42673" w:rsidRDefault="00A42673" w:rsidP="00A42673">
            <w:pPr>
              <w:spacing w:after="0" w:line="240" w:lineRule="auto"/>
              <w:jc w:val="center"/>
              <w:rPr>
                <w:rFonts w:ascii="Times New Roman" w:eastAsia="Calibri" w:hAnsi="Times New Roman" w:cs="Times New Roman"/>
                <w:sz w:val="24"/>
                <w:szCs w:val="24"/>
              </w:rPr>
            </w:pPr>
            <w:r w:rsidRPr="00A42673">
              <w:rPr>
                <w:rFonts w:ascii="Times New Roman" w:eastAsia="Calibri" w:hAnsi="Times New Roman" w:cs="Times New Roman"/>
                <w:sz w:val="24"/>
                <w:szCs w:val="24"/>
              </w:rPr>
              <w:t>1</w:t>
            </w:r>
          </w:p>
        </w:tc>
        <w:tc>
          <w:tcPr>
            <w:tcW w:w="1753" w:type="dxa"/>
            <w:tcBorders>
              <w:top w:val="single" w:sz="4" w:space="0" w:color="auto"/>
              <w:left w:val="single" w:sz="4" w:space="0" w:color="auto"/>
              <w:bottom w:val="single" w:sz="4" w:space="0" w:color="auto"/>
              <w:right w:val="single" w:sz="4" w:space="0" w:color="auto"/>
            </w:tcBorders>
            <w:hideMark/>
          </w:tcPr>
          <w:p w14:paraId="403226F9" w14:textId="77777777" w:rsidR="00A42673" w:rsidRPr="00A42673" w:rsidRDefault="00A42673" w:rsidP="00A42673">
            <w:pPr>
              <w:spacing w:after="0" w:line="240" w:lineRule="auto"/>
              <w:jc w:val="center"/>
              <w:rPr>
                <w:rFonts w:ascii="Times New Roman" w:eastAsia="Calibri" w:hAnsi="Times New Roman" w:cs="Times New Roman"/>
                <w:sz w:val="24"/>
                <w:szCs w:val="24"/>
              </w:rPr>
            </w:pPr>
            <w:r w:rsidRPr="00A42673">
              <w:rPr>
                <w:rFonts w:ascii="Times New Roman" w:eastAsia="Calibri" w:hAnsi="Times New Roman" w:cs="Times New Roman"/>
                <w:sz w:val="24"/>
                <w:szCs w:val="24"/>
              </w:rPr>
              <w:t>6</w:t>
            </w:r>
          </w:p>
        </w:tc>
      </w:tr>
    </w:tbl>
    <w:p w14:paraId="32E7B0B8" w14:textId="77777777" w:rsidR="00A42673" w:rsidRPr="00A42673" w:rsidRDefault="00A42673" w:rsidP="00A42673">
      <w:pPr>
        <w:spacing w:after="0" w:line="240" w:lineRule="auto"/>
        <w:jc w:val="both"/>
        <w:rPr>
          <w:rFonts w:ascii="Times New Roman" w:eastAsia="Calibri" w:hAnsi="Times New Roman" w:cs="Times New Roman"/>
          <w:color w:val="000000"/>
          <w:sz w:val="28"/>
          <w:szCs w:val="28"/>
        </w:rPr>
      </w:pPr>
    </w:p>
    <w:p w14:paraId="7D734680"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Анализът на посочените цифрови данни сочи на извода, че е налице  незначително увеличаване на  броя на административните дела с участие на прокурор – повече  с  9 броя спрямо 2021 г.  намаляване с  42 броя спрямо 2020 г. Намаляването на делата спрямо 2020 година  се дължи на  различния брой дела, разглеждани от АС Монтана, по които участието на прокурор е задължително, и най-вече на драстичното намаляване на касационните дела, разглеждани от местния административен съд.</w:t>
      </w:r>
    </w:p>
    <w:p w14:paraId="4A649D87" w14:textId="77777777" w:rsidR="00A42673" w:rsidRPr="00A42673" w:rsidRDefault="00A42673" w:rsidP="00A42673">
      <w:pPr>
        <w:spacing w:after="0" w:line="240" w:lineRule="auto"/>
        <w:ind w:firstLine="709"/>
        <w:jc w:val="both"/>
        <w:rPr>
          <w:rFonts w:ascii="Times New Roman" w:eastAsia="Calibri" w:hAnsi="Times New Roman" w:cs="Times New Roman"/>
          <w:sz w:val="28"/>
          <w:szCs w:val="28"/>
        </w:rPr>
      </w:pPr>
      <w:r w:rsidRPr="00A42673">
        <w:rPr>
          <w:rFonts w:ascii="Times New Roman" w:eastAsia="Calibri" w:hAnsi="Times New Roman" w:cs="Times New Roman"/>
          <w:color w:val="000000"/>
          <w:sz w:val="28"/>
          <w:szCs w:val="28"/>
        </w:rPr>
        <w:t xml:space="preserve">Като процентно съотношение участията на прокурор в съдебни заседания през 2022 г. са </w:t>
      </w:r>
      <w:r w:rsidRPr="00A42673">
        <w:rPr>
          <w:rFonts w:ascii="Times New Roman" w:eastAsia="Calibri" w:hAnsi="Times New Roman" w:cs="Times New Roman"/>
          <w:sz w:val="28"/>
          <w:szCs w:val="28"/>
        </w:rPr>
        <w:t xml:space="preserve">увеличени с   </w:t>
      </w:r>
      <w:r w:rsidRPr="00A42673">
        <w:rPr>
          <w:rFonts w:ascii="Times New Roman" w:eastAsia="Calibri" w:hAnsi="Times New Roman" w:cs="Times New Roman"/>
          <w:color w:val="000000"/>
          <w:sz w:val="28"/>
          <w:szCs w:val="28"/>
        </w:rPr>
        <w:t>3%</w:t>
      </w:r>
      <w:r w:rsidRPr="00A42673">
        <w:rPr>
          <w:rFonts w:ascii="Times New Roman" w:eastAsia="Calibri" w:hAnsi="Times New Roman" w:cs="Times New Roman"/>
          <w:sz w:val="28"/>
          <w:szCs w:val="28"/>
        </w:rPr>
        <w:t xml:space="preserve">  спрямо 2021 г. и  намалени с  </w:t>
      </w:r>
      <w:r w:rsidRPr="00A42673">
        <w:rPr>
          <w:rFonts w:ascii="Times New Roman" w:eastAsia="Calibri" w:hAnsi="Times New Roman" w:cs="Times New Roman"/>
          <w:color w:val="FF0000"/>
          <w:sz w:val="28"/>
          <w:szCs w:val="28"/>
        </w:rPr>
        <w:t xml:space="preserve"> </w:t>
      </w:r>
      <w:r w:rsidRPr="00A42673">
        <w:rPr>
          <w:rFonts w:ascii="Times New Roman" w:eastAsia="Calibri" w:hAnsi="Times New Roman" w:cs="Times New Roman"/>
          <w:sz w:val="28"/>
          <w:szCs w:val="28"/>
        </w:rPr>
        <w:t>около 15</w:t>
      </w:r>
      <w:r w:rsidRPr="00A42673">
        <w:rPr>
          <w:rFonts w:ascii="Times New Roman" w:eastAsia="Calibri" w:hAnsi="Times New Roman" w:cs="Times New Roman"/>
          <w:color w:val="000000"/>
          <w:sz w:val="28"/>
          <w:szCs w:val="28"/>
        </w:rPr>
        <w:t>% спрямо</w:t>
      </w:r>
      <w:r w:rsidRPr="00A42673">
        <w:rPr>
          <w:rFonts w:ascii="Times New Roman" w:eastAsia="Calibri" w:hAnsi="Times New Roman" w:cs="Times New Roman"/>
          <w:sz w:val="28"/>
          <w:szCs w:val="28"/>
        </w:rPr>
        <w:t xml:space="preserve"> 2020 година.</w:t>
      </w:r>
    </w:p>
    <w:p w14:paraId="10FC15CB" w14:textId="77777777" w:rsidR="00A42673" w:rsidRPr="00A42673" w:rsidRDefault="00A42673" w:rsidP="00A42673">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Arial"/>
          <w:b/>
          <w:bCs/>
          <w:i/>
          <w:color w:val="000000"/>
          <w:sz w:val="28"/>
          <w:lang w:eastAsia="bg-BG"/>
        </w:rPr>
      </w:pPr>
      <w:bookmarkStart w:id="152" w:name="_Toc127370327"/>
      <w:r w:rsidRPr="00A42673">
        <w:rPr>
          <w:rFonts w:ascii="Times New Roman" w:eastAsia="Calibri" w:hAnsi="Times New Roman" w:cs="Arial"/>
          <w:b/>
          <w:bCs/>
          <w:i/>
          <w:color w:val="000000"/>
          <w:sz w:val="28"/>
          <w:lang w:eastAsia="bg-BG"/>
        </w:rPr>
        <w:t xml:space="preserve">2.2. Участие по преценка в дела, представляващи важен държавен или обществен интерес съгласно Указание № 196/08.06.2011 г. и </w:t>
      </w:r>
      <w:r w:rsidRPr="00A42673">
        <w:rPr>
          <w:rFonts w:ascii="Times New Roman" w:eastAsia="Calibri" w:hAnsi="Times New Roman" w:cs="Arial"/>
          <w:b/>
          <w:i/>
          <w:color w:val="000000"/>
          <w:sz w:val="28"/>
          <w:lang w:eastAsia="bg-BG"/>
        </w:rPr>
        <w:t xml:space="preserve">Указание за участие на прокурорите в административни дела по преценка, когато това се налага от важен държавен или обществен интерес, утвърдено със Заповед № ЛС-4496/13.10.2014 г. </w:t>
      </w:r>
      <w:r w:rsidRPr="00A42673">
        <w:rPr>
          <w:rFonts w:ascii="Times New Roman" w:eastAsia="Calibri" w:hAnsi="Times New Roman" w:cs="Arial"/>
          <w:b/>
          <w:bCs/>
          <w:i/>
          <w:color w:val="000000"/>
          <w:sz w:val="28"/>
          <w:lang w:eastAsia="bg-BG"/>
        </w:rPr>
        <w:t>на главния прокурор и по лична преценка на прокурора, действаща до 09.02.2021 година,  и        Заповед № РД-02-</w:t>
      </w:r>
      <w:r w:rsidRPr="00A42673">
        <w:rPr>
          <w:rFonts w:ascii="Times New Roman" w:eastAsia="Calibri" w:hAnsi="Times New Roman" w:cs="Arial"/>
          <w:b/>
          <w:bCs/>
          <w:i/>
          <w:color w:val="000000"/>
          <w:sz w:val="28"/>
          <w:lang w:eastAsia="bg-BG"/>
        </w:rPr>
        <w:lastRenderedPageBreak/>
        <w:t>11/09.02.2021 година, с която е  утвърдено ново</w:t>
      </w:r>
      <w:r w:rsidRPr="00A42673">
        <w:rPr>
          <w:rFonts w:ascii="Times New Roman" w:eastAsia="Calibri" w:hAnsi="Times New Roman" w:cs="Arial"/>
          <w:b/>
          <w:i/>
          <w:color w:val="000000"/>
          <w:sz w:val="28"/>
          <w:lang w:eastAsia="bg-BG"/>
        </w:rPr>
        <w:t xml:space="preserve"> Указание за участие на прокурорите в административни дела по преценка, когато това се налага от важен държавен или обществен интерес</w:t>
      </w:r>
      <w:bookmarkEnd w:id="152"/>
    </w:p>
    <w:p w14:paraId="31DCC6BE"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През отчетния период   в АС Монтана  са разгледани 16 бр. дела с участие на прокурор цитираните указания.</w:t>
      </w:r>
    </w:p>
    <w:p w14:paraId="7DC13120"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 xml:space="preserve">Прокурорът, определен за участия по административно-съдебния надзор в ОП Монтана, е участвал  в 36 броя първоинстанционни административни дела по лична преценка на прокурора. Броят е сравнително по-висок, главно поради наличието на повече </w:t>
      </w:r>
      <w:r w:rsidRPr="00A42673">
        <w:rPr>
          <w:rFonts w:ascii="Times New Roman" w:eastAsia="Calibri" w:hAnsi="Times New Roman" w:cs="Times New Roman"/>
          <w:sz w:val="28"/>
          <w:szCs w:val="28"/>
        </w:rPr>
        <w:t>дела с обществен интерес</w:t>
      </w:r>
      <w:r w:rsidRPr="00A42673">
        <w:rPr>
          <w:rFonts w:ascii="Times New Roman" w:eastAsia="Calibri" w:hAnsi="Times New Roman" w:cs="Times New Roman"/>
          <w:color w:val="000000"/>
          <w:sz w:val="28"/>
          <w:szCs w:val="28"/>
        </w:rPr>
        <w:t xml:space="preserve"> през отчетния период в АС Монтана /извън тези, по които прокурорът участва по закон/. При съпоставка с предходните години е налице  двойно увеличаване - със 17 броя дела спрямо 2021 година и  с 30 броя дела  спрямо 2020 година.</w:t>
      </w:r>
    </w:p>
    <w:p w14:paraId="77868B1D"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За в бъдеще ще продължи активизирането на дейността на определения прокурор, отговарящ за административно-съдебния надзор за детайлно наблюдение върху образуваните  пред АС Монтана  първоинстанционни дела.</w:t>
      </w:r>
    </w:p>
    <w:p w14:paraId="7F93C65A" w14:textId="77777777" w:rsidR="00A42673" w:rsidRPr="00A42673" w:rsidRDefault="00A42673" w:rsidP="00A42673">
      <w:pPr>
        <w:spacing w:after="0" w:line="240" w:lineRule="auto"/>
        <w:jc w:val="both"/>
        <w:rPr>
          <w:rFonts w:ascii="Times New Roman" w:eastAsia="Calibri" w:hAnsi="Times New Roman" w:cs="Times New Roman"/>
          <w:color w:val="000000"/>
          <w:sz w:val="28"/>
          <w:szCs w:val="28"/>
        </w:rPr>
      </w:pPr>
    </w:p>
    <w:p w14:paraId="632D5D69" w14:textId="77777777" w:rsidR="00A42673" w:rsidRPr="00A42673" w:rsidRDefault="00A42673" w:rsidP="00A42673">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Arial"/>
          <w:b/>
          <w:i/>
          <w:color w:val="000000"/>
          <w:sz w:val="28"/>
          <w:lang w:eastAsia="bg-BG"/>
        </w:rPr>
      </w:pPr>
      <w:bookmarkStart w:id="153" w:name="_Toc380392158"/>
      <w:bookmarkStart w:id="154" w:name="_Toc127370328"/>
      <w:r w:rsidRPr="00A42673">
        <w:rPr>
          <w:rFonts w:ascii="Times New Roman" w:eastAsia="Calibri" w:hAnsi="Times New Roman" w:cs="Arial"/>
          <w:b/>
          <w:i/>
          <w:color w:val="000000"/>
          <w:sz w:val="28"/>
          <w:lang w:eastAsia="bg-BG"/>
        </w:rPr>
        <w:t>2.3. Подадени прокурорски актове до съда и резултатите по тях.</w:t>
      </w:r>
      <w:bookmarkEnd w:id="153"/>
      <w:bookmarkEnd w:id="154"/>
    </w:p>
    <w:p w14:paraId="5E656294"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 xml:space="preserve">През 2022 г. няма подадени протести срещу постановени първоинстанционни съдебни актове по административните дела, в които е участвал прокурорът, отговарящ за административносъдебния надзор. Следва да се отбележи, че липсата на  подадени протести  се дължи на факта на уважаване на всички становища на прокурора, което безспорно е добра характеристика за този вид дейност.  </w:t>
      </w:r>
    </w:p>
    <w:p w14:paraId="7283B502"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При участието в първоинстанционни  административни дела  е необходимо продължаване на активната  дейност на прокурора при преценката относно законосъобразността на постановените първоинстанционни съдебни актове, като следва протестирането на съдебни актове да  не бъде самоцел, а само при наличие на основания за неправилност на решението, поради неправилно приложение на материалния закон, нарушение на съдопроизводствени правила или необоснованост.</w:t>
      </w:r>
    </w:p>
    <w:p w14:paraId="41C4077C"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 xml:space="preserve">Общият брой на образуваните административни дела по подадени протести от прокуратурите в региона на  ОП Монтана е 24. От тях уважени са 22, а 2 бр. дела  по подаден протести са  висящи в съда към края на отчетния период. </w:t>
      </w:r>
    </w:p>
    <w:p w14:paraId="18600055"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 xml:space="preserve">Подадените протести са основно с искане за обявяване нищожност на подзаконови административни актове – наредби или части от тях, както и оспорване на отделни разпоредби от тях, приети от съответните общински съвети. Окръжна прокуратура Монтана е подала общо  6 протеста до Административен  съд Монтана,  Районна прокуратура Монтана  е подала 18 бр. протеста. </w:t>
      </w:r>
    </w:p>
    <w:p w14:paraId="35F98004"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 xml:space="preserve">По подадените протести в Административен съд Монтана са образувани 24 броя административни дела. От уважените 22 броя протести по 7 бр. са проведени съдебни заседания и протестите са уважени. Останалите 15 бр. административни дела са прекратени, поради взети нови решения на общинските съвети  за промяна на протестираните текстове от подзаконовите нормативни актове съобразно протеста на прокурора. </w:t>
      </w:r>
    </w:p>
    <w:p w14:paraId="3FB0E9B4"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lastRenderedPageBreak/>
        <w:t xml:space="preserve">През отчетния период  няма образувани  административни дела по  предложение за възобновяване на административно-наказателно производство по реда на чл.70 ЗАНН. </w:t>
      </w:r>
    </w:p>
    <w:p w14:paraId="0102667A"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Има  общо 1 брой постановен отказ от прокурор в Окръжна прокуратура Монтана за изготвяне на предложение за възобновяване по ЗАНН. Същият не е обжалван и е влязъл в сила.</w:t>
      </w:r>
    </w:p>
    <w:p w14:paraId="5421FFC1" w14:textId="77777777" w:rsidR="00A42673" w:rsidRPr="00A42673" w:rsidRDefault="00A42673" w:rsidP="00A42673">
      <w:pPr>
        <w:spacing w:after="0" w:line="240" w:lineRule="auto"/>
        <w:jc w:val="both"/>
        <w:rPr>
          <w:rFonts w:ascii="Times New Roman" w:eastAsia="Calibri" w:hAnsi="Times New Roman" w:cs="Times New Roman"/>
          <w:color w:val="000000"/>
          <w:sz w:val="28"/>
          <w:szCs w:val="28"/>
          <w:lang w:eastAsia="bg-BG"/>
        </w:rPr>
      </w:pPr>
    </w:p>
    <w:p w14:paraId="375D7A1D" w14:textId="77777777" w:rsidR="00A42673" w:rsidRPr="00A42673" w:rsidRDefault="00A42673" w:rsidP="00A42673">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color w:val="000000"/>
          <w:sz w:val="28"/>
          <w:u w:val="single"/>
          <w:lang w:eastAsia="bg-BG"/>
        </w:rPr>
      </w:pPr>
      <w:bookmarkStart w:id="155" w:name="_Toc127370329"/>
      <w:r w:rsidRPr="00A42673">
        <w:rPr>
          <w:rFonts w:ascii="Times New Roman" w:eastAsia="Calibri" w:hAnsi="Times New Roman" w:cs="Arial"/>
          <w:b/>
          <w:color w:val="000000"/>
          <w:sz w:val="28"/>
          <w:u w:val="single"/>
          <w:lang w:eastAsia="bg-BG"/>
        </w:rPr>
        <w:t>3. Дейност на окръжната и на районните прокуратури по надзора за законност.</w:t>
      </w:r>
      <w:bookmarkEnd w:id="155"/>
    </w:p>
    <w:p w14:paraId="1822782A"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Дейността на Окръжна прокуратура Монтана и Районна  прокуратура Монтана  по надзора за законност през отчетната година се е осъществявала в съответствие с предоставените на прокуратурата правомощия от Конституцията на Република България, ЗСВ, АПК, плановете за работа по този надзор на Върховна административна прокуратура и Апелативна прокуратура гр. София, които са залегнали и в плановете на Окръжна и Районна прокуратура Монтана.</w:t>
      </w:r>
    </w:p>
    <w:p w14:paraId="7D689DA0"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Освен задачите, залегнали в плана за дейността по този надзор, дейността се е осъществявала и по сигнали на граждани и организации, както и извънпланови проверки, извършвани по инициатива на прокурорите, с типични за региона проблеми и закононарушения.</w:t>
      </w:r>
    </w:p>
    <w:p w14:paraId="3173F012" w14:textId="77777777" w:rsidR="00A42673" w:rsidRPr="00A42673" w:rsidRDefault="00A42673" w:rsidP="00A42673">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Arial"/>
          <w:b/>
          <w:i/>
          <w:color w:val="000000"/>
          <w:sz w:val="28"/>
          <w:lang w:eastAsia="bg-BG"/>
        </w:rPr>
      </w:pPr>
      <w:bookmarkStart w:id="156" w:name="_Toc127370330"/>
      <w:r w:rsidRPr="00A42673">
        <w:rPr>
          <w:rFonts w:ascii="Times New Roman" w:eastAsia="Calibri" w:hAnsi="Times New Roman" w:cs="Arial"/>
          <w:b/>
          <w:i/>
          <w:color w:val="000000"/>
          <w:sz w:val="28"/>
          <w:lang w:eastAsia="bg-BG"/>
        </w:rPr>
        <w:t>3.1. Създадена организация на работата по надзора за законност, обем и основни области, в които е осъществяван надзорът за законност през 2022 г. и сравнение с предходните две години.</w:t>
      </w:r>
      <w:bookmarkEnd w:id="156"/>
    </w:p>
    <w:p w14:paraId="47CDC093"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Ефективното осъществяване на дейността по надзора за законност е пряко обусловено от кадровото обезпечаване и квалификацията на прокурорите. И през отчетната година се запазва създадената организация на работа по надзора за законност. Тази дейност се осъществява от прокурори, определени със заповед на административния ръководител.</w:t>
      </w:r>
    </w:p>
    <w:p w14:paraId="3B619FAB"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В Окръжна прокуратура – Монтана тази дейност   от началото  на отчетния период до 07.06.2022 година  се е осъществявала от 2 прокурори с натовареност съответно 100% и 40 % . От 07.06.2022 година до края на отчетния период  дейността е осъществявала от 3 прокурори със натовареност съответно 100%, 40 % и 40 %.</w:t>
      </w:r>
    </w:p>
    <w:p w14:paraId="2B373BEA"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FF0000"/>
          <w:sz w:val="28"/>
          <w:szCs w:val="28"/>
        </w:rPr>
        <w:t xml:space="preserve"> </w:t>
      </w:r>
      <w:r w:rsidRPr="00A42673">
        <w:rPr>
          <w:rFonts w:ascii="Times New Roman" w:eastAsia="Calibri" w:hAnsi="Times New Roman" w:cs="Times New Roman"/>
          <w:color w:val="000000"/>
          <w:sz w:val="28"/>
          <w:szCs w:val="28"/>
        </w:rPr>
        <w:t>В Районна прокуратура  Монтана дейността  по надзора за законност се осъществява от  11 прокурори, като следва да се отбележи, че същите не са освободени от преписки и дела по останалите групи.</w:t>
      </w:r>
    </w:p>
    <w:p w14:paraId="01023CDB"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 xml:space="preserve">С най-висока средна натовареност по брой преписки на прокурор по надзора за законност е Районна прокуратура Монтана със средна </w:t>
      </w:r>
      <w:r w:rsidRPr="00A42673">
        <w:rPr>
          <w:rFonts w:ascii="Times New Roman" w:eastAsia="Calibri" w:hAnsi="Times New Roman" w:cs="Times New Roman"/>
          <w:sz w:val="28"/>
          <w:szCs w:val="28"/>
        </w:rPr>
        <w:t xml:space="preserve">натовареност 3,5  броя, следвана от </w:t>
      </w:r>
      <w:r w:rsidRPr="00A42673">
        <w:rPr>
          <w:rFonts w:ascii="Times New Roman" w:eastAsia="Calibri" w:hAnsi="Times New Roman" w:cs="Times New Roman"/>
          <w:color w:val="000000"/>
          <w:sz w:val="28"/>
          <w:szCs w:val="28"/>
        </w:rPr>
        <w:t xml:space="preserve"> Окръжна прокуратура Монтана  с 16,4 броя на един прокурор.</w:t>
      </w:r>
    </w:p>
    <w:p w14:paraId="4DE53D8D"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Основните области, в които се осъществява надзорът за законност през отчетната година, са следните:</w:t>
      </w:r>
    </w:p>
    <w:p w14:paraId="6E773991"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 xml:space="preserve">Продължава, макар и в по-малък обем, стартиралата от предходните години проверка по реда на надзора за законност върху административните актове, издавани от местната изпълнителна власт – областна и общинските администрации, издадени съобразно правомощията им по Закона за </w:t>
      </w:r>
      <w:r w:rsidRPr="00A42673">
        <w:rPr>
          <w:rFonts w:ascii="Times New Roman" w:eastAsia="Calibri" w:hAnsi="Times New Roman" w:cs="Times New Roman"/>
          <w:color w:val="000000"/>
          <w:sz w:val="28"/>
          <w:szCs w:val="28"/>
        </w:rPr>
        <w:lastRenderedPageBreak/>
        <w:t xml:space="preserve">администрацията, Закона за местното самоуправление и местната администрация, Закона за общинската собственост, Закона за обществените поръчки и съответните подзаконови нормативни актове. </w:t>
      </w:r>
    </w:p>
    <w:p w14:paraId="6EE851D4"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Извършени са проверки в различни области от дейността на държавни органи и издадените административни актове – по Закона за борба с противообществените прояви на малолетни и непълнолетни /ЗБППМН/; Закона за закрила на детето /ЗЗД/, Закона за устройство на територията /ЗУТ/; Закона за управление на отпадъците /ЗУО/; Кодекса на труда /КТ/; Закон за водите /ЗВ/; Закон за защита при бедствия /ЗЗБ/; Закон за ветеринарно-медицинската дейност /ЗВМД/ Закон за общинската собственост /ЗОС/; Закон за местните данъци и такси /ЗМДТ/; Закон за защита от шума в околната среда /ЗШОС/; Закона за пътищата /ЗП/; Закон за административните нарушения и наказания /ЗАНН/ и др.</w:t>
      </w:r>
    </w:p>
    <w:p w14:paraId="6198306B"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През 2022 г. прокурорите от Окръжна и Районна прокуратура Монтана  и са наблюдавали 328 преписки по надзора за законност, от които 306 броя са новообразувани. По инициатива на прокурор са образувани 311 броя прокурорски преписки, по искане на граждани и организации са образувани 20 бр.</w:t>
      </w:r>
    </w:p>
    <w:p w14:paraId="26866332"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През 2021 г. прокурорите от Окръжна и Районна прокуратура Монтана  и са наблюдавали 348 преписки по надзора за законност, от които 307 броя са новообразувани. По инициатива на прокурор са образувани 315 броя прокурорски преписки, по искане на граждани и организации са образувани 33 бр., като от тях 23 са на РП Монтана, а  в Окръжна прокуратура Монтана са 10 броя.</w:t>
      </w:r>
    </w:p>
    <w:p w14:paraId="0C984557"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През 2020 г. прокурорите от Окръжна и Районна  прокуратура Монтана  са наблюдавали 287 преписки по надзора за законност, от които 274 броя са новообразувани. По инициатива на прокурор са образувани 144 броя прокурорски преписки, по искане на граждани и организации са образувани 143 броя.</w:t>
      </w:r>
    </w:p>
    <w:p w14:paraId="48A8DBB8"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 xml:space="preserve">В сравнение с предходните две години следва да се посочи, че е налице   намаляване на броя на образуваните преписки. През 2022 г. са наблюдавани  с 20  бр. преписки по-малко в сравнение с 2021 година, а спрямо 2020 година са  с 41 бр. повече. Образуваните преписки по инициатива на граждани и организации през 2022 г. са с 295 броя по-малко спрямо 2021 г. и 123 броя по-малко  спрямо 2020 г. Намаляването на броя преписки, образувани по инициатива на граждани и организации се дължи основно на  липсата на инициатива на гражданите в съдебния район на Окръжна прокуратура Монтана, което отчасти е продиктувано и от специфичната обстановка, свързана с </w:t>
      </w:r>
      <w:proofErr w:type="spellStart"/>
      <w:r w:rsidRPr="00A42673">
        <w:rPr>
          <w:rFonts w:ascii="Times New Roman" w:eastAsia="Calibri" w:hAnsi="Times New Roman" w:cs="Times New Roman"/>
          <w:color w:val="000000"/>
          <w:sz w:val="28"/>
          <w:szCs w:val="28"/>
          <w:lang w:val="en-US"/>
        </w:rPr>
        <w:t>Covid</w:t>
      </w:r>
      <w:proofErr w:type="spellEnd"/>
      <w:r w:rsidRPr="00A42673">
        <w:rPr>
          <w:rFonts w:ascii="Times New Roman" w:eastAsia="Calibri" w:hAnsi="Times New Roman" w:cs="Times New Roman"/>
          <w:color w:val="000000"/>
          <w:sz w:val="28"/>
          <w:szCs w:val="28"/>
        </w:rPr>
        <w:t xml:space="preserve"> 19. Следва  да се отбележи, че е необходимо да се засили дейността по информираност на гражданите и организациите относно  възможността им за сезиране на прокуратурата при установени от тях незаконосъобразни  действия или бездействия на държавните институции.</w:t>
      </w:r>
    </w:p>
    <w:p w14:paraId="1101F5C4" w14:textId="77777777" w:rsidR="00A42673" w:rsidRPr="00A42673" w:rsidRDefault="00A42673" w:rsidP="00A42673">
      <w:pPr>
        <w:spacing w:after="0" w:line="240" w:lineRule="auto"/>
        <w:ind w:firstLine="709"/>
        <w:jc w:val="both"/>
        <w:rPr>
          <w:rFonts w:ascii="Times New Roman" w:eastAsia="Calibri" w:hAnsi="Times New Roman" w:cs="Times New Roman"/>
          <w:sz w:val="28"/>
          <w:szCs w:val="28"/>
        </w:rPr>
      </w:pPr>
      <w:r w:rsidRPr="00A42673">
        <w:rPr>
          <w:rFonts w:ascii="Times New Roman" w:eastAsia="Calibri" w:hAnsi="Times New Roman" w:cs="Times New Roman"/>
          <w:color w:val="000000"/>
          <w:sz w:val="28"/>
          <w:szCs w:val="28"/>
        </w:rPr>
        <w:t xml:space="preserve">През отчетната година е налице намаляване на броя на  проверените административни актове в сравнение с предходните 2021 година и  2020 година. Проверени са общо 2318  административни актове,  при  1997  за 2021  г. и при 2628 за 2020 г., което представлява увеличение  в абсолютни </w:t>
      </w:r>
      <w:r w:rsidRPr="00A42673">
        <w:rPr>
          <w:rFonts w:ascii="Times New Roman" w:eastAsia="Calibri" w:hAnsi="Times New Roman" w:cs="Times New Roman"/>
          <w:color w:val="000000"/>
          <w:sz w:val="28"/>
          <w:szCs w:val="28"/>
        </w:rPr>
        <w:lastRenderedPageBreak/>
        <w:t xml:space="preserve">стойности със 321 броя, а в процентно изражение с 16 % спрямо 2021 г. и намаление със  310 броя спрямо 20220 година. </w:t>
      </w:r>
      <w:r w:rsidRPr="00A42673">
        <w:rPr>
          <w:rFonts w:ascii="Times New Roman" w:eastAsia="Calibri" w:hAnsi="Times New Roman" w:cs="Times New Roman"/>
          <w:sz w:val="28"/>
          <w:szCs w:val="28"/>
        </w:rPr>
        <w:t>Причината за  увеличението спрямо 2022 година,  така и за намаляването спрямо 2020 на проверените актове през отчетния период се дължи главно на естеството на извършваните проверки.</w:t>
      </w:r>
    </w:p>
    <w:p w14:paraId="133E2477"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Преобладава броят на проверените решения на общинските съвети и административните актове на кметовете на общините, актовете на Дирекция „Инспекция по труда” – Монтана, Правилници на училища по ЗНП и Актове за установено нарушение по ЗНП, решения на МК за БППМН</w:t>
      </w:r>
      <w:r w:rsidRPr="00A42673">
        <w:rPr>
          <w:rFonts w:ascii="Times New Roman" w:eastAsia="Calibri" w:hAnsi="Times New Roman" w:cs="Times New Roman"/>
          <w:position w:val="8"/>
          <w:sz w:val="28"/>
          <w:szCs w:val="28"/>
        </w:rPr>
        <w:t xml:space="preserve"> </w:t>
      </w:r>
      <w:r w:rsidRPr="00A42673">
        <w:rPr>
          <w:rFonts w:ascii="Times New Roman" w:eastAsia="Calibri" w:hAnsi="Times New Roman" w:cs="Times New Roman"/>
          <w:color w:val="000000"/>
          <w:sz w:val="28"/>
          <w:szCs w:val="28"/>
        </w:rPr>
        <w:t xml:space="preserve">и др. </w:t>
      </w:r>
    </w:p>
    <w:p w14:paraId="5209AEEA"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 xml:space="preserve">Установени са общо 72 закононарушения при 52 за 2021 г. и 86 за 2020 г. Наблюдава се увеличение на установените закононарушения  спрямо 2021 г. – с 20 броя повече спрямо 2021 година   и намаление  с 10 бр. спрямо 2020 година, което в процентно съотношение е увеличение  със 17 % повече спрямо 2020 г. и намаление със същия процент – 17%,  спрямо 2020 г. </w:t>
      </w:r>
    </w:p>
    <w:p w14:paraId="58881E00" w14:textId="77777777" w:rsidR="00A42673" w:rsidRPr="00A42673" w:rsidRDefault="00A42673" w:rsidP="00A42673">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Arial"/>
          <w:b/>
          <w:i/>
          <w:color w:val="000000"/>
          <w:sz w:val="28"/>
          <w:lang w:eastAsia="bg-BG"/>
        </w:rPr>
      </w:pPr>
      <w:bookmarkStart w:id="157" w:name="_Toc127370331"/>
      <w:r w:rsidRPr="00A42673">
        <w:rPr>
          <w:rFonts w:ascii="Times New Roman" w:eastAsia="Calibri" w:hAnsi="Times New Roman" w:cs="Arial"/>
          <w:b/>
          <w:i/>
          <w:color w:val="000000"/>
          <w:sz w:val="28"/>
          <w:lang w:eastAsia="bg-BG"/>
        </w:rPr>
        <w:t>3.2. Планирани и извършени проверки за законност - ефективност на проверките, в т. ч. на различните способи за проверка, проблеми по прилагането на закона.</w:t>
      </w:r>
      <w:bookmarkEnd w:id="157"/>
    </w:p>
    <w:p w14:paraId="78F3BB6A"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 xml:space="preserve">През отчетната година при осъществяване правомощията си по чл.145 ал.1 т.1-3 от ЗСВ и в изпълнение на указанията и плановите задачи на Върховна административна прокуратура, Апелативна прокуратура София, Окръжна прокуратура  Монтана и на Районна прокуратура за упражняване надзор за законност прокурорите са извършили общо 366 проверки,  при  343 за 2021 година и  177 за 2020 г. </w:t>
      </w:r>
      <w:r w:rsidRPr="00A42673">
        <w:rPr>
          <w:rFonts w:ascii="Times New Roman" w:eastAsia="Calibri" w:hAnsi="Times New Roman" w:cs="Times New Roman"/>
          <w:sz w:val="28"/>
          <w:szCs w:val="28"/>
        </w:rPr>
        <w:t>г. Налице е</w:t>
      </w:r>
      <w:r w:rsidRPr="00A42673">
        <w:rPr>
          <w:rFonts w:ascii="Times New Roman" w:eastAsia="Calibri" w:hAnsi="Times New Roman" w:cs="Times New Roman"/>
          <w:color w:val="000000"/>
          <w:sz w:val="28"/>
          <w:szCs w:val="28"/>
        </w:rPr>
        <w:t xml:space="preserve"> увеличение на броя на проверките през 2022 г. спрямо предходните. Спрямо  2021 увеличението е с 23 броя, а спрямо 2020 година е със 189 броя повече. В процентно съотношение увеличението спрямо 2021 г. е 6 % а спрямо 2020 г. увеличението  е 21 %.</w:t>
      </w:r>
    </w:p>
    <w:p w14:paraId="3969D469"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Прокурорите са използвали различни способи за извършване на проверките. По чл. 145, ал. 1, т. 1 от ЗСВ са извършени 366 проверки. Прокурорите са извършили 204 лични проверки при 61 за 2021 година, и 19 за 2020 г. и са възложили на контролни органи 74 проверки (чл. 145, ал. 1, т. 3 ЗСВ) при  96 бр. спрямо 2021 година. Всички проверки са приключили в законоустановените срокове.</w:t>
      </w:r>
    </w:p>
    <w:p w14:paraId="2C068036" w14:textId="77777777" w:rsidR="00A42673" w:rsidRPr="00A42673" w:rsidRDefault="00A42673" w:rsidP="00A42673">
      <w:pPr>
        <w:spacing w:after="0" w:line="240" w:lineRule="auto"/>
        <w:ind w:firstLine="709"/>
        <w:jc w:val="both"/>
        <w:rPr>
          <w:rFonts w:ascii="Times New Roman" w:eastAsia="Calibri" w:hAnsi="Times New Roman" w:cs="Times New Roman"/>
          <w:sz w:val="28"/>
          <w:szCs w:val="28"/>
        </w:rPr>
      </w:pPr>
      <w:r w:rsidRPr="00A42673">
        <w:rPr>
          <w:rFonts w:ascii="Times New Roman" w:eastAsia="Calibri" w:hAnsi="Times New Roman" w:cs="Times New Roman"/>
          <w:color w:val="000000"/>
          <w:sz w:val="28"/>
          <w:szCs w:val="28"/>
        </w:rPr>
        <w:t>Налице е значително увеличение на общия брой на извършените проверки спрямо 2021 година  и  спрямо 2020 година. Увеличението се дължи основно на увеличения брой  на проверките, извършени по инициатива на прокурор и най-вече  чрез самосезиране</w:t>
      </w:r>
      <w:r w:rsidRPr="00A42673">
        <w:rPr>
          <w:rFonts w:ascii="Times New Roman" w:eastAsia="Calibri" w:hAnsi="Times New Roman" w:cs="Times New Roman"/>
          <w:sz w:val="28"/>
          <w:szCs w:val="28"/>
        </w:rPr>
        <w:t xml:space="preserve">. </w:t>
      </w:r>
    </w:p>
    <w:p w14:paraId="107156B6"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 xml:space="preserve">От прокурорите са изготвени общо </w:t>
      </w:r>
      <w:r w:rsidRPr="00A42673">
        <w:rPr>
          <w:rFonts w:ascii="Times New Roman" w:eastAsia="Calibri" w:hAnsi="Times New Roman" w:cs="Times New Roman"/>
          <w:sz w:val="28"/>
          <w:szCs w:val="28"/>
        </w:rPr>
        <w:t>20 п</w:t>
      </w:r>
      <w:r w:rsidRPr="00A42673">
        <w:rPr>
          <w:rFonts w:ascii="Times New Roman" w:eastAsia="Calibri" w:hAnsi="Times New Roman" w:cs="Times New Roman"/>
          <w:color w:val="000000"/>
          <w:sz w:val="28"/>
          <w:szCs w:val="28"/>
        </w:rPr>
        <w:t>редложения за отстраняване на допуснати закононарушения. Всички са по чл. 145, ал. 1, т. 6 ЗСВ, като всички предложения са изготвени от   Районна прокуратура Монтана. 18 броя са уважени, а 2 броя са висящи към края на отчетния период.</w:t>
      </w:r>
    </w:p>
    <w:p w14:paraId="67183558"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 xml:space="preserve">През 2021 изготвени общо </w:t>
      </w:r>
      <w:r w:rsidRPr="00A42673">
        <w:rPr>
          <w:rFonts w:ascii="Times New Roman" w:eastAsia="Calibri" w:hAnsi="Times New Roman" w:cs="Times New Roman"/>
          <w:sz w:val="28"/>
          <w:szCs w:val="28"/>
        </w:rPr>
        <w:t>34 п</w:t>
      </w:r>
      <w:r w:rsidRPr="00A42673">
        <w:rPr>
          <w:rFonts w:ascii="Times New Roman" w:eastAsia="Calibri" w:hAnsi="Times New Roman" w:cs="Times New Roman"/>
          <w:color w:val="000000"/>
          <w:sz w:val="28"/>
          <w:szCs w:val="28"/>
        </w:rPr>
        <w:t xml:space="preserve">редложения за отстраняване на допуснати закононарушения. Всички са по чл. 145, ал. 1, т. 6 ЗСВ, като Окръжна прокуратура Монтана е изготвила 11 бр. предложения, а  Районна </w:t>
      </w:r>
    </w:p>
    <w:p w14:paraId="26C357C6"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 xml:space="preserve">През 2020 година са изготвени общо </w:t>
      </w:r>
      <w:r w:rsidRPr="00A42673">
        <w:rPr>
          <w:rFonts w:ascii="Times New Roman" w:eastAsia="Calibri" w:hAnsi="Times New Roman" w:cs="Times New Roman"/>
          <w:sz w:val="28"/>
          <w:szCs w:val="28"/>
        </w:rPr>
        <w:t>36 п</w:t>
      </w:r>
      <w:r w:rsidRPr="00A42673">
        <w:rPr>
          <w:rFonts w:ascii="Times New Roman" w:eastAsia="Calibri" w:hAnsi="Times New Roman" w:cs="Times New Roman"/>
          <w:color w:val="000000"/>
          <w:sz w:val="28"/>
          <w:szCs w:val="28"/>
        </w:rPr>
        <w:t>редложения за отстраняване на допуснати закононарушения. От тях 35 са уважени, а едно не е уважено.</w:t>
      </w:r>
    </w:p>
    <w:p w14:paraId="2F0B0280"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lastRenderedPageBreak/>
        <w:t xml:space="preserve">Налице е намаление на  общия брой на направените предложения за отчетния период спрямо  2021 година  и увеличение спрямо 2022 година. </w:t>
      </w:r>
    </w:p>
    <w:p w14:paraId="546BAB7C"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 xml:space="preserve">Примери за по-значими за обществото проблеми, представляващи обществен интерес, по които прокуратурите са възлагали планови или извънпланови проверки или са се самосезирали по материали, публикувани в средствата за масова информация, са описани в </w:t>
      </w:r>
      <w:r w:rsidRPr="00A42673">
        <w:rPr>
          <w:rFonts w:ascii="Times New Roman" w:eastAsia="Calibri" w:hAnsi="Times New Roman" w:cs="Times New Roman"/>
          <w:sz w:val="28"/>
          <w:szCs w:val="28"/>
        </w:rPr>
        <w:t>приложение № 5</w:t>
      </w:r>
      <w:r w:rsidRPr="00A42673">
        <w:rPr>
          <w:rFonts w:ascii="Times New Roman" w:eastAsia="Calibri" w:hAnsi="Times New Roman" w:cs="Times New Roman"/>
          <w:color w:val="000000"/>
          <w:sz w:val="28"/>
          <w:szCs w:val="28"/>
        </w:rPr>
        <w:t>.</w:t>
      </w:r>
    </w:p>
    <w:p w14:paraId="419E9CB9"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p>
    <w:p w14:paraId="7CEF3587" w14:textId="77777777" w:rsidR="00A42673" w:rsidRPr="00A42673" w:rsidRDefault="00A42673" w:rsidP="00A42673">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Arial"/>
          <w:b/>
          <w:i/>
          <w:color w:val="000000"/>
          <w:sz w:val="28"/>
          <w:lang w:eastAsia="bg-BG"/>
        </w:rPr>
      </w:pPr>
      <w:bookmarkStart w:id="158" w:name="_Toc127370332"/>
      <w:r w:rsidRPr="00A42673">
        <w:rPr>
          <w:rFonts w:ascii="Times New Roman" w:eastAsia="Calibri" w:hAnsi="Times New Roman" w:cs="Arial"/>
          <w:b/>
          <w:i/>
          <w:color w:val="000000"/>
          <w:sz w:val="28"/>
          <w:lang w:eastAsia="bg-BG"/>
        </w:rPr>
        <w:t>3.3. Взаимодействие със специализираните контролни органи (централни и териториални) и с други държавни и общински органи с контролни функции – форми, състояние, насоки на дейността по надзора за законност спрямо тези органи в краткосрочен и по-дългосрочен план.</w:t>
      </w:r>
      <w:bookmarkEnd w:id="158"/>
    </w:p>
    <w:p w14:paraId="7FE57174"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 xml:space="preserve">При осъществяване на надзора за законност през отчетната година прокурорите от региона са поддържали добро взаимодействие със специализираните контролни органи. Не са установени случаи на отказ на контролен орган да предостави информация, материали, сведения, или да извърши проверки. </w:t>
      </w:r>
    </w:p>
    <w:p w14:paraId="203E6142"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 xml:space="preserve">Следва да се осъществява по-пряк контакт и взаимодействие с контролните органи и да се използва по-пълно експертният им капацитет. При възлагане на проверки при възникнала необходимост трябва да се провеждат срещи, на които да се обсъждат въпроси, свързани с организацията и реализацията на проверките, както и отчитане на резултатите и възникналите проблеми. </w:t>
      </w:r>
    </w:p>
    <w:p w14:paraId="1425ED08"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През 2022 г. прокурорите от региона активно са взели участие в различни комисии и щабове към областния управител и общинските съвети – Консултативен съвет по опазване на горите, рибата и дивеча към Областен управител на Област Монтана; Областен  обществен съвет за превенция и противодействие на корупцията; Областен щаб за защита на населението  при  кризи, бедствия и аварии; Консултативен съвет към Областен управител по въпросите на земеделието; Междуведомствени комисии за борба с противообществените прояви на малолетни и непълнолетни към общините Монтана, Лом и Берковица.</w:t>
      </w:r>
    </w:p>
    <w:p w14:paraId="2625AC17" w14:textId="77777777" w:rsidR="00A42673" w:rsidRPr="00A42673" w:rsidRDefault="00A42673" w:rsidP="00A42673">
      <w:pPr>
        <w:spacing w:after="0" w:line="240" w:lineRule="auto"/>
        <w:ind w:firstLine="709"/>
        <w:jc w:val="both"/>
        <w:rPr>
          <w:rFonts w:ascii="Times New Roman" w:eastAsia="Calibri" w:hAnsi="Times New Roman" w:cs="Times New Roman"/>
          <w:sz w:val="28"/>
          <w:szCs w:val="28"/>
        </w:rPr>
      </w:pPr>
    </w:p>
    <w:p w14:paraId="0E47C460" w14:textId="77777777" w:rsidR="00A42673" w:rsidRPr="00A42673" w:rsidRDefault="00A42673" w:rsidP="00A42673">
      <w:pPr>
        <w:spacing w:after="0" w:line="240" w:lineRule="auto"/>
        <w:jc w:val="center"/>
        <w:rPr>
          <w:rFonts w:ascii="Times New Roman" w:eastAsia="Times New Roman" w:hAnsi="Times New Roman" w:cs="Times New Roman"/>
          <w:b/>
          <w:sz w:val="24"/>
          <w:szCs w:val="24"/>
        </w:rPr>
      </w:pPr>
      <w:r w:rsidRPr="00A42673">
        <w:rPr>
          <w:rFonts w:ascii="Times New Roman" w:eastAsia="Times New Roman" w:hAnsi="Times New Roman" w:cs="Times New Roman"/>
          <w:b/>
          <w:sz w:val="24"/>
          <w:szCs w:val="24"/>
        </w:rPr>
        <w:t>АНАЛИЗ НА РЕЗУЛТАТИТЕ ОТ ДЕЙНОСТТА ПО НАДЗОРА ЗА ЗАКОННОСТ ВЪЗ ОСНОВА НА ИЗГОТВЕНИТЕ ПРОКУРОРСКИ АКТОВЕ (УВАЖЕНИ, НЕУВАЖЕНИ) - ПРОТЕСТИ СРЕЩУ НЕЗАКОНОСЪОБРАЗНИ АДМИНИСТРАТИВНИ АКТОВЕ, ПРЕДЛОЖЕНИЯ ПО ЧЛ. 145, АЛ. 1, Т. 6 ОТ ЗСВ, ПРЕДЛОЖЕНИЯ ЗА ВЪЗОБНОВЯВАНЕ НА АДМИНИСТРАТИВНИ ПРОИЗВОДСТВА ПО РЕДА НА ЧЛ. 102 ВЪВ ВР. С ЧЛ. 99, Т. 1 ОТ АПК. ОБРАЗУВАНИ ДОСЪДЕБНИ ПРОИЗВОДСТВА В РЕЗУЛТАТ НА ИЗВЪРШЕНИ ПРОВЕРКИ ЗА ЗАКОННОСТ</w:t>
      </w:r>
    </w:p>
    <w:p w14:paraId="72455E6E"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През 2022 г. общият брой на проверените административни актове от прокурорите е 2318 бр. Установени са 72 закононарушения. Изготвени са 20 предложения по реда на чл.145, ал.1, т.6 ЗСВ, като уважени са 18 броя, а 2 бр. са висящи.</w:t>
      </w:r>
    </w:p>
    <w:p w14:paraId="6A448DB5"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color w:val="000000"/>
          <w:sz w:val="28"/>
          <w:szCs w:val="28"/>
        </w:rPr>
        <w:t xml:space="preserve">Изготвени и подадени до Административен съд Монтана  са 24 броя протести с правно основание чл.147, ал. 2 във вр. с чл. 16, ал. 1, т. 1 във вр. с чл.149, ал. 4 във вр. с чл. 146, ал. 1, т. 3 и т. 4 от АПК срещу  </w:t>
      </w:r>
      <w:r w:rsidRPr="00A42673">
        <w:rPr>
          <w:rFonts w:ascii="Times New Roman" w:eastAsia="Calibri" w:hAnsi="Times New Roman" w:cs="Times New Roman"/>
          <w:color w:val="000000"/>
          <w:sz w:val="28"/>
          <w:szCs w:val="28"/>
        </w:rPr>
        <w:lastRenderedPageBreak/>
        <w:t xml:space="preserve">незаконосъобразни текстове от различни наредби на общинските съвети във всички общини на територията  на област Монтана. Уважени са 22 броя, а 2 броя са висящи към края на отчетния период пред Административен съд Монтана. 6 броя от протестите  до Административен съд Монтана са изготвени от Окръжна прокуратура Монтана. Районна прокуратура  Монтана е подала 18 бр. протеста. </w:t>
      </w:r>
    </w:p>
    <w:p w14:paraId="62FD3A62" w14:textId="77777777" w:rsidR="00A42673" w:rsidRPr="00A42673" w:rsidRDefault="00A42673" w:rsidP="00A42673">
      <w:pPr>
        <w:spacing w:after="0" w:line="240" w:lineRule="auto"/>
        <w:ind w:firstLine="709"/>
        <w:jc w:val="both"/>
        <w:rPr>
          <w:rFonts w:ascii="Times New Roman" w:eastAsia="Calibri" w:hAnsi="Times New Roman" w:cs="Times New Roman"/>
          <w:color w:val="000000"/>
          <w:sz w:val="28"/>
          <w:szCs w:val="28"/>
        </w:rPr>
      </w:pPr>
      <w:r w:rsidRPr="00A42673">
        <w:rPr>
          <w:rFonts w:ascii="Times New Roman" w:eastAsia="Calibri" w:hAnsi="Times New Roman" w:cs="Times New Roman"/>
          <w:sz w:val="28"/>
          <w:szCs w:val="28"/>
        </w:rPr>
        <w:t>Изготвените предложения по чл.145, ал.1, т.6 от ЗСВ са общо 20</w:t>
      </w:r>
      <w:r w:rsidRPr="00A42673">
        <w:rPr>
          <w:rFonts w:ascii="Times New Roman" w:eastAsia="Calibri" w:hAnsi="Times New Roman" w:cs="Times New Roman"/>
          <w:color w:val="000000"/>
          <w:sz w:val="28"/>
          <w:szCs w:val="28"/>
        </w:rPr>
        <w:t xml:space="preserve"> и всички са изготвени от Районна прокуратура Монтана.</w:t>
      </w:r>
    </w:p>
    <w:p w14:paraId="27B5B571" w14:textId="77777777" w:rsidR="00A42673" w:rsidRPr="00A42673" w:rsidRDefault="00A42673" w:rsidP="00A42673">
      <w:pPr>
        <w:spacing w:after="0" w:line="240" w:lineRule="auto"/>
        <w:jc w:val="both"/>
        <w:rPr>
          <w:rFonts w:ascii="Times New Roman" w:eastAsia="Calibri" w:hAnsi="Times New Roman" w:cs="Times New Roman"/>
          <w:color w:val="000000"/>
          <w:sz w:val="28"/>
          <w:szCs w:val="28"/>
        </w:rPr>
      </w:pPr>
    </w:p>
    <w:p w14:paraId="00FE82DA" w14:textId="77777777" w:rsidR="00A42673" w:rsidRPr="00A42673" w:rsidRDefault="00A42673" w:rsidP="00A42673">
      <w:pPr>
        <w:spacing w:after="0" w:line="240" w:lineRule="auto"/>
        <w:ind w:firstLine="709"/>
        <w:jc w:val="both"/>
        <w:rPr>
          <w:rFonts w:ascii="Times New Roman" w:eastAsia="Calibri" w:hAnsi="Times New Roman" w:cs="Times New Roman"/>
          <w:b/>
          <w:sz w:val="28"/>
          <w:szCs w:val="28"/>
        </w:rPr>
      </w:pPr>
      <w:r w:rsidRPr="00A42673">
        <w:rPr>
          <w:rFonts w:ascii="Times New Roman" w:eastAsia="Calibri" w:hAnsi="Times New Roman" w:cs="Times New Roman"/>
          <w:b/>
          <w:sz w:val="28"/>
          <w:szCs w:val="28"/>
          <w:u w:val="single"/>
        </w:rPr>
        <w:t>Районна прокуратура Монтана</w:t>
      </w:r>
      <w:r w:rsidRPr="00A42673">
        <w:rPr>
          <w:rFonts w:ascii="Times New Roman" w:eastAsia="Calibri" w:hAnsi="Times New Roman" w:cs="Times New Roman"/>
          <w:b/>
          <w:sz w:val="28"/>
          <w:szCs w:val="28"/>
        </w:rPr>
        <w:t xml:space="preserve"> – 20 броя предложения</w:t>
      </w:r>
    </w:p>
    <w:p w14:paraId="3EEE8DA8" w14:textId="77777777" w:rsidR="00A42673" w:rsidRPr="00A42673" w:rsidRDefault="00A42673" w:rsidP="00A42673">
      <w:pPr>
        <w:spacing w:after="0" w:line="240" w:lineRule="auto"/>
        <w:jc w:val="both"/>
        <w:rPr>
          <w:rFonts w:ascii="Times New Roman" w:eastAsia="Calibri" w:hAnsi="Times New Roman" w:cs="Times New Roman"/>
          <w:b/>
          <w:sz w:val="28"/>
          <w:szCs w:val="28"/>
        </w:rPr>
      </w:pPr>
    </w:p>
    <w:p w14:paraId="60BD432B" w14:textId="77777777" w:rsidR="00A42673" w:rsidRPr="00A42673" w:rsidRDefault="00A42673" w:rsidP="00A42673">
      <w:pPr>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CYR" w:eastAsia="Times New Roman" w:hAnsi="Times New Roman CYR" w:cs="Times New Roman CYR"/>
          <w:b/>
          <w:sz w:val="28"/>
          <w:szCs w:val="28"/>
          <w:lang w:eastAsia="bg-BG"/>
        </w:rPr>
        <w:t>1 брой</w:t>
      </w:r>
      <w:r w:rsidRPr="00A42673">
        <w:rPr>
          <w:rFonts w:ascii="Times New Roman CYR" w:eastAsia="Times New Roman" w:hAnsi="Times New Roman CYR" w:cs="Times New Roman CYR"/>
          <w:sz w:val="28"/>
          <w:szCs w:val="28"/>
          <w:lang w:eastAsia="bg-BG"/>
        </w:rPr>
        <w:t xml:space="preserve"> предложение  по  преписка № 4187/2022 год. по описа на Районна прокуратура Монтана  е направено до  Председателя на Общински съвет  Бойчиновци  да бъдат предприети действия  за изменението на разпоредбите  на чл. 17, ал. 1, т. 1 и т. 2  от Наредбата за определяне и администриране на местните такси и цени на услуги на територията на Община Бойчиновци в частта „… в срок от 01 ноември …“. Предложението е изпълнено.</w:t>
      </w:r>
    </w:p>
    <w:p w14:paraId="57C6A575" w14:textId="77777777" w:rsidR="00A42673" w:rsidRPr="00A42673" w:rsidRDefault="00A42673" w:rsidP="00A42673">
      <w:pPr>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CYR" w:eastAsia="Times New Roman" w:hAnsi="Times New Roman CYR" w:cs="Times New Roman CYR"/>
          <w:b/>
          <w:sz w:val="28"/>
          <w:szCs w:val="28"/>
          <w:lang w:eastAsia="bg-BG"/>
        </w:rPr>
        <w:t>11 броя</w:t>
      </w:r>
      <w:r w:rsidRPr="00A42673">
        <w:rPr>
          <w:rFonts w:ascii="Times New Roman CYR" w:eastAsia="Times New Roman" w:hAnsi="Times New Roman CYR" w:cs="Times New Roman CYR"/>
          <w:sz w:val="28"/>
          <w:szCs w:val="28"/>
          <w:lang w:eastAsia="bg-BG"/>
        </w:rPr>
        <w:t xml:space="preserve"> предложения  по  преписка № 4991/2021 година по описа на Районна прокуратура Монтана  са направени до кметовете на всички 11 бр. общини на територията на област Монтана с предложение  за предприемане необходимите мерки за изготвянето на генерални планове за организацията на движението за населените места на територията на общините и планове за организация на движението извън населените места и одобряването им по нормативно установения ред. Предложенията са изпълнени</w:t>
      </w:r>
    </w:p>
    <w:p w14:paraId="7AC6555D" w14:textId="77777777" w:rsidR="00A42673" w:rsidRPr="00A42673" w:rsidRDefault="00A42673" w:rsidP="00A42673">
      <w:pPr>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CYR" w:eastAsia="Times New Roman" w:hAnsi="Times New Roman CYR" w:cs="Times New Roman CYR"/>
          <w:b/>
          <w:sz w:val="28"/>
          <w:szCs w:val="28"/>
          <w:lang w:eastAsia="bg-BG"/>
        </w:rPr>
        <w:t>1 брой</w:t>
      </w:r>
      <w:r w:rsidRPr="00A42673">
        <w:rPr>
          <w:rFonts w:ascii="Times New Roman CYR" w:eastAsia="Times New Roman" w:hAnsi="Times New Roman CYR" w:cs="Times New Roman CYR"/>
          <w:sz w:val="28"/>
          <w:szCs w:val="28"/>
          <w:lang w:eastAsia="bg-BG"/>
        </w:rPr>
        <w:t xml:space="preserve"> предложение  по  преписка № 3045/2022 година по описа на Районна прокуратура Монтана  е направено до Кмета на Община  Чипровци с предложение след запознаване с доклада от  заместник директор на АДФИ за  извършената финансова инспекция,  при приемане на план-сметката за 2023 година да се предприемат  мерки за недопускане на нарушенията, установени от държавния финансов инспектор. Предложението е висящо.</w:t>
      </w:r>
    </w:p>
    <w:p w14:paraId="25C5C527" w14:textId="77777777" w:rsidR="00A42673" w:rsidRPr="00A42673" w:rsidRDefault="00A42673" w:rsidP="00A42673">
      <w:pPr>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CYR" w:eastAsia="Times New Roman" w:hAnsi="Times New Roman CYR" w:cs="Times New Roman CYR"/>
          <w:b/>
          <w:sz w:val="28"/>
          <w:szCs w:val="28"/>
          <w:lang w:eastAsia="bg-BG"/>
        </w:rPr>
        <w:t>1 брой</w:t>
      </w:r>
      <w:r w:rsidRPr="00A42673">
        <w:rPr>
          <w:rFonts w:ascii="Times New Roman CYR" w:eastAsia="Times New Roman" w:hAnsi="Times New Roman CYR" w:cs="Times New Roman CYR"/>
          <w:sz w:val="28"/>
          <w:szCs w:val="28"/>
          <w:lang w:eastAsia="bg-BG"/>
        </w:rPr>
        <w:t xml:space="preserve"> предложение  по  преписка № 3045/2022 година по описа на Районна прокуратура Монтана  е направено до Кмета на Община  Якимово с предложение след запознаване с доклада за  извършената от  заместник директор на АДФИ финансова инспекция  при приемане на план-сметката за 2023 год., да се предприемат  мерки за недопускане на нарушенията, установени от държавния финансов инспектор. Предложението е висящо.</w:t>
      </w:r>
    </w:p>
    <w:p w14:paraId="2F292017" w14:textId="77777777" w:rsidR="00A42673" w:rsidRPr="00A42673" w:rsidRDefault="00A42673" w:rsidP="00A42673">
      <w:pPr>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CYR" w:eastAsia="Times New Roman" w:hAnsi="Times New Roman CYR" w:cs="Times New Roman CYR"/>
          <w:b/>
          <w:sz w:val="28"/>
          <w:szCs w:val="28"/>
          <w:lang w:eastAsia="bg-BG"/>
        </w:rPr>
        <w:t>1 брой</w:t>
      </w:r>
      <w:r w:rsidRPr="00A42673">
        <w:rPr>
          <w:rFonts w:ascii="Times New Roman CYR" w:eastAsia="Times New Roman" w:hAnsi="Times New Roman CYR" w:cs="Times New Roman CYR"/>
          <w:sz w:val="28"/>
          <w:szCs w:val="28"/>
          <w:lang w:eastAsia="bg-BG"/>
        </w:rPr>
        <w:t xml:space="preserve"> предложение  по  преписка № 537/2022 година по описа на Районна прокуратура Монтана  е направено до Председателя на Общински съвет Монтана да предприеме действия за отмяна на   разпоредбата на чл. 6, ал. 1 от Правилник за дейността на общинските предприятия, приет с Решение № 269 от Протокол № 39/10.07.1997 г. на Общински съвет - Монтана, поради противоречие с нормативен акт от по-висока степен, а именно чл. 52, ал. 5 от Закона общинските предприятия. Предложението е изпълнено.</w:t>
      </w:r>
    </w:p>
    <w:p w14:paraId="57C0F1AA" w14:textId="77777777" w:rsidR="00A42673" w:rsidRPr="00A42673" w:rsidRDefault="00A42673" w:rsidP="00A42673">
      <w:pPr>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CYR" w:eastAsia="Times New Roman" w:hAnsi="Times New Roman CYR" w:cs="Times New Roman CYR"/>
          <w:b/>
          <w:sz w:val="28"/>
          <w:szCs w:val="28"/>
          <w:lang w:eastAsia="bg-BG"/>
        </w:rPr>
        <w:t>1 брой</w:t>
      </w:r>
      <w:r w:rsidRPr="00A42673">
        <w:rPr>
          <w:rFonts w:ascii="Times New Roman CYR" w:eastAsia="Times New Roman" w:hAnsi="Times New Roman CYR" w:cs="Times New Roman CYR"/>
          <w:sz w:val="28"/>
          <w:szCs w:val="28"/>
          <w:lang w:eastAsia="bg-BG"/>
        </w:rPr>
        <w:t xml:space="preserve"> предложение  по  преписка № 858/2022 година по описа на Районна прокуратура Монтана  е направено до Председателя на Общински </w:t>
      </w:r>
      <w:r w:rsidRPr="00A42673">
        <w:rPr>
          <w:rFonts w:ascii="Times New Roman CYR" w:eastAsia="Times New Roman" w:hAnsi="Times New Roman CYR" w:cs="Times New Roman CYR"/>
          <w:sz w:val="28"/>
          <w:szCs w:val="28"/>
          <w:lang w:eastAsia="bg-BG"/>
        </w:rPr>
        <w:lastRenderedPageBreak/>
        <w:t>съвет Монтана да предприеме действия за отмяна на Правилник за осигуряване на безопасност и ограничаване достъпа в районите на училищата, детските градини и обслужващите звена в Община Монтана, приет с Решение №127 от 29.03.2016 год. на Общински съвет – Монтана, като приет при липса на компетентност. Предложението е изпълнено.</w:t>
      </w:r>
    </w:p>
    <w:p w14:paraId="2003E266" w14:textId="77777777" w:rsidR="00A42673" w:rsidRPr="00A42673" w:rsidRDefault="00A42673" w:rsidP="00A42673">
      <w:pPr>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CYR" w:eastAsia="Times New Roman" w:hAnsi="Times New Roman CYR" w:cs="Times New Roman CYR"/>
          <w:b/>
          <w:sz w:val="28"/>
          <w:szCs w:val="28"/>
          <w:lang w:eastAsia="bg-BG"/>
        </w:rPr>
        <w:t>1 брой</w:t>
      </w:r>
      <w:r w:rsidRPr="00A42673">
        <w:rPr>
          <w:rFonts w:ascii="Times New Roman CYR" w:eastAsia="Times New Roman" w:hAnsi="Times New Roman CYR" w:cs="Times New Roman CYR"/>
          <w:sz w:val="28"/>
          <w:szCs w:val="28"/>
          <w:lang w:eastAsia="bg-BG"/>
        </w:rPr>
        <w:t xml:space="preserve"> предложение  по  преписка № 859/2022 година по описа на Районна прокуратура Монтана  е направено до Председателя на Общински съвет Монтана да предприеме действия за отмяна на Наредба за условията и реда за изграждане на благоустройствените мрежи и съоръжения, приета от Общински съвет - Монтана с Решение  362/17.03.98 година, като приета при липса на компетентност. Предложението е изпълнено.</w:t>
      </w:r>
    </w:p>
    <w:p w14:paraId="50111C26" w14:textId="77777777" w:rsidR="00A42673" w:rsidRPr="00A42673" w:rsidRDefault="00A42673" w:rsidP="00A42673">
      <w:pPr>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CYR" w:eastAsia="Times New Roman" w:hAnsi="Times New Roman CYR" w:cs="Times New Roman CYR"/>
          <w:b/>
          <w:sz w:val="28"/>
          <w:szCs w:val="28"/>
          <w:lang w:eastAsia="bg-BG"/>
        </w:rPr>
        <w:t>1 брой</w:t>
      </w:r>
      <w:r w:rsidRPr="00A42673">
        <w:rPr>
          <w:rFonts w:ascii="Times New Roman CYR" w:eastAsia="Times New Roman" w:hAnsi="Times New Roman CYR" w:cs="Times New Roman CYR"/>
          <w:sz w:val="28"/>
          <w:szCs w:val="28"/>
          <w:lang w:eastAsia="bg-BG"/>
        </w:rPr>
        <w:t xml:space="preserve"> предложение  по  преписка № 861/2022 година по описа на Районна прокуратура Монтана  е направено до Председателя на Общински съвет Монтана да за предприемане на действия за привеждане на  разпоредбата на чл.4, ал. 3 от Наредбата за управление на отпадъците в Община Монтана в съответствие с чл. 19, ал. 3 от Закона за управление на отпадъците, в изменението му от в ДВ, бр. 19 от 2021 г., в сила от 05.03.2021 г. Предложението е изпълнено.</w:t>
      </w:r>
    </w:p>
    <w:p w14:paraId="3B71C761" w14:textId="77777777" w:rsidR="00A42673" w:rsidRPr="00A42673" w:rsidRDefault="00A42673" w:rsidP="00A42673">
      <w:pPr>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CYR" w:eastAsia="Times New Roman" w:hAnsi="Times New Roman CYR" w:cs="Times New Roman CYR"/>
          <w:b/>
          <w:sz w:val="28"/>
          <w:szCs w:val="28"/>
          <w:lang w:eastAsia="bg-BG"/>
        </w:rPr>
        <w:t>1 брой</w:t>
      </w:r>
      <w:r w:rsidRPr="00A42673">
        <w:rPr>
          <w:rFonts w:ascii="Times New Roman CYR" w:eastAsia="Times New Roman" w:hAnsi="Times New Roman CYR" w:cs="Times New Roman CYR"/>
          <w:sz w:val="28"/>
          <w:szCs w:val="28"/>
          <w:lang w:eastAsia="bg-BG"/>
        </w:rPr>
        <w:t xml:space="preserve"> предложение  по  преписка № </w:t>
      </w:r>
      <w:r w:rsidRPr="00A42673">
        <w:rPr>
          <w:rFonts w:ascii="Times New Roman CYR" w:eastAsia="Times New Roman" w:hAnsi="Times New Roman CYR" w:cs="Times New Roman CYR"/>
          <w:sz w:val="28"/>
          <w:szCs w:val="28"/>
        </w:rPr>
        <w:t>884</w:t>
      </w:r>
      <w:r w:rsidRPr="00A42673">
        <w:rPr>
          <w:rFonts w:ascii="Times New Roman CYR" w:eastAsia="Times New Roman" w:hAnsi="Times New Roman CYR" w:cs="Times New Roman CYR"/>
          <w:sz w:val="28"/>
          <w:szCs w:val="28"/>
          <w:lang w:eastAsia="bg-BG"/>
        </w:rPr>
        <w:t xml:space="preserve">/2022 година по описа на Районна прокуратура Монтана  е направено до Председателя на Общински съвет Монтана да за предприемане на действия за </w:t>
      </w:r>
      <w:r w:rsidRPr="00A42673">
        <w:rPr>
          <w:rFonts w:ascii="Times New Roman" w:eastAsia="Calibri" w:hAnsi="Times New Roman" w:cs="Times New Roman"/>
          <w:sz w:val="28"/>
          <w:szCs w:val="28"/>
        </w:rPr>
        <w:t>отмяна на</w:t>
      </w:r>
      <w:r w:rsidRPr="00A42673">
        <w:rPr>
          <w:rFonts w:ascii="Times New Roman" w:eastAsia="Times New Roman" w:hAnsi="Times New Roman" w:cs="Times New Roman"/>
          <w:bCs/>
          <w:sz w:val="28"/>
          <w:szCs w:val="28"/>
          <w:lang w:eastAsia="bg-BG"/>
        </w:rPr>
        <w:t xml:space="preserve"> разпоредбите на Раздел </w:t>
      </w:r>
      <w:r w:rsidRPr="00A42673">
        <w:rPr>
          <w:rFonts w:ascii="Times New Roman" w:eastAsia="Times New Roman" w:hAnsi="Times New Roman" w:cs="Times New Roman"/>
          <w:bCs/>
          <w:sz w:val="28"/>
          <w:szCs w:val="28"/>
          <w:lang w:val="en-US" w:eastAsia="bg-BG"/>
        </w:rPr>
        <w:t xml:space="preserve">IX </w:t>
      </w:r>
      <w:r w:rsidRPr="00A42673">
        <w:rPr>
          <w:rFonts w:ascii="Times New Roman" w:eastAsia="Times New Roman" w:hAnsi="Times New Roman" w:cs="Times New Roman"/>
          <w:bCs/>
          <w:sz w:val="28"/>
          <w:szCs w:val="28"/>
          <w:lang w:eastAsia="bg-BG"/>
        </w:rPr>
        <w:t xml:space="preserve">„Санкции и глоби“ от </w:t>
      </w:r>
      <w:r w:rsidRPr="00A42673">
        <w:rPr>
          <w:rFonts w:ascii="Times New Roman" w:eastAsia="Calibri" w:hAnsi="Times New Roman" w:cs="Times New Roman"/>
          <w:sz w:val="28"/>
          <w:szCs w:val="28"/>
        </w:rPr>
        <w:t>Наредбата за придобиване, притежание, и отглеждане на животни  - домашни любимци /кучета и котки/ на територията на Община Монтана.</w:t>
      </w:r>
      <w:r w:rsidRPr="00A42673">
        <w:rPr>
          <w:rFonts w:ascii="Times New Roman CYR" w:eastAsia="Times New Roman" w:hAnsi="Times New Roman CYR" w:cs="Times New Roman CYR"/>
          <w:sz w:val="28"/>
          <w:szCs w:val="28"/>
        </w:rPr>
        <w:t xml:space="preserve"> Предложението е изпълнено.</w:t>
      </w:r>
    </w:p>
    <w:p w14:paraId="16FAAB75" w14:textId="77777777" w:rsidR="00A42673" w:rsidRPr="00A42673" w:rsidRDefault="00A42673" w:rsidP="00A42673">
      <w:pPr>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CYR" w:eastAsia="Times New Roman" w:hAnsi="Times New Roman CYR" w:cs="Times New Roman CYR"/>
          <w:b/>
          <w:sz w:val="28"/>
          <w:szCs w:val="28"/>
          <w:lang w:eastAsia="bg-BG"/>
        </w:rPr>
        <w:t>1 брой</w:t>
      </w:r>
      <w:r w:rsidRPr="00A42673">
        <w:rPr>
          <w:rFonts w:ascii="Times New Roman CYR" w:eastAsia="Times New Roman" w:hAnsi="Times New Roman CYR" w:cs="Times New Roman CYR"/>
          <w:sz w:val="28"/>
          <w:szCs w:val="28"/>
          <w:lang w:eastAsia="bg-BG"/>
        </w:rPr>
        <w:t xml:space="preserve"> предложение  по  преписка № </w:t>
      </w:r>
      <w:r w:rsidRPr="00A42673">
        <w:rPr>
          <w:rFonts w:ascii="Times New Roman CYR" w:eastAsia="Times New Roman" w:hAnsi="Times New Roman CYR" w:cs="Times New Roman CYR"/>
          <w:sz w:val="28"/>
          <w:szCs w:val="28"/>
        </w:rPr>
        <w:t>4187</w:t>
      </w:r>
      <w:r w:rsidRPr="00A42673">
        <w:rPr>
          <w:rFonts w:ascii="Times New Roman CYR" w:eastAsia="Times New Roman" w:hAnsi="Times New Roman CYR" w:cs="Times New Roman CYR"/>
          <w:sz w:val="28"/>
          <w:szCs w:val="28"/>
          <w:lang w:eastAsia="bg-BG"/>
        </w:rPr>
        <w:t xml:space="preserve">/2022 година по описа на Районна прокуратура Монтана  е направено до Председателя на Общински съвет Бойчиновци да за предприемане на действия за </w:t>
      </w:r>
      <w:r w:rsidRPr="00A42673">
        <w:rPr>
          <w:rFonts w:ascii="Times New Roman" w:eastAsia="Calibri" w:hAnsi="Times New Roman" w:cs="Times New Roman"/>
          <w:sz w:val="28"/>
          <w:szCs w:val="28"/>
        </w:rPr>
        <w:t>изменение на разпоредбата на чл. 17, ал. 1, т. 1 от Наредбата за определяне и администриране на местните такси и цени на услуги на територията на Община Бойчиновци в частта „… в срок от 01 ноември …“ и</w:t>
      </w:r>
      <w:r w:rsidRPr="00A42673">
        <w:rPr>
          <w:rFonts w:ascii="Times New Roman" w:eastAsia="Times New Roman" w:hAnsi="Times New Roman" w:cs="Times New Roman"/>
          <w:sz w:val="28"/>
          <w:szCs w:val="28"/>
          <w:lang w:eastAsia="bg-BG"/>
        </w:rPr>
        <w:t xml:space="preserve"> отмяната на чл. 17, ал. 1. т. 2 от  същата наредба.</w:t>
      </w:r>
      <w:r w:rsidRPr="00A42673">
        <w:rPr>
          <w:rFonts w:ascii="Times New Roman CYR" w:eastAsia="Times New Roman" w:hAnsi="Times New Roman CYR" w:cs="Times New Roman CYR"/>
          <w:sz w:val="28"/>
          <w:szCs w:val="28"/>
        </w:rPr>
        <w:t xml:space="preserve"> Предложението е изпълнено.</w:t>
      </w:r>
    </w:p>
    <w:p w14:paraId="29906B77" w14:textId="77777777" w:rsidR="00A42673" w:rsidRPr="00A42673" w:rsidRDefault="00A42673" w:rsidP="00A42673">
      <w:pPr>
        <w:spacing w:after="0" w:line="240" w:lineRule="auto"/>
        <w:ind w:firstLine="709"/>
        <w:jc w:val="both"/>
        <w:rPr>
          <w:rFonts w:ascii="Times New Roman" w:eastAsia="Calibri" w:hAnsi="Times New Roman" w:cs="Times New Roman"/>
          <w:sz w:val="28"/>
          <w:szCs w:val="28"/>
        </w:rPr>
      </w:pPr>
      <w:r w:rsidRPr="00A42673">
        <w:rPr>
          <w:rFonts w:ascii="Times New Roman" w:eastAsia="Calibri" w:hAnsi="Times New Roman" w:cs="Times New Roman"/>
          <w:sz w:val="28"/>
          <w:szCs w:val="28"/>
        </w:rPr>
        <w:t xml:space="preserve"> </w:t>
      </w:r>
    </w:p>
    <w:p w14:paraId="24778468" w14:textId="77777777" w:rsidR="00A42673" w:rsidRPr="00A42673" w:rsidRDefault="00A42673" w:rsidP="00A42673">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color w:val="000000"/>
          <w:sz w:val="28"/>
          <w:u w:val="single"/>
          <w:lang w:eastAsia="bg-BG"/>
        </w:rPr>
      </w:pPr>
      <w:bookmarkStart w:id="159" w:name="_Toc127370333"/>
      <w:r w:rsidRPr="00A42673">
        <w:rPr>
          <w:rFonts w:ascii="Times New Roman" w:eastAsia="Calibri" w:hAnsi="Times New Roman" w:cs="Arial"/>
          <w:b/>
          <w:color w:val="000000"/>
          <w:sz w:val="28"/>
          <w:u w:val="single"/>
          <w:lang w:eastAsia="bg-BG"/>
        </w:rPr>
        <w:t>4. Приоритети, проблеми и предложения за преодоляването им.</w:t>
      </w:r>
      <w:bookmarkEnd w:id="159"/>
    </w:p>
    <w:p w14:paraId="181F4AE6" w14:textId="77777777" w:rsidR="00A42673" w:rsidRPr="00A42673" w:rsidRDefault="00A42673" w:rsidP="00A42673">
      <w:pPr>
        <w:spacing w:after="0" w:line="240" w:lineRule="auto"/>
        <w:ind w:firstLine="709"/>
        <w:jc w:val="both"/>
        <w:rPr>
          <w:rFonts w:ascii="Times New Roman" w:eastAsia="Calibri" w:hAnsi="Times New Roman" w:cs="Times New Roman"/>
          <w:sz w:val="28"/>
          <w:szCs w:val="28"/>
        </w:rPr>
      </w:pPr>
      <w:r w:rsidRPr="00A42673">
        <w:rPr>
          <w:rFonts w:ascii="Times New Roman" w:eastAsia="Calibri" w:hAnsi="Times New Roman" w:cs="Times New Roman"/>
          <w:sz w:val="28"/>
          <w:szCs w:val="28"/>
        </w:rPr>
        <w:t>За подобряване ефективността от дейността по надзора за законност през 2023 год. следва да се разшири обхватът на проверките за често повтарящите се нарушения, свързани с актовете на органите на местно самоуправление и местна администрация. Необходимо е в дългосрочен план засилване на инициативността за самосезиране по материали от медиите относно закононарушения в региона. Би било добре местната власт да засили дейността по информираност на гражданите и организациите   относно  възможността им за сезиране на прокуратурата при установени от тях   незаконосъобразни  действия или бездействия на държавните институции.</w:t>
      </w:r>
    </w:p>
    <w:p w14:paraId="0389071D" w14:textId="77777777" w:rsidR="00A42673" w:rsidRPr="00A42673" w:rsidRDefault="00A42673" w:rsidP="00A42673">
      <w:pPr>
        <w:spacing w:after="0" w:line="240" w:lineRule="auto"/>
        <w:ind w:firstLine="709"/>
        <w:jc w:val="both"/>
        <w:rPr>
          <w:rFonts w:ascii="Times New Roman" w:eastAsia="Calibri" w:hAnsi="Times New Roman" w:cs="Times New Roman"/>
          <w:sz w:val="28"/>
          <w:szCs w:val="28"/>
        </w:rPr>
      </w:pPr>
      <w:r w:rsidRPr="00A42673">
        <w:rPr>
          <w:rFonts w:ascii="Times New Roman" w:eastAsia="Calibri" w:hAnsi="Times New Roman" w:cs="Times New Roman"/>
          <w:sz w:val="28"/>
          <w:szCs w:val="28"/>
        </w:rPr>
        <w:t xml:space="preserve">За подобряване на работата по надзора за законност е необходимо повишаване квалификацията на прокурорите, както и обмяна на опит с други прокуратури, включително и чрез публикации в сайта на Прокуратурата на РБ </w:t>
      </w:r>
      <w:r w:rsidRPr="00A42673">
        <w:rPr>
          <w:rFonts w:ascii="Times New Roman" w:eastAsia="Calibri" w:hAnsi="Times New Roman" w:cs="Times New Roman"/>
          <w:sz w:val="28"/>
          <w:szCs w:val="28"/>
        </w:rPr>
        <w:lastRenderedPageBreak/>
        <w:t>на прокурорски актове - предложения по чл.145, ал.1, т.6 от ЗСВ, протести и др.</w:t>
      </w:r>
    </w:p>
    <w:p w14:paraId="3391D651" w14:textId="301C8764" w:rsidR="00DA7DD8" w:rsidRPr="00A42673" w:rsidRDefault="00DA7DD8" w:rsidP="00DA7DD8">
      <w:pPr>
        <w:spacing w:after="0" w:line="240" w:lineRule="auto"/>
        <w:ind w:firstLine="709"/>
        <w:jc w:val="both"/>
        <w:rPr>
          <w:rFonts w:ascii="Times New Roman" w:eastAsia="Calibri" w:hAnsi="Times New Roman" w:cs="Times New Roman"/>
          <w:sz w:val="28"/>
          <w:szCs w:val="28"/>
        </w:rPr>
      </w:pPr>
    </w:p>
    <w:p w14:paraId="746EDAFD" w14:textId="77777777" w:rsidR="00CB20E8" w:rsidRPr="00A42673" w:rsidRDefault="00CB20E8" w:rsidP="009B6E43">
      <w:pPr>
        <w:spacing w:after="0" w:line="240" w:lineRule="auto"/>
        <w:ind w:firstLine="709"/>
        <w:jc w:val="both"/>
        <w:rPr>
          <w:rFonts w:ascii="Times New Roman" w:eastAsia="Calibri" w:hAnsi="Times New Roman" w:cs="Times New Roman"/>
          <w:sz w:val="28"/>
          <w:szCs w:val="28"/>
        </w:rPr>
      </w:pPr>
    </w:p>
    <w:p w14:paraId="5BD41DE9" w14:textId="76D291E5" w:rsidR="00320815" w:rsidRPr="00A42673" w:rsidRDefault="00320815">
      <w:pPr>
        <w:rPr>
          <w:rFonts w:ascii="Times New Roman" w:eastAsia="Calibri" w:hAnsi="Times New Roman" w:cs="Times New Roman"/>
          <w:sz w:val="28"/>
          <w:szCs w:val="28"/>
        </w:rPr>
      </w:pPr>
      <w:r w:rsidRPr="00A42673">
        <w:rPr>
          <w:rFonts w:ascii="Times New Roman" w:eastAsia="Calibri" w:hAnsi="Times New Roman" w:cs="Times New Roman"/>
          <w:sz w:val="28"/>
          <w:szCs w:val="28"/>
        </w:rPr>
        <w:br w:type="page"/>
      </w:r>
    </w:p>
    <w:p w14:paraId="0733F435" w14:textId="77777777" w:rsidR="00CB20E8" w:rsidRPr="00A42673" w:rsidRDefault="00CB20E8" w:rsidP="009B6E43">
      <w:pPr>
        <w:spacing w:after="0" w:line="240" w:lineRule="auto"/>
        <w:ind w:firstLine="709"/>
        <w:jc w:val="both"/>
        <w:rPr>
          <w:rFonts w:ascii="Times New Roman" w:eastAsia="Calibri" w:hAnsi="Times New Roman" w:cs="Times New Roman"/>
          <w:sz w:val="28"/>
          <w:szCs w:val="28"/>
        </w:rPr>
      </w:pPr>
    </w:p>
    <w:p w14:paraId="738C532D" w14:textId="77777777" w:rsidR="00CB20E8" w:rsidRPr="00A42673" w:rsidRDefault="00CB20E8" w:rsidP="009B6E43">
      <w:pPr>
        <w:spacing w:after="0" w:line="240" w:lineRule="auto"/>
        <w:ind w:firstLine="709"/>
        <w:jc w:val="both"/>
        <w:rPr>
          <w:rFonts w:ascii="Times New Roman" w:eastAsia="Calibri" w:hAnsi="Times New Roman" w:cs="Times New Roman"/>
          <w:sz w:val="28"/>
          <w:szCs w:val="28"/>
        </w:rPr>
      </w:pPr>
    </w:p>
    <w:p w14:paraId="4F10392C" w14:textId="77777777" w:rsidR="00744A1A" w:rsidRPr="00A42673" w:rsidRDefault="00744A1A" w:rsidP="00C05B80">
      <w:pPr>
        <w:pStyle w:val="a8"/>
        <w:shd w:val="clear" w:color="auto" w:fill="auto"/>
        <w:rPr>
          <w:rFonts w:ascii="Times New Roman" w:hAnsi="Times New Roman" w:cs="Times New Roman"/>
          <w:szCs w:val="32"/>
          <w:lang w:val="bg-BG"/>
        </w:rPr>
      </w:pPr>
      <w:bookmarkStart w:id="160" w:name="_Toc127370334"/>
      <w:r w:rsidRPr="00A42673">
        <w:rPr>
          <w:rFonts w:ascii="Times New Roman" w:hAnsi="Times New Roman" w:cs="Times New Roman"/>
          <w:szCs w:val="32"/>
        </w:rPr>
        <w:t>РАЗДЕЛ V</w:t>
      </w:r>
      <w:bookmarkEnd w:id="160"/>
    </w:p>
    <w:p w14:paraId="3C6E3762" w14:textId="77777777" w:rsidR="00744A1A" w:rsidRPr="00A42673" w:rsidRDefault="00744A1A" w:rsidP="00C05B80">
      <w:pPr>
        <w:pStyle w:val="a8"/>
        <w:shd w:val="clear" w:color="auto" w:fill="auto"/>
        <w:rPr>
          <w:rFonts w:ascii="Times New Roman" w:hAnsi="Times New Roman" w:cs="Times New Roman"/>
          <w:szCs w:val="32"/>
        </w:rPr>
      </w:pPr>
      <w:bookmarkStart w:id="161" w:name="_Toc127370335"/>
      <w:r w:rsidRPr="00A42673">
        <w:rPr>
          <w:rFonts w:ascii="Times New Roman" w:hAnsi="Times New Roman" w:cs="Times New Roman"/>
          <w:szCs w:val="32"/>
        </w:rPr>
        <w:t>ДЕЙНОСТ НА БЮРОТО ПО ЗАЩИТА КЪМ ГЛАВНИЯ ПРОКУРОР</w:t>
      </w:r>
      <w:bookmarkEnd w:id="161"/>
    </w:p>
    <w:p w14:paraId="6B4F81BE" w14:textId="77777777" w:rsidR="00744A1A" w:rsidRPr="00A42673" w:rsidRDefault="00744A1A" w:rsidP="00C05B80"/>
    <w:p w14:paraId="64313960" w14:textId="77777777" w:rsidR="00744A1A" w:rsidRPr="00A42673" w:rsidRDefault="00744A1A" w:rsidP="00C05B80">
      <w:pPr>
        <w:pStyle w:val="a8"/>
        <w:shd w:val="clear" w:color="auto" w:fill="auto"/>
        <w:rPr>
          <w:rFonts w:ascii="Times New Roman" w:hAnsi="Times New Roman" w:cs="Times New Roman"/>
          <w:szCs w:val="32"/>
        </w:rPr>
      </w:pPr>
      <w:bookmarkStart w:id="162" w:name="_Toc127370336"/>
      <w:r w:rsidRPr="00A42673">
        <w:rPr>
          <w:rFonts w:ascii="Times New Roman" w:hAnsi="Times New Roman" w:cs="Times New Roman"/>
          <w:szCs w:val="32"/>
        </w:rPr>
        <w:t>РАЗДЕЛ VI</w:t>
      </w:r>
      <w:bookmarkEnd w:id="162"/>
    </w:p>
    <w:p w14:paraId="4F7312AF" w14:textId="77777777" w:rsidR="00744A1A" w:rsidRPr="00A42673" w:rsidRDefault="00744A1A" w:rsidP="00C05B80">
      <w:pPr>
        <w:pStyle w:val="a8"/>
        <w:shd w:val="clear" w:color="auto" w:fill="auto"/>
        <w:rPr>
          <w:rFonts w:ascii="Times New Roman" w:hAnsi="Times New Roman" w:cs="Times New Roman"/>
          <w:szCs w:val="32"/>
        </w:rPr>
      </w:pPr>
      <w:bookmarkStart w:id="163" w:name="_Toc127370337"/>
      <w:r w:rsidRPr="00A42673">
        <w:rPr>
          <w:rFonts w:ascii="Times New Roman" w:hAnsi="Times New Roman" w:cs="Times New Roman"/>
          <w:szCs w:val="32"/>
        </w:rPr>
        <w:t>ДЕЙНОСТ ПО ИЗПЪЛНЕНИЕ НА КОМУНИКАЦИОННАТА СТРАТЕГИЯ НА СЪДЕБНАТА ВЛАСТ 2014-2020 ГОД., ПРИЕТА С РЕШЕНИЕ НА всс ПО ПРОТОКОЛ №10/05.03.2015 ГОД., Т.3</w:t>
      </w:r>
      <w:bookmarkEnd w:id="163"/>
    </w:p>
    <w:p w14:paraId="0CA09241" w14:textId="77777777" w:rsidR="00744A1A" w:rsidRPr="00A42673" w:rsidRDefault="00744A1A" w:rsidP="00C05B80">
      <w:pPr>
        <w:spacing w:after="0" w:line="240" w:lineRule="auto"/>
        <w:jc w:val="both"/>
        <w:rPr>
          <w:rFonts w:ascii="Times New Roman" w:eastAsia="Times New Roman" w:hAnsi="Times New Roman"/>
          <w:sz w:val="28"/>
          <w:szCs w:val="28"/>
        </w:rPr>
      </w:pPr>
    </w:p>
    <w:p w14:paraId="5EFE93B0" w14:textId="77777777" w:rsidR="00A42673" w:rsidRPr="00A42673" w:rsidRDefault="00A42673" w:rsidP="00A42673">
      <w:pPr>
        <w:spacing w:after="0" w:line="240" w:lineRule="auto"/>
        <w:ind w:firstLine="709"/>
        <w:jc w:val="both"/>
        <w:rPr>
          <w:rFonts w:ascii="Times New Roman" w:eastAsia="Times New Roman" w:hAnsi="Times New Roman" w:cs="Times New Roman"/>
          <w:sz w:val="28"/>
          <w:szCs w:val="28"/>
        </w:rPr>
      </w:pPr>
      <w:r w:rsidRPr="00A42673">
        <w:rPr>
          <w:rFonts w:ascii="Times New Roman" w:eastAsia="Times New Roman" w:hAnsi="Times New Roman" w:cs="Times New Roman"/>
          <w:sz w:val="28"/>
          <w:szCs w:val="28"/>
        </w:rPr>
        <w:t xml:space="preserve">С приемането на Комуникационната стратегия на съдебната власт 2014 – 2020 г., ВСС утвърждава стандарти за ефективно управление на комуникацията между ВСС и професионалните общности в съдебната система, с медиите, с гражданите, с изпълнителната и законодателната власт. </w:t>
      </w:r>
    </w:p>
    <w:p w14:paraId="6774A3B2" w14:textId="77777777" w:rsidR="00A42673" w:rsidRPr="00A42673" w:rsidRDefault="00A42673" w:rsidP="00A42673">
      <w:pPr>
        <w:spacing w:after="0" w:line="240" w:lineRule="auto"/>
        <w:ind w:firstLine="709"/>
        <w:jc w:val="both"/>
        <w:rPr>
          <w:rFonts w:ascii="Times New Roman" w:eastAsia="Times New Roman" w:hAnsi="Times New Roman" w:cs="Times New Roman"/>
          <w:sz w:val="28"/>
          <w:szCs w:val="28"/>
        </w:rPr>
      </w:pPr>
      <w:r w:rsidRPr="00A42673">
        <w:rPr>
          <w:rFonts w:ascii="Times New Roman" w:eastAsia="Times New Roman" w:hAnsi="Times New Roman" w:cs="Times New Roman"/>
          <w:sz w:val="28"/>
          <w:szCs w:val="28"/>
        </w:rPr>
        <w:t>Във връзка с обезпечаването с ресурси на Комуникационната политика, както и за определяне на времевата рамка на реализирането ѝ, ВСС е изготвил План за действие за изпълнението на Комуникационната политика – 2014 - 2018 година, утвърден от ВСС с решение по протокол № 48 от 05.12.2013 год. Планът очертава стратегическите приоритетни направления за комуникация и предписва конкретни дейности за реализирането на комуникационния модел. Освен посочването на целите и очакваните резултати, Планът за действие разписва показателите за изпълнение и оценка, отговорността, финансирането на дейностите и вътрешния механизъм за изпълнение и оценка.</w:t>
      </w:r>
    </w:p>
    <w:p w14:paraId="00B8DEED" w14:textId="77777777" w:rsidR="00A42673" w:rsidRPr="00A42673" w:rsidRDefault="00A42673" w:rsidP="00A42673">
      <w:pPr>
        <w:spacing w:after="0" w:line="240" w:lineRule="auto"/>
        <w:ind w:firstLine="709"/>
        <w:jc w:val="both"/>
        <w:rPr>
          <w:rFonts w:ascii="Times New Roman" w:eastAsia="Times New Roman" w:hAnsi="Times New Roman" w:cs="Times New Roman"/>
          <w:sz w:val="28"/>
          <w:szCs w:val="28"/>
        </w:rPr>
      </w:pPr>
      <w:r w:rsidRPr="00A42673">
        <w:rPr>
          <w:rFonts w:ascii="Times New Roman" w:eastAsia="Times New Roman" w:hAnsi="Times New Roman" w:cs="Times New Roman"/>
          <w:sz w:val="28"/>
          <w:szCs w:val="28"/>
        </w:rPr>
        <w:t>Дейностите, касаещи прокуратурите в регион - Монтана, са свързани с утвърждаване на практиката за провеждане на срещи по места на административни ръководители и действащи магистрати, с граждани и неправителствени организации. Във връзка с това с надлежни Заповеди  на административните ръководители на всяка прокуратура  е създадена организация за прием на граждани, в съответствие с Правилата за прием на граждани в ПРБ, утвърдени със заповед  на Главния прокурор на РБ. През отчетната 2022 г., след отмяната на епидемиологичните мерки е възобновен приема на граждани от административните ръководители и провеждането на срещи по места. Във връзка със заповед на административния ръководител на ОП Монтана определени прокурори проведоха срещи с кметовете на общините в съдебния район и кметовете на отделните населени места по общини, с оглед задълбочаване съдействието между прокурорите в района и местната власт за превенция и решаване проблеми, свързани с битовата престъпност, разпространението на наркотични вещества и транспортни престъпления.</w:t>
      </w:r>
    </w:p>
    <w:p w14:paraId="4F4CD5DB" w14:textId="77777777" w:rsidR="00A42673" w:rsidRPr="00A42673" w:rsidRDefault="00A42673" w:rsidP="00A42673">
      <w:pPr>
        <w:spacing w:after="0" w:line="240" w:lineRule="auto"/>
        <w:ind w:firstLine="709"/>
        <w:jc w:val="both"/>
        <w:rPr>
          <w:rFonts w:ascii="Times New Roman" w:eastAsia="Times New Roman" w:hAnsi="Times New Roman" w:cs="Times New Roman"/>
          <w:sz w:val="28"/>
          <w:szCs w:val="28"/>
        </w:rPr>
      </w:pPr>
      <w:r w:rsidRPr="00A42673">
        <w:rPr>
          <w:rFonts w:ascii="Times New Roman" w:eastAsia="Times New Roman" w:hAnsi="Times New Roman" w:cs="Times New Roman"/>
          <w:sz w:val="28"/>
          <w:szCs w:val="28"/>
        </w:rPr>
        <w:t xml:space="preserve">Във връзка с изпълнение на Медийната стратегия на Съдебната власт и </w:t>
      </w:r>
      <w:r w:rsidRPr="00A42673">
        <w:rPr>
          <w:rFonts w:ascii="Times New Roman" w:eastAsia="Calibri" w:hAnsi="Times New Roman" w:cs="Times New Roman"/>
          <w:sz w:val="28"/>
          <w:szCs w:val="28"/>
        </w:rPr>
        <w:t xml:space="preserve">Правилата за медийна комуникация в системата на ПРБ, утвърдена със Заповед № РД-02-9/24.03.2018 г. на главния прокурор на Република България, </w:t>
      </w:r>
      <w:r w:rsidRPr="00A42673">
        <w:rPr>
          <w:rFonts w:ascii="Times New Roman" w:eastAsia="Calibri" w:hAnsi="Times New Roman" w:cs="Times New Roman"/>
          <w:sz w:val="28"/>
          <w:szCs w:val="28"/>
        </w:rPr>
        <w:lastRenderedPageBreak/>
        <w:t>изм. и доп. със Заповед № РД-02-08/12.04.2019 г. на главния прокурор на Република България</w:t>
      </w:r>
      <w:r w:rsidRPr="00A42673">
        <w:rPr>
          <w:rFonts w:ascii="Times New Roman" w:eastAsia="Times New Roman" w:hAnsi="Times New Roman" w:cs="Times New Roman"/>
          <w:sz w:val="28"/>
          <w:szCs w:val="28"/>
        </w:rPr>
        <w:t xml:space="preserve">, прокуратурите в региона спазват стриктно специфичните законови изисквания за дейността на ПРБ, като предоставят – РП Монтана в определен срок - на ОП Монтана информация, а оттам обобщената информация се предоставя на АП - София, с оглед информиране на медиите за извършеното от прокуратурата във всеки един времеви период. Информирането се извършва при спазване на Закона за достъп до обществена информация, Закона за защита на личните данни, Закона за защита на класифицирана информация, Закона за съдебната власт и Наказателно-процесуалния кодекс, както и с разпоредбите на Конституцията на РБ относно основните права на гражданите. </w:t>
      </w:r>
    </w:p>
    <w:p w14:paraId="51B50F65" w14:textId="30A54B2E" w:rsidR="00C83687" w:rsidRDefault="00A42673" w:rsidP="00A42673">
      <w:pPr>
        <w:spacing w:after="0" w:line="240" w:lineRule="auto"/>
        <w:ind w:firstLine="709"/>
        <w:jc w:val="both"/>
        <w:rPr>
          <w:rFonts w:ascii="Times New Roman" w:eastAsia="Times New Roman" w:hAnsi="Times New Roman" w:cs="Times New Roman"/>
          <w:sz w:val="28"/>
          <w:szCs w:val="28"/>
        </w:rPr>
      </w:pPr>
      <w:r w:rsidRPr="00A42673">
        <w:rPr>
          <w:rFonts w:ascii="Times New Roman" w:eastAsia="Times New Roman" w:hAnsi="Times New Roman" w:cs="Times New Roman"/>
          <w:sz w:val="28"/>
          <w:szCs w:val="28"/>
        </w:rPr>
        <w:t>Отделно от това, редовно от говорителя на окръжната прокуратура или от окръжния прокурор /при преценка и от наблюдаващия прокурор/ се предоставя навременна и точна информация на медиите относно преписки и дела на окръжната прокуратура и съставните районни прокуратури, с висок обществен интерес.</w:t>
      </w:r>
    </w:p>
    <w:p w14:paraId="50420185" w14:textId="77777777" w:rsidR="00C83687" w:rsidRDefault="00C8368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57BE0A7D" w14:textId="77777777" w:rsidR="00A42673" w:rsidRPr="00A42673" w:rsidRDefault="00A42673" w:rsidP="00A42673">
      <w:pPr>
        <w:spacing w:after="0" w:line="240" w:lineRule="auto"/>
        <w:ind w:firstLine="709"/>
        <w:jc w:val="both"/>
        <w:rPr>
          <w:rFonts w:ascii="Times New Roman" w:eastAsia="Times New Roman" w:hAnsi="Times New Roman" w:cs="Times New Roman"/>
          <w:sz w:val="28"/>
          <w:szCs w:val="28"/>
        </w:rPr>
      </w:pPr>
    </w:p>
    <w:p w14:paraId="2A1C7D05" w14:textId="77777777" w:rsidR="00A42673" w:rsidRPr="00A42673" w:rsidRDefault="00A42673" w:rsidP="00A42673">
      <w:pPr>
        <w:spacing w:after="0" w:line="240" w:lineRule="auto"/>
        <w:rPr>
          <w:rFonts w:ascii="Calibri" w:eastAsia="Calibri" w:hAnsi="Calibri" w:cs="Times New Roman"/>
        </w:rPr>
      </w:pPr>
    </w:p>
    <w:p w14:paraId="21F4EECD" w14:textId="77777777" w:rsidR="00A42673" w:rsidRPr="00A42673" w:rsidRDefault="00A42673" w:rsidP="00A42673">
      <w:pPr>
        <w:spacing w:after="0" w:line="240" w:lineRule="auto"/>
        <w:rPr>
          <w:rFonts w:ascii="Calibri" w:eastAsia="Calibri" w:hAnsi="Calibri" w:cs="Times New Roman"/>
        </w:rPr>
      </w:pPr>
    </w:p>
    <w:p w14:paraId="4C79FAF9" w14:textId="77777777" w:rsidR="00A42673" w:rsidRPr="00A42673" w:rsidRDefault="00A42673" w:rsidP="00A42673">
      <w:pPr>
        <w:keepNext/>
        <w:autoSpaceDE w:val="0"/>
        <w:autoSpaceDN w:val="0"/>
        <w:adjustRightInd w:val="0"/>
        <w:spacing w:after="0" w:line="240" w:lineRule="auto"/>
        <w:jc w:val="center"/>
        <w:outlineLvl w:val="0"/>
        <w:rPr>
          <w:rFonts w:ascii="Times New Roman" w:hAnsi="Times New Roman"/>
          <w:b/>
          <w:caps/>
          <w:color w:val="000000"/>
          <w:kern w:val="32"/>
          <w:sz w:val="32"/>
          <w:szCs w:val="32"/>
          <w:lang w:val="en-US"/>
        </w:rPr>
      </w:pPr>
      <w:bookmarkStart w:id="164" w:name="_Toc63940924"/>
      <w:bookmarkStart w:id="165" w:name="_Toc127370338"/>
      <w:r w:rsidRPr="00A42673">
        <w:rPr>
          <w:rFonts w:ascii="Times New Roman" w:hAnsi="Times New Roman"/>
          <w:b/>
          <w:caps/>
          <w:color w:val="000000"/>
          <w:kern w:val="32"/>
          <w:sz w:val="32"/>
          <w:szCs w:val="32"/>
          <w:lang w:val="en-US"/>
        </w:rPr>
        <w:t>РАЗДЕЛ VII</w:t>
      </w:r>
      <w:bookmarkEnd w:id="164"/>
      <w:bookmarkEnd w:id="165"/>
      <w:r w:rsidRPr="00A42673">
        <w:rPr>
          <w:rFonts w:ascii="Times New Roman" w:hAnsi="Times New Roman"/>
          <w:b/>
          <w:caps/>
          <w:color w:val="000000"/>
          <w:kern w:val="32"/>
          <w:sz w:val="32"/>
          <w:szCs w:val="32"/>
          <w:lang w:val="en-US"/>
        </w:rPr>
        <w:t xml:space="preserve"> </w:t>
      </w:r>
    </w:p>
    <w:p w14:paraId="7E9E0DC0" w14:textId="77777777" w:rsidR="00A42673" w:rsidRPr="00A42673" w:rsidRDefault="00A42673" w:rsidP="00A42673">
      <w:pPr>
        <w:keepNext/>
        <w:autoSpaceDE w:val="0"/>
        <w:autoSpaceDN w:val="0"/>
        <w:adjustRightInd w:val="0"/>
        <w:spacing w:after="0" w:line="240" w:lineRule="auto"/>
        <w:jc w:val="center"/>
        <w:outlineLvl w:val="0"/>
        <w:rPr>
          <w:rFonts w:ascii="Times New Roman" w:hAnsi="Times New Roman"/>
          <w:b/>
          <w:caps/>
          <w:color w:val="000000"/>
          <w:kern w:val="32"/>
          <w:sz w:val="32"/>
          <w:szCs w:val="32"/>
          <w:lang w:val="en-US"/>
        </w:rPr>
      </w:pPr>
      <w:bookmarkStart w:id="166" w:name="_Toc63940925"/>
      <w:bookmarkStart w:id="167" w:name="_Toc127370339"/>
      <w:r w:rsidRPr="00A42673">
        <w:rPr>
          <w:rFonts w:ascii="Times New Roman" w:hAnsi="Times New Roman"/>
          <w:b/>
          <w:caps/>
          <w:color w:val="000000"/>
          <w:kern w:val="32"/>
          <w:sz w:val="32"/>
          <w:szCs w:val="32"/>
          <w:lang w:val="en-US"/>
        </w:rPr>
        <w:t>ПРИОРИТЕТИ В ДЕЙНОСТТА НА ПРОКУРАТУРАТА И НА РАЗСЛЕДВАЩИТЕ ОРГАНИ</w:t>
      </w:r>
      <w:bookmarkEnd w:id="166"/>
      <w:bookmarkEnd w:id="167"/>
    </w:p>
    <w:p w14:paraId="10828327" w14:textId="77777777" w:rsidR="00A42673" w:rsidRPr="00A42673" w:rsidRDefault="00A42673" w:rsidP="00A42673">
      <w:pPr>
        <w:tabs>
          <w:tab w:val="left" w:pos="826"/>
        </w:tabs>
        <w:autoSpaceDE w:val="0"/>
        <w:autoSpaceDN w:val="0"/>
        <w:adjustRightInd w:val="0"/>
        <w:spacing w:after="0" w:line="240" w:lineRule="auto"/>
        <w:ind w:firstLine="709"/>
        <w:jc w:val="center"/>
        <w:rPr>
          <w:rFonts w:ascii="Times New Roman" w:eastAsia="Times New Roman" w:hAnsi="Times New Roman" w:cs="Times New Roman"/>
          <w:b/>
          <w:color w:val="000000"/>
          <w:sz w:val="32"/>
          <w:szCs w:val="32"/>
          <w:lang w:eastAsia="bg-BG"/>
        </w:rPr>
      </w:pPr>
    </w:p>
    <w:p w14:paraId="79EE2124" w14:textId="77777777" w:rsidR="00A42673" w:rsidRPr="00A42673" w:rsidRDefault="00A42673" w:rsidP="00A42673">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lang w:eastAsia="bg-BG"/>
        </w:rPr>
      </w:pPr>
      <w:r w:rsidRPr="00A42673">
        <w:rPr>
          <w:rFonts w:ascii="Times New Roman CYR" w:eastAsia="Times New Roman" w:hAnsi="Times New Roman CYR" w:cs="Times New Roman CYR"/>
          <w:b/>
          <w:bCs/>
          <w:color w:val="000000"/>
          <w:sz w:val="28"/>
          <w:szCs w:val="28"/>
          <w:lang w:eastAsia="bg-BG"/>
        </w:rPr>
        <w:t>Изпълнение на приоритетите за 2022 г.</w:t>
      </w:r>
    </w:p>
    <w:p w14:paraId="3F7A6833" w14:textId="77777777" w:rsidR="00A42673" w:rsidRPr="00A42673" w:rsidRDefault="00A42673" w:rsidP="00A42673">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lang w:eastAsia="bg-BG"/>
        </w:rPr>
      </w:pPr>
    </w:p>
    <w:p w14:paraId="55FC4BC3" w14:textId="77777777" w:rsidR="00A42673" w:rsidRPr="00A42673" w:rsidRDefault="00A42673" w:rsidP="00A42673">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sz w:val="28"/>
          <w:szCs w:val="28"/>
          <w:u w:val="single"/>
          <w:lang w:eastAsia="bg-BG"/>
        </w:rPr>
      </w:pPr>
      <w:r w:rsidRPr="00A42673">
        <w:rPr>
          <w:rFonts w:ascii="Times New Roman" w:eastAsia="Times New Roman" w:hAnsi="Times New Roman" w:cs="Times New Roman"/>
          <w:b/>
          <w:bCs/>
          <w:sz w:val="28"/>
          <w:szCs w:val="28"/>
          <w:u w:val="single"/>
          <w:lang w:eastAsia="bg-BG"/>
        </w:rPr>
        <w:t xml:space="preserve">1. </w:t>
      </w:r>
      <w:r w:rsidRPr="00A42673">
        <w:rPr>
          <w:rFonts w:ascii="Times New Roman CYR" w:eastAsia="Times New Roman" w:hAnsi="Times New Roman CYR" w:cs="Times New Roman CYR"/>
          <w:b/>
          <w:bCs/>
          <w:sz w:val="28"/>
          <w:szCs w:val="28"/>
          <w:u w:val="single"/>
          <w:lang w:eastAsia="bg-BG"/>
        </w:rPr>
        <w:t>Усъвършенстване на организационното и административно управление на прокуратурите от региона.</w:t>
      </w:r>
    </w:p>
    <w:p w14:paraId="4AF34C82" w14:textId="77777777" w:rsidR="00A42673" w:rsidRPr="00A42673" w:rsidRDefault="00A42673" w:rsidP="00A42673">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sz w:val="28"/>
          <w:szCs w:val="28"/>
          <w:u w:val="single"/>
          <w:lang w:eastAsia="bg-BG"/>
        </w:rPr>
      </w:pPr>
    </w:p>
    <w:p w14:paraId="72CAFACE" w14:textId="435A31BA" w:rsidR="00A42673" w:rsidRPr="00A42673" w:rsidRDefault="00A42673" w:rsidP="00A42673">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w:eastAsia="Times New Roman" w:hAnsi="Times New Roman" w:cs="Times New Roman"/>
          <w:b/>
          <w:bCs/>
          <w:i/>
          <w:iCs/>
          <w:sz w:val="28"/>
          <w:szCs w:val="28"/>
          <w:lang w:eastAsia="bg-BG"/>
        </w:rPr>
        <w:t xml:space="preserve">1.1. </w:t>
      </w:r>
      <w:r w:rsidRPr="00A42673">
        <w:rPr>
          <w:rFonts w:ascii="Times New Roman CYR" w:eastAsia="Times New Roman" w:hAnsi="Times New Roman CYR" w:cs="Times New Roman CYR"/>
          <w:b/>
          <w:bCs/>
          <w:i/>
          <w:iCs/>
          <w:sz w:val="28"/>
          <w:szCs w:val="28"/>
          <w:lang w:eastAsia="bg-BG"/>
        </w:rPr>
        <w:t>Поддържане и повишаване на квалификацията на служителите</w:t>
      </w:r>
      <w:r w:rsidRPr="00A42673">
        <w:rPr>
          <w:rFonts w:ascii="Times New Roman CYR" w:eastAsia="Times New Roman" w:hAnsi="Times New Roman CYR" w:cs="Times New Roman CYR"/>
          <w:sz w:val="28"/>
          <w:szCs w:val="28"/>
          <w:lang w:eastAsia="bg-BG"/>
        </w:rPr>
        <w:t xml:space="preserve"> чрез участието им в обучителни програми. След отпадането на епидемиологична обстановка във връзка с пандемията от „</w:t>
      </w:r>
      <w:r w:rsidR="00E32F28">
        <w:rPr>
          <w:rFonts w:ascii="Times New Roman CYR" w:eastAsia="Times New Roman" w:hAnsi="Times New Roman CYR" w:cs="Times New Roman CYR"/>
          <w:sz w:val="28"/>
          <w:szCs w:val="28"/>
          <w:lang w:val="en-US" w:eastAsia="bg-BG"/>
        </w:rPr>
        <w:t>C</w:t>
      </w:r>
      <w:r w:rsidRPr="00A42673">
        <w:rPr>
          <w:rFonts w:ascii="Times New Roman CYR" w:eastAsia="Times New Roman" w:hAnsi="Times New Roman CYR" w:cs="Times New Roman CYR"/>
          <w:sz w:val="28"/>
          <w:szCs w:val="28"/>
          <w:lang w:val="en-US" w:eastAsia="bg-BG"/>
        </w:rPr>
        <w:t>OVID 19</w:t>
      </w:r>
      <w:r w:rsidRPr="00A42673">
        <w:rPr>
          <w:rFonts w:ascii="Times New Roman CYR" w:eastAsia="Times New Roman" w:hAnsi="Times New Roman CYR" w:cs="Times New Roman CYR"/>
          <w:sz w:val="28"/>
          <w:szCs w:val="28"/>
          <w:lang w:eastAsia="bg-BG"/>
        </w:rPr>
        <w:t>“, през отчетния период  служителите  от ОП Монтана и РП Монтана са взели участия в  28 броя онлайн обучения и 2 бр. присъствени обучения. Налице е увеличение на броя на обучаващите се служителит</w:t>
      </w:r>
      <w:r w:rsidR="0039014A">
        <w:rPr>
          <w:rFonts w:ascii="Times New Roman CYR" w:eastAsia="Times New Roman" w:hAnsi="Times New Roman CYR" w:cs="Times New Roman CYR"/>
          <w:sz w:val="28"/>
          <w:szCs w:val="28"/>
          <w:lang w:eastAsia="bg-BG"/>
        </w:rPr>
        <w:t>е в сравнение с предходните 202</w:t>
      </w:r>
      <w:r w:rsidR="0039014A">
        <w:rPr>
          <w:rFonts w:ascii="Times New Roman CYR" w:eastAsia="Times New Roman" w:hAnsi="Times New Roman CYR" w:cs="Times New Roman CYR"/>
          <w:sz w:val="28"/>
          <w:szCs w:val="28"/>
          <w:lang w:val="en-US" w:eastAsia="bg-BG"/>
        </w:rPr>
        <w:t>1</w:t>
      </w:r>
      <w:r w:rsidRPr="00A42673">
        <w:rPr>
          <w:rFonts w:ascii="Times New Roman CYR" w:eastAsia="Times New Roman" w:hAnsi="Times New Roman CYR" w:cs="Times New Roman CYR"/>
          <w:sz w:val="28"/>
          <w:szCs w:val="28"/>
          <w:lang w:eastAsia="bg-BG"/>
        </w:rPr>
        <w:t xml:space="preserve"> г. – 21 обучения и 2020 – 9 обучения. </w:t>
      </w:r>
    </w:p>
    <w:p w14:paraId="70049A08" w14:textId="77777777" w:rsidR="00A42673" w:rsidRPr="00A42673" w:rsidRDefault="00A42673" w:rsidP="00A42673">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bg-BG"/>
        </w:rPr>
      </w:pPr>
      <w:r w:rsidRPr="00A42673">
        <w:rPr>
          <w:rFonts w:ascii="Times New Roman" w:eastAsia="Times New Roman" w:hAnsi="Times New Roman" w:cs="Times New Roman"/>
          <w:b/>
          <w:bCs/>
          <w:i/>
          <w:iCs/>
          <w:color w:val="000000"/>
          <w:sz w:val="28"/>
          <w:szCs w:val="28"/>
          <w:lang w:eastAsia="bg-BG"/>
        </w:rPr>
        <w:t xml:space="preserve">1.2. </w:t>
      </w:r>
      <w:r w:rsidRPr="00A42673">
        <w:rPr>
          <w:rFonts w:ascii="Times New Roman CYR" w:eastAsia="Times New Roman" w:hAnsi="Times New Roman CYR" w:cs="Times New Roman CYR"/>
          <w:b/>
          <w:bCs/>
          <w:i/>
          <w:iCs/>
          <w:color w:val="000000"/>
          <w:sz w:val="28"/>
          <w:szCs w:val="28"/>
          <w:lang w:eastAsia="bg-BG"/>
        </w:rPr>
        <w:t>Стимулиране на магистратите и служителите</w:t>
      </w:r>
      <w:r w:rsidRPr="00A42673">
        <w:rPr>
          <w:rFonts w:ascii="Times New Roman CYR" w:eastAsia="Times New Roman" w:hAnsi="Times New Roman CYR" w:cs="Times New Roman CYR"/>
          <w:color w:val="000000"/>
          <w:sz w:val="28"/>
          <w:szCs w:val="28"/>
          <w:lang w:eastAsia="bg-BG"/>
        </w:rPr>
        <w:t xml:space="preserve"> чрез справедлива оценка за положения труд и кариерно развитие – чрез еднакви системи за поощрения и наказания. </w:t>
      </w:r>
    </w:p>
    <w:p w14:paraId="7B962601"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bg-BG"/>
        </w:rPr>
      </w:pPr>
      <w:r w:rsidRPr="00A42673">
        <w:rPr>
          <w:rFonts w:ascii="Times New Roman" w:eastAsia="Times New Roman" w:hAnsi="Times New Roman" w:cs="Times New Roman"/>
          <w:b/>
          <w:bCs/>
          <w:i/>
          <w:iCs/>
          <w:color w:val="000000"/>
          <w:sz w:val="28"/>
          <w:szCs w:val="28"/>
          <w:lang w:eastAsia="bg-BG"/>
        </w:rPr>
        <w:t xml:space="preserve">1.3. </w:t>
      </w:r>
      <w:r w:rsidRPr="00A42673">
        <w:rPr>
          <w:rFonts w:ascii="Times New Roman CYR" w:eastAsia="Times New Roman" w:hAnsi="Times New Roman CYR" w:cs="Times New Roman CYR"/>
          <w:b/>
          <w:bCs/>
          <w:i/>
          <w:iCs/>
          <w:color w:val="000000"/>
          <w:sz w:val="28"/>
          <w:szCs w:val="28"/>
          <w:lang w:eastAsia="bg-BG"/>
        </w:rPr>
        <w:t>Попълване на незаетите щатни бройки за прокурори и следователи.</w:t>
      </w:r>
      <w:r w:rsidRPr="00A42673">
        <w:rPr>
          <w:rFonts w:ascii="Times New Roman CYR" w:eastAsia="Times New Roman" w:hAnsi="Times New Roman CYR" w:cs="Times New Roman CYR"/>
          <w:color w:val="000000"/>
          <w:sz w:val="28"/>
          <w:szCs w:val="28"/>
          <w:lang w:eastAsia="bg-BG"/>
        </w:rPr>
        <w:t xml:space="preserve"> Този приоритет продължава да е нерешен за РП Монтана, незаетите щатни бройки в края на отчетната година с 5 бр.,като 3 бр. от незаетите места за прокурори са предмет на обявени конкурси и следва да бъдат заети през следващата календарна година. През отчетния период в ОСлО при ОП-Монтана един младши следовател е спечелил конкурс но не е встъпил в длъжност до края на отчетната година, в следственият отдел при девет щатни бройки през отчетната 2022 г. са били заети осем щата за следователи и младши следователи. </w:t>
      </w:r>
    </w:p>
    <w:p w14:paraId="4A3CF35E"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bg-BG"/>
        </w:rPr>
      </w:pPr>
      <w:r w:rsidRPr="00A42673">
        <w:rPr>
          <w:rFonts w:ascii="Times New Roman CYR" w:eastAsia="Times New Roman" w:hAnsi="Times New Roman CYR" w:cs="Times New Roman CYR"/>
          <w:b/>
          <w:i/>
          <w:color w:val="000000"/>
          <w:sz w:val="28"/>
          <w:szCs w:val="28"/>
          <w:lang w:eastAsia="bg-BG"/>
        </w:rPr>
        <w:t>1.4. Продължаване на действията</w:t>
      </w:r>
      <w:r w:rsidRPr="00A42673">
        <w:rPr>
          <w:rFonts w:ascii="Times New Roman CYR" w:eastAsia="Times New Roman" w:hAnsi="Times New Roman CYR" w:cs="Times New Roman CYR"/>
          <w:color w:val="000000"/>
          <w:sz w:val="28"/>
          <w:szCs w:val="28"/>
          <w:lang w:eastAsia="bg-BG"/>
        </w:rPr>
        <w:t xml:space="preserve"> по решаване на въпросите, свързани с липса на вещи лица и забавяне на назначени експертизи.</w:t>
      </w:r>
    </w:p>
    <w:p w14:paraId="1F51327E"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w:eastAsia="Times New Roman" w:hAnsi="Times New Roman" w:cs="Times New Roman"/>
          <w:b/>
          <w:bCs/>
          <w:i/>
          <w:iCs/>
          <w:color w:val="000000"/>
          <w:sz w:val="28"/>
          <w:szCs w:val="28"/>
          <w:lang w:eastAsia="bg-BG"/>
        </w:rPr>
      </w:pPr>
    </w:p>
    <w:p w14:paraId="090AE158" w14:textId="77777777" w:rsidR="00A42673" w:rsidRPr="00A42673" w:rsidRDefault="00A42673" w:rsidP="00A42673">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u w:val="single"/>
          <w:lang w:eastAsia="bg-BG"/>
        </w:rPr>
      </w:pPr>
      <w:r w:rsidRPr="00A42673">
        <w:rPr>
          <w:rFonts w:ascii="Times New Roman" w:eastAsia="Times New Roman" w:hAnsi="Times New Roman" w:cs="Times New Roman"/>
          <w:b/>
          <w:bCs/>
          <w:color w:val="000000"/>
          <w:sz w:val="28"/>
          <w:szCs w:val="28"/>
          <w:u w:val="single"/>
          <w:lang w:eastAsia="bg-BG"/>
        </w:rPr>
        <w:t xml:space="preserve">2. </w:t>
      </w:r>
      <w:r w:rsidRPr="00A42673">
        <w:rPr>
          <w:rFonts w:ascii="Times New Roman CYR" w:eastAsia="Times New Roman" w:hAnsi="Times New Roman CYR" w:cs="Times New Roman CYR"/>
          <w:b/>
          <w:bCs/>
          <w:color w:val="000000"/>
          <w:sz w:val="28"/>
          <w:szCs w:val="28"/>
          <w:u w:val="single"/>
          <w:lang w:eastAsia="bg-BG"/>
        </w:rPr>
        <w:t>Повишаване на ефективността в дейността на прокуратурата   и разследващите органи:</w:t>
      </w:r>
    </w:p>
    <w:p w14:paraId="0173B115" w14:textId="77777777" w:rsidR="00A42673" w:rsidRPr="00A42673" w:rsidRDefault="00A42673" w:rsidP="00A42673">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u w:val="single"/>
          <w:lang w:eastAsia="bg-BG"/>
        </w:rPr>
      </w:pPr>
    </w:p>
    <w:p w14:paraId="4E5D2A60"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b/>
          <w:bCs/>
          <w:i/>
          <w:iCs/>
          <w:color w:val="000000"/>
          <w:sz w:val="28"/>
          <w:szCs w:val="28"/>
          <w:lang w:eastAsia="bg-BG"/>
        </w:rPr>
      </w:pPr>
      <w:r w:rsidRPr="00A42673">
        <w:rPr>
          <w:rFonts w:ascii="Times New Roman" w:eastAsia="Times New Roman" w:hAnsi="Times New Roman" w:cs="Times New Roman"/>
          <w:b/>
          <w:bCs/>
          <w:i/>
          <w:iCs/>
          <w:color w:val="000000"/>
          <w:sz w:val="28"/>
          <w:szCs w:val="28"/>
          <w:lang w:eastAsia="bg-BG"/>
        </w:rPr>
        <w:t xml:space="preserve">2.1. </w:t>
      </w:r>
      <w:r w:rsidRPr="00A42673">
        <w:rPr>
          <w:rFonts w:ascii="Times New Roman CYR" w:eastAsia="Times New Roman" w:hAnsi="Times New Roman CYR" w:cs="Times New Roman CYR"/>
          <w:b/>
          <w:bCs/>
          <w:i/>
          <w:iCs/>
          <w:color w:val="000000"/>
          <w:sz w:val="28"/>
          <w:szCs w:val="28"/>
          <w:lang w:eastAsia="bg-BG"/>
        </w:rPr>
        <w:t>Напредък е постигнат по следните показатели:</w:t>
      </w:r>
    </w:p>
    <w:p w14:paraId="672F841C"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bg-BG"/>
        </w:rPr>
      </w:pPr>
      <w:r w:rsidRPr="00A42673">
        <w:rPr>
          <w:rFonts w:ascii="Times New Roman CYR" w:eastAsia="Times New Roman" w:hAnsi="Times New Roman CYR" w:cs="Times New Roman CYR"/>
          <w:color w:val="000000"/>
          <w:sz w:val="28"/>
          <w:szCs w:val="28"/>
          <w:lang w:eastAsia="bg-BG"/>
        </w:rPr>
        <w:t>- Постигнат е и затвърден напредъка в срочността на решаване на досъдебните производства от страна на прокурорите. При досъдебните производства през 2022 г. всички са решени в законовия срок (при 0 бр. за 2021 г. и 0 бр. за 2020 г. извън законовия срок).</w:t>
      </w:r>
    </w:p>
    <w:p w14:paraId="24EC064F" w14:textId="77777777" w:rsidR="00A42673" w:rsidRPr="00A42673" w:rsidRDefault="00A42673" w:rsidP="00A42673">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w:eastAsia="Times New Roman" w:hAnsi="Times New Roman" w:cs="Times New Roman"/>
          <w:color w:val="000000"/>
          <w:sz w:val="28"/>
          <w:szCs w:val="28"/>
          <w:lang w:eastAsia="bg-BG"/>
        </w:rPr>
        <w:t xml:space="preserve">- </w:t>
      </w:r>
      <w:r w:rsidRPr="00A42673">
        <w:rPr>
          <w:rFonts w:ascii="Times New Roman CYR" w:eastAsia="Times New Roman" w:hAnsi="Times New Roman CYR" w:cs="Times New Roman CYR"/>
          <w:color w:val="000000"/>
          <w:sz w:val="28"/>
          <w:szCs w:val="28"/>
          <w:lang w:eastAsia="bg-BG"/>
        </w:rPr>
        <w:t>Увеличен е</w:t>
      </w:r>
      <w:r w:rsidRPr="00A42673">
        <w:rPr>
          <w:rFonts w:ascii="Times New Roman CYR" w:eastAsia="Times New Roman" w:hAnsi="Times New Roman CYR" w:cs="Times New Roman CYR"/>
          <w:sz w:val="28"/>
          <w:szCs w:val="28"/>
          <w:lang w:eastAsia="bg-BG"/>
        </w:rPr>
        <w:t xml:space="preserve"> броят на внесените в съда прокурорски актове през отчетната 2022 г. спрямо предходната 2021 г., което е положителен резултат, макар, че не са догонени резултатите от предходната 2020 г. През 2022 г. са </w:t>
      </w:r>
      <w:r w:rsidRPr="00A42673">
        <w:rPr>
          <w:rFonts w:ascii="Times New Roman CYR" w:eastAsia="Times New Roman" w:hAnsi="Times New Roman CYR" w:cs="Times New Roman CYR"/>
          <w:sz w:val="28"/>
          <w:szCs w:val="28"/>
          <w:lang w:eastAsia="bg-BG"/>
        </w:rPr>
        <w:lastRenderedPageBreak/>
        <w:t xml:space="preserve">внесени в съда 678 бр. прокурорски акта, при 672 през 2021 г. и 746 през 2020 г. </w:t>
      </w:r>
    </w:p>
    <w:p w14:paraId="0DBAB9E7" w14:textId="77777777" w:rsidR="00A42673" w:rsidRPr="00A42673" w:rsidRDefault="00A42673" w:rsidP="00A42673">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CYR" w:eastAsia="Times New Roman" w:hAnsi="Times New Roman CYR" w:cs="Times New Roman CYR"/>
          <w:sz w:val="28"/>
          <w:szCs w:val="28"/>
          <w:lang w:eastAsia="bg-BG"/>
        </w:rPr>
        <w:t xml:space="preserve">- </w:t>
      </w:r>
      <w:r w:rsidRPr="00A42673">
        <w:rPr>
          <w:rFonts w:ascii="Times New Roman CYR" w:eastAsia="Times New Roman" w:hAnsi="Times New Roman CYR" w:cs="Times New Roman CYR"/>
          <w:color w:val="000000"/>
          <w:sz w:val="28"/>
          <w:szCs w:val="28"/>
          <w:lang w:eastAsia="bg-BG"/>
        </w:rPr>
        <w:t>Увеличен е</w:t>
      </w:r>
      <w:r w:rsidRPr="00A42673">
        <w:rPr>
          <w:rFonts w:ascii="Times New Roman CYR" w:eastAsia="Times New Roman" w:hAnsi="Times New Roman CYR" w:cs="Times New Roman CYR"/>
          <w:sz w:val="28"/>
          <w:szCs w:val="28"/>
          <w:lang w:eastAsia="bg-BG"/>
        </w:rPr>
        <w:t xml:space="preserve"> значително броят на решените досъдебни производства през отчетната 2022 г. спрямо предходните 2021 г. и 2020 г. През 2022 г. са решени 3182 бр. ДП, при 2154 през 2021 г. и 2691 през 2020 г.</w:t>
      </w:r>
    </w:p>
    <w:p w14:paraId="4F7A850B"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w:eastAsia="Times New Roman" w:hAnsi="Times New Roman" w:cs="Times New Roman"/>
          <w:bCs/>
          <w:iCs/>
          <w:sz w:val="28"/>
          <w:szCs w:val="28"/>
          <w:lang w:eastAsia="bg-BG"/>
        </w:rPr>
        <w:t>-</w:t>
      </w:r>
      <w:r w:rsidRPr="00A42673">
        <w:rPr>
          <w:rFonts w:ascii="Times New Roman CYR" w:eastAsia="Times New Roman" w:hAnsi="Times New Roman CYR" w:cs="Times New Roman CYR"/>
          <w:sz w:val="28"/>
          <w:szCs w:val="28"/>
          <w:lang w:eastAsia="bg-BG"/>
        </w:rPr>
        <w:t xml:space="preserve"> Подобрена е дейността по изпълнение на наказанията, в т.ч. приведените в изпълнение присъди. През отчетната 2022 г. са приведени в изпълнение 362 бр. присъди, при 341 за 2021 г. и 323 за 2020 г.).</w:t>
      </w:r>
    </w:p>
    <w:p w14:paraId="2A4EE4B1" w14:textId="77777777" w:rsidR="00A42673" w:rsidRPr="00A42673" w:rsidRDefault="00A42673" w:rsidP="00A42673">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CYR" w:eastAsia="Times New Roman" w:hAnsi="Times New Roman CYR" w:cs="Times New Roman CYR"/>
          <w:sz w:val="28"/>
          <w:szCs w:val="28"/>
          <w:lang w:eastAsia="bg-BG"/>
        </w:rPr>
        <w:t>- Подобрена е дейността в срочността на разследването, като през 2022 г. всички разследвания по досъдебни производства са приключени в законоустановените срокове (при 7 бр. за 2021 и 8 бр. през 2020 г. разследвания по досъдебни производства, приключени извън законоустановените срокове). Причината за това се дължи на забавянето на делата при движението им от разследващия полицай до съответната прокуратура, забавяне на деловодната обработка или забавяне на пратките, изпратени по пощата с оглед проблемите през отчетната година във връзка със създадената в страната епидемиологична обстановка.</w:t>
      </w:r>
    </w:p>
    <w:p w14:paraId="2FA83125"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CYR" w:eastAsia="Times New Roman" w:hAnsi="Times New Roman CYR" w:cs="Times New Roman CYR"/>
          <w:sz w:val="28"/>
          <w:szCs w:val="28"/>
          <w:lang w:eastAsia="bg-BG"/>
        </w:rPr>
        <w:t>- Подобрена е дейността във връзка с извършваните проверки, възложени от прокурор като през отчетната 2022 г. извън срока е приключена 1 бр. проверка, при 1 бр. проверка през 2021 г. и 10 бр. през 2020 г.</w:t>
      </w:r>
    </w:p>
    <w:p w14:paraId="62721FEC"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CYR" w:eastAsia="Times New Roman" w:hAnsi="Times New Roman CYR" w:cs="Times New Roman CYR"/>
          <w:sz w:val="28"/>
          <w:szCs w:val="28"/>
          <w:lang w:eastAsia="bg-BG"/>
        </w:rPr>
        <w:t xml:space="preserve">- Подобрена е дейността във връзка със срочността при решаването на възложените им преписки, като </w:t>
      </w:r>
      <w:r w:rsidRPr="00A42673">
        <w:rPr>
          <w:rFonts w:ascii="Times New Roman CYR" w:eastAsia="Times New Roman" w:hAnsi="Times New Roman CYR" w:cs="Times New Roman CYR"/>
          <w:color w:val="000000"/>
          <w:sz w:val="28"/>
          <w:szCs w:val="28"/>
          <w:lang w:eastAsia="bg-BG"/>
        </w:rPr>
        <w:t xml:space="preserve">при всички прокуратури в региона 1 бр. преписка </w:t>
      </w:r>
      <w:r w:rsidRPr="00A42673">
        <w:rPr>
          <w:rFonts w:ascii="Times New Roman CYR" w:eastAsia="Times New Roman" w:hAnsi="Times New Roman CYR" w:cs="Times New Roman CYR"/>
          <w:sz w:val="28"/>
          <w:szCs w:val="28"/>
          <w:lang w:eastAsia="bg-BG"/>
        </w:rPr>
        <w:t xml:space="preserve">е била решена извън </w:t>
      </w:r>
      <w:r w:rsidRPr="00A42673">
        <w:rPr>
          <w:rFonts w:ascii="Times New Roman CYR" w:eastAsia="Times New Roman" w:hAnsi="Times New Roman CYR" w:cs="Times New Roman CYR"/>
          <w:color w:val="000000"/>
          <w:sz w:val="28"/>
          <w:szCs w:val="28"/>
          <w:lang w:eastAsia="bg-BG"/>
        </w:rPr>
        <w:t>едномесечен срок</w:t>
      </w:r>
      <w:r w:rsidRPr="00A42673">
        <w:rPr>
          <w:rFonts w:ascii="Times New Roman CYR" w:eastAsia="Times New Roman" w:hAnsi="Times New Roman CYR" w:cs="Times New Roman CYR"/>
          <w:sz w:val="28"/>
          <w:szCs w:val="28"/>
          <w:lang w:eastAsia="bg-BG"/>
        </w:rPr>
        <w:t xml:space="preserve"> (при 16 бр. за 2021 г. и 10 бр. за 2020 г.).</w:t>
      </w:r>
    </w:p>
    <w:p w14:paraId="4F3F8583"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CYR" w:eastAsia="Times New Roman" w:hAnsi="Times New Roman CYR" w:cs="Times New Roman CYR"/>
          <w:sz w:val="28"/>
          <w:szCs w:val="28"/>
          <w:lang w:eastAsia="bg-BG"/>
        </w:rPr>
        <w:t xml:space="preserve">- Макар и с намален обем запазват се добрите показатели в дейността по преписките, като през отчетната година в </w:t>
      </w:r>
      <w:r w:rsidRPr="00A42673">
        <w:rPr>
          <w:rFonts w:ascii="Times New Roman" w:eastAsia="Times New Roman" w:hAnsi="Times New Roman" w:cs="Times New Roman"/>
          <w:color w:val="000000"/>
          <w:sz w:val="28"/>
          <w:szCs w:val="28"/>
        </w:rPr>
        <w:t>региона са решени са общо 5 175 бр. преписки, при 5 675 бр. за 2021 г. и  5 309 бр. за 2020 г.</w:t>
      </w:r>
      <w:r w:rsidRPr="00A42673">
        <w:rPr>
          <w:rFonts w:ascii="Times New Roman CYR" w:eastAsia="Times New Roman" w:hAnsi="Times New Roman CYR" w:cs="Times New Roman CYR"/>
          <w:sz w:val="28"/>
          <w:szCs w:val="28"/>
          <w:lang w:eastAsia="bg-BG"/>
        </w:rPr>
        <w:t>;</w:t>
      </w:r>
    </w:p>
    <w:p w14:paraId="52F1D831"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w:eastAsia="Times New Roman" w:hAnsi="Times New Roman" w:cs="Times New Roman"/>
          <w:b/>
          <w:bCs/>
          <w:i/>
          <w:iCs/>
          <w:sz w:val="28"/>
          <w:szCs w:val="28"/>
          <w:lang w:eastAsia="bg-BG"/>
        </w:rPr>
      </w:pPr>
    </w:p>
    <w:p w14:paraId="22FFB555"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b/>
          <w:bCs/>
          <w:i/>
          <w:iCs/>
          <w:sz w:val="28"/>
          <w:szCs w:val="28"/>
          <w:lang w:eastAsia="bg-BG"/>
        </w:rPr>
      </w:pPr>
      <w:r w:rsidRPr="00A42673">
        <w:rPr>
          <w:rFonts w:ascii="Times New Roman" w:eastAsia="Times New Roman" w:hAnsi="Times New Roman" w:cs="Times New Roman"/>
          <w:b/>
          <w:bCs/>
          <w:i/>
          <w:iCs/>
          <w:sz w:val="28"/>
          <w:szCs w:val="28"/>
          <w:lang w:eastAsia="bg-BG"/>
        </w:rPr>
        <w:t xml:space="preserve">2.2. </w:t>
      </w:r>
      <w:r w:rsidRPr="00A42673">
        <w:rPr>
          <w:rFonts w:ascii="Times New Roman CYR" w:eastAsia="Times New Roman" w:hAnsi="Times New Roman CYR" w:cs="Times New Roman CYR"/>
          <w:b/>
          <w:bCs/>
          <w:i/>
          <w:iCs/>
          <w:sz w:val="28"/>
          <w:szCs w:val="28"/>
          <w:lang w:eastAsia="bg-BG"/>
        </w:rPr>
        <w:t>Напредък не е постигнат:</w:t>
      </w:r>
    </w:p>
    <w:p w14:paraId="46DC3613"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CYR" w:eastAsia="Times New Roman" w:hAnsi="Times New Roman CYR" w:cs="Times New Roman CYR"/>
          <w:sz w:val="28"/>
          <w:szCs w:val="28"/>
          <w:lang w:eastAsia="bg-BG"/>
        </w:rPr>
        <w:t>- не са решени всички дела, образувани преди 01.01.2019 г., макар и не по причина действия на разследващите и прокурорите (преди всичко поради неизготвени експертизи).</w:t>
      </w:r>
    </w:p>
    <w:p w14:paraId="09135996"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CYR" w:eastAsia="Times New Roman" w:hAnsi="Times New Roman CYR" w:cs="Times New Roman CYR"/>
          <w:sz w:val="28"/>
          <w:szCs w:val="28"/>
          <w:lang w:eastAsia="bg-BG"/>
        </w:rPr>
        <w:t>- Увеличен е броят на върнатите от съда дела през отчетната 2022 г. – 12 бр., при 7 бр. за 2021 г. и 10 бр. за 2020 г.</w:t>
      </w:r>
    </w:p>
    <w:p w14:paraId="46608B6F"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CYR" w:eastAsia="Times New Roman" w:hAnsi="Times New Roman CYR" w:cs="Times New Roman CYR"/>
          <w:sz w:val="28"/>
          <w:szCs w:val="28"/>
          <w:lang w:eastAsia="bg-BG"/>
        </w:rPr>
        <w:t>- Увеличен е броят на оправданите от съда с влязъл в сила съдебен акт лица през отчетната 2022 г. – 17 лица, при 9 за 2021 г. и 10 за 2020 г.</w:t>
      </w:r>
    </w:p>
    <w:p w14:paraId="00D20728" w14:textId="3AF05FA4"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bg-BG"/>
        </w:rPr>
      </w:pPr>
      <w:r w:rsidRPr="00A42673">
        <w:rPr>
          <w:rFonts w:ascii="Times New Roman CYR" w:eastAsia="Times New Roman" w:hAnsi="Times New Roman CYR" w:cs="Times New Roman CYR"/>
          <w:color w:val="000000"/>
          <w:sz w:val="28"/>
          <w:szCs w:val="28"/>
          <w:lang w:eastAsia="bg-BG"/>
        </w:rPr>
        <w:t>- Намален е броят на решените досъдебни производства – 2308 бр. за отчетната 202</w:t>
      </w:r>
      <w:r w:rsidR="0029284F">
        <w:rPr>
          <w:rFonts w:ascii="Times New Roman CYR" w:eastAsia="Times New Roman" w:hAnsi="Times New Roman CYR" w:cs="Times New Roman CYR"/>
          <w:color w:val="000000"/>
          <w:sz w:val="28"/>
          <w:szCs w:val="28"/>
          <w:lang w:val="en-US" w:eastAsia="bg-BG"/>
        </w:rPr>
        <w:t>2</w:t>
      </w:r>
      <w:r w:rsidRPr="00A42673">
        <w:rPr>
          <w:rFonts w:ascii="Times New Roman CYR" w:eastAsia="Times New Roman" w:hAnsi="Times New Roman CYR" w:cs="Times New Roman CYR"/>
          <w:color w:val="000000"/>
          <w:sz w:val="28"/>
          <w:szCs w:val="28"/>
          <w:lang w:eastAsia="bg-BG"/>
        </w:rPr>
        <w:t xml:space="preserve"> г. </w:t>
      </w:r>
      <w:r w:rsidRPr="00A42673">
        <w:rPr>
          <w:rFonts w:ascii="Times New Roman CYR" w:eastAsia="Times New Roman" w:hAnsi="Times New Roman CYR" w:cs="Times New Roman CYR"/>
          <w:color w:val="000000"/>
          <w:sz w:val="28"/>
          <w:szCs w:val="28"/>
          <w:lang w:val="en-US" w:eastAsia="bg-BG"/>
        </w:rPr>
        <w:t>(</w:t>
      </w:r>
      <w:r w:rsidRPr="00A42673">
        <w:rPr>
          <w:rFonts w:ascii="Times New Roman CYR" w:eastAsia="Times New Roman" w:hAnsi="Times New Roman CYR" w:cs="Times New Roman CYR"/>
          <w:color w:val="000000"/>
          <w:sz w:val="28"/>
          <w:szCs w:val="28"/>
          <w:lang w:eastAsia="bg-BG"/>
        </w:rPr>
        <w:t>2761 бр. за 202</w:t>
      </w:r>
      <w:r w:rsidR="0029284F">
        <w:rPr>
          <w:rFonts w:ascii="Times New Roman CYR" w:eastAsia="Times New Roman" w:hAnsi="Times New Roman CYR" w:cs="Times New Roman CYR"/>
          <w:color w:val="000000"/>
          <w:sz w:val="28"/>
          <w:szCs w:val="28"/>
          <w:lang w:val="en-US" w:eastAsia="bg-BG"/>
        </w:rPr>
        <w:t>1</w:t>
      </w:r>
      <w:r w:rsidRPr="00A42673">
        <w:rPr>
          <w:rFonts w:ascii="Times New Roman CYR" w:eastAsia="Times New Roman" w:hAnsi="Times New Roman CYR" w:cs="Times New Roman CYR"/>
          <w:color w:val="000000"/>
          <w:sz w:val="28"/>
          <w:szCs w:val="28"/>
          <w:lang w:eastAsia="bg-BG"/>
        </w:rPr>
        <w:t xml:space="preserve"> г. и 2418 бр. за 20</w:t>
      </w:r>
      <w:r w:rsidR="0029284F">
        <w:rPr>
          <w:rFonts w:ascii="Times New Roman CYR" w:eastAsia="Times New Roman" w:hAnsi="Times New Roman CYR" w:cs="Times New Roman CYR"/>
          <w:color w:val="000000"/>
          <w:sz w:val="28"/>
          <w:szCs w:val="28"/>
          <w:lang w:val="en-US" w:eastAsia="bg-BG"/>
        </w:rPr>
        <w:t>20</w:t>
      </w:r>
      <w:r w:rsidRPr="00A42673">
        <w:rPr>
          <w:rFonts w:ascii="Times New Roman CYR" w:eastAsia="Times New Roman" w:hAnsi="Times New Roman CYR" w:cs="Times New Roman CYR"/>
          <w:color w:val="000000"/>
          <w:sz w:val="28"/>
          <w:szCs w:val="28"/>
          <w:lang w:eastAsia="bg-BG"/>
        </w:rPr>
        <w:t xml:space="preserve"> г.</w:t>
      </w:r>
      <w:r w:rsidRPr="00A42673">
        <w:rPr>
          <w:rFonts w:ascii="Times New Roman CYR" w:eastAsia="Times New Roman" w:hAnsi="Times New Roman CYR" w:cs="Times New Roman CYR"/>
          <w:color w:val="000000"/>
          <w:sz w:val="28"/>
          <w:szCs w:val="28"/>
          <w:lang w:val="en-US" w:eastAsia="bg-BG"/>
        </w:rPr>
        <w:t>)</w:t>
      </w:r>
      <w:r w:rsidRPr="00A42673">
        <w:rPr>
          <w:rFonts w:ascii="Times New Roman CYR" w:eastAsia="Times New Roman" w:hAnsi="Times New Roman CYR" w:cs="Times New Roman CYR"/>
          <w:color w:val="000000"/>
          <w:sz w:val="28"/>
          <w:szCs w:val="28"/>
          <w:lang w:eastAsia="bg-BG"/>
        </w:rPr>
        <w:t>.</w:t>
      </w:r>
    </w:p>
    <w:p w14:paraId="1469373E"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CYR" w:eastAsia="Times New Roman" w:hAnsi="Times New Roman CYR" w:cs="Times New Roman CYR"/>
          <w:sz w:val="28"/>
          <w:szCs w:val="28"/>
          <w:lang w:eastAsia="bg-BG"/>
        </w:rPr>
        <w:t xml:space="preserve">- Както и през предходните отчетни периоди, така и през отчетната 2022 г. са увеличени са сроковете за разследване на ДП. Причина за това е най – вече в забавянето на назначените данъчно ревизионни актове и изготвянето на назначените експертизи, най – вече съдебно медицински и не само. В съдебния район продължава да е налице проблем с вещите лица, което налага използването на такива от други съдебни райони, което води до забавяне на разследванията по досъдебните производства. </w:t>
      </w:r>
    </w:p>
    <w:p w14:paraId="2378F15C"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p>
    <w:p w14:paraId="71D01F5D" w14:textId="77777777" w:rsidR="00A42673" w:rsidRPr="00A42673" w:rsidRDefault="00A42673" w:rsidP="00A42673">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u w:val="single"/>
          <w:lang w:eastAsia="bg-BG"/>
        </w:rPr>
      </w:pPr>
      <w:r w:rsidRPr="00A42673">
        <w:rPr>
          <w:rFonts w:ascii="Times New Roman" w:eastAsia="Times New Roman" w:hAnsi="Times New Roman" w:cs="Times New Roman"/>
          <w:b/>
          <w:bCs/>
          <w:color w:val="000000"/>
          <w:sz w:val="28"/>
          <w:szCs w:val="28"/>
          <w:u w:val="single"/>
          <w:lang w:eastAsia="bg-BG"/>
        </w:rPr>
        <w:lastRenderedPageBreak/>
        <w:t xml:space="preserve">3. </w:t>
      </w:r>
      <w:r w:rsidRPr="00A42673">
        <w:rPr>
          <w:rFonts w:ascii="Times New Roman CYR" w:eastAsia="Times New Roman" w:hAnsi="Times New Roman CYR" w:cs="Times New Roman CYR"/>
          <w:b/>
          <w:bCs/>
          <w:color w:val="000000"/>
          <w:sz w:val="28"/>
          <w:szCs w:val="28"/>
          <w:u w:val="single"/>
          <w:lang w:eastAsia="bg-BG"/>
        </w:rPr>
        <w:t>Иницииране на законодателни промени, необходими за повишаване на резултатността и ефективността в работата на прокуратурите и разследващите органи.</w:t>
      </w:r>
    </w:p>
    <w:p w14:paraId="5850192C" w14:textId="77777777" w:rsidR="00A42673" w:rsidRPr="00A42673" w:rsidRDefault="00A42673" w:rsidP="00A42673">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CYR" w:eastAsia="Times New Roman" w:hAnsi="Times New Roman CYR" w:cs="Times New Roman CYR"/>
          <w:sz w:val="28"/>
          <w:szCs w:val="28"/>
          <w:lang w:eastAsia="bg-BG"/>
        </w:rPr>
        <w:t>Тази част е засегната в раздел I. Необходимо е обаче да се отбележи, че, за да се достигне до по-голяма ефективност в работата в досъдебната фаза, като цяло е наложителна промяна изобщо на наказателната политика на страната. Би следвало да се възприемат добрите практики от други държави, показали по - добра ефективност в борбата с престъпността.</w:t>
      </w:r>
    </w:p>
    <w:p w14:paraId="13E2A240" w14:textId="77777777" w:rsidR="00A42673" w:rsidRPr="00A42673" w:rsidRDefault="00A42673" w:rsidP="00A42673">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lang w:eastAsia="bg-BG"/>
        </w:rPr>
      </w:pPr>
    </w:p>
    <w:p w14:paraId="78772EFD" w14:textId="77777777" w:rsidR="00A42673" w:rsidRPr="00A42673" w:rsidRDefault="00A42673" w:rsidP="00A42673">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lang w:eastAsia="bg-BG"/>
        </w:rPr>
      </w:pPr>
      <w:r w:rsidRPr="00A42673">
        <w:rPr>
          <w:rFonts w:ascii="Times New Roman CYR" w:eastAsia="Times New Roman" w:hAnsi="Times New Roman CYR" w:cs="Times New Roman CYR"/>
          <w:b/>
          <w:bCs/>
          <w:color w:val="000000"/>
          <w:sz w:val="28"/>
          <w:szCs w:val="28"/>
          <w:lang w:eastAsia="bg-BG"/>
        </w:rPr>
        <w:t xml:space="preserve">Приоритети на прокуратурите за 2022 г.   </w:t>
      </w:r>
    </w:p>
    <w:p w14:paraId="0F529387" w14:textId="77777777" w:rsidR="00A42673" w:rsidRPr="00A42673" w:rsidRDefault="00A42673" w:rsidP="00A42673">
      <w:pPr>
        <w:tabs>
          <w:tab w:val="left" w:pos="826"/>
        </w:tabs>
        <w:autoSpaceDE w:val="0"/>
        <w:autoSpaceDN w:val="0"/>
        <w:adjustRightInd w:val="0"/>
        <w:spacing w:after="0" w:line="240" w:lineRule="auto"/>
        <w:ind w:firstLine="709"/>
        <w:jc w:val="both"/>
        <w:rPr>
          <w:rFonts w:ascii="Calibri" w:eastAsia="Times New Roman" w:hAnsi="Calibri" w:cs="Calibri"/>
          <w:color w:val="000000"/>
          <w:sz w:val="28"/>
          <w:szCs w:val="28"/>
          <w:lang w:eastAsia="bg-BG"/>
        </w:rPr>
      </w:pPr>
    </w:p>
    <w:p w14:paraId="6DF26002" w14:textId="209F0EA1"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bg-BG"/>
        </w:rPr>
      </w:pPr>
      <w:r w:rsidRPr="00A42673">
        <w:rPr>
          <w:rFonts w:ascii="Times New Roman CYR" w:eastAsia="Times New Roman" w:hAnsi="Times New Roman CYR" w:cs="Times New Roman CYR"/>
          <w:color w:val="000000"/>
          <w:sz w:val="28"/>
          <w:szCs w:val="28"/>
          <w:lang w:eastAsia="bg-BG"/>
        </w:rPr>
        <w:t>Приоритетите през 202</w:t>
      </w:r>
      <w:r w:rsidR="0029284F">
        <w:rPr>
          <w:rFonts w:ascii="Times New Roman CYR" w:eastAsia="Times New Roman" w:hAnsi="Times New Roman CYR" w:cs="Times New Roman CYR"/>
          <w:color w:val="000000"/>
          <w:sz w:val="28"/>
          <w:szCs w:val="28"/>
          <w:lang w:val="en-US" w:eastAsia="bg-BG"/>
        </w:rPr>
        <w:t>2</w:t>
      </w:r>
      <w:r w:rsidRPr="00A42673">
        <w:rPr>
          <w:rFonts w:ascii="Times New Roman CYR" w:eastAsia="Times New Roman" w:hAnsi="Times New Roman CYR" w:cs="Times New Roman CYR"/>
          <w:color w:val="000000"/>
          <w:sz w:val="28"/>
          <w:szCs w:val="28"/>
          <w:lang w:eastAsia="bg-BG"/>
        </w:rPr>
        <w:t xml:space="preserve"> г. и в дългосрочна перспектива, са свързани с продължаване на реформите в прокуратурата.</w:t>
      </w:r>
    </w:p>
    <w:p w14:paraId="065A0EE3" w14:textId="77777777" w:rsidR="00A42673" w:rsidRPr="00A42673" w:rsidRDefault="00A42673" w:rsidP="00A42673">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u w:val="single"/>
          <w:lang w:eastAsia="bg-BG"/>
        </w:rPr>
      </w:pPr>
      <w:r w:rsidRPr="00A42673">
        <w:rPr>
          <w:rFonts w:ascii="Times New Roman" w:eastAsia="Times New Roman" w:hAnsi="Times New Roman" w:cs="Times New Roman"/>
          <w:b/>
          <w:bCs/>
          <w:color w:val="000000"/>
          <w:sz w:val="28"/>
          <w:szCs w:val="28"/>
          <w:u w:val="single"/>
          <w:lang w:eastAsia="bg-BG"/>
        </w:rPr>
        <w:t xml:space="preserve">1. </w:t>
      </w:r>
      <w:r w:rsidRPr="00A42673">
        <w:rPr>
          <w:rFonts w:ascii="Times New Roman CYR" w:eastAsia="Times New Roman" w:hAnsi="Times New Roman CYR" w:cs="Times New Roman CYR"/>
          <w:b/>
          <w:bCs/>
          <w:color w:val="000000"/>
          <w:sz w:val="28"/>
          <w:szCs w:val="28"/>
          <w:u w:val="single"/>
          <w:lang w:eastAsia="bg-BG"/>
        </w:rPr>
        <w:t>Усъвършенстване на организационното и административно управление на прокуратурите от региона. Този приоритет има дългосрочно действие и може да бъде постигнат чрез следните мерки:</w:t>
      </w:r>
    </w:p>
    <w:p w14:paraId="47F9CC24" w14:textId="77777777" w:rsidR="00A42673" w:rsidRPr="00A42673" w:rsidRDefault="00A42673" w:rsidP="00A42673">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u w:val="single"/>
          <w:lang w:eastAsia="bg-BG"/>
        </w:rPr>
      </w:pPr>
    </w:p>
    <w:p w14:paraId="55196B53"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bg-BG"/>
        </w:rPr>
      </w:pPr>
      <w:r w:rsidRPr="00A42673">
        <w:rPr>
          <w:rFonts w:ascii="Times New Roman" w:eastAsia="Times New Roman" w:hAnsi="Times New Roman" w:cs="Times New Roman"/>
          <w:b/>
          <w:bCs/>
          <w:i/>
          <w:iCs/>
          <w:color w:val="000000"/>
          <w:sz w:val="28"/>
          <w:szCs w:val="28"/>
          <w:lang w:eastAsia="bg-BG"/>
        </w:rPr>
        <w:t>1.1.</w:t>
      </w:r>
      <w:r w:rsidRPr="00A42673">
        <w:rPr>
          <w:rFonts w:ascii="Times New Roman" w:eastAsia="Times New Roman" w:hAnsi="Times New Roman" w:cs="Times New Roman"/>
          <w:color w:val="000000"/>
          <w:sz w:val="28"/>
          <w:szCs w:val="28"/>
          <w:lang w:eastAsia="bg-BG"/>
        </w:rPr>
        <w:t xml:space="preserve"> </w:t>
      </w:r>
      <w:r w:rsidRPr="00A42673">
        <w:rPr>
          <w:rFonts w:ascii="Times New Roman CYR" w:eastAsia="Times New Roman" w:hAnsi="Times New Roman CYR" w:cs="Times New Roman CYR"/>
          <w:color w:val="000000"/>
          <w:sz w:val="28"/>
          <w:szCs w:val="28"/>
          <w:lang w:eastAsia="bg-BG"/>
        </w:rPr>
        <w:t>Усилията трябва да бъдат насочени към засилване на екипността в работата, към специализация на магистратите, като се залага на професионализма на всеки отделен магистрат. Необходимо е в тази връзка подобряване дейността по наказателно-съдебния надзор, преди всичко за намаляване на оправдателните присъди и върнатите от съда дела.</w:t>
      </w:r>
    </w:p>
    <w:p w14:paraId="4B373EB8"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bg-BG"/>
        </w:rPr>
      </w:pPr>
      <w:r w:rsidRPr="00A42673">
        <w:rPr>
          <w:rFonts w:ascii="Times New Roman" w:eastAsia="Times New Roman" w:hAnsi="Times New Roman" w:cs="Times New Roman"/>
          <w:b/>
          <w:bCs/>
          <w:i/>
          <w:iCs/>
          <w:color w:val="000000"/>
          <w:sz w:val="28"/>
          <w:szCs w:val="28"/>
          <w:lang w:eastAsia="bg-BG"/>
        </w:rPr>
        <w:t xml:space="preserve">1.2. </w:t>
      </w:r>
      <w:r w:rsidRPr="00A42673">
        <w:rPr>
          <w:rFonts w:ascii="Times New Roman CYR" w:eastAsia="Times New Roman" w:hAnsi="Times New Roman CYR" w:cs="Times New Roman CYR"/>
          <w:b/>
          <w:bCs/>
          <w:i/>
          <w:iCs/>
          <w:color w:val="000000"/>
          <w:sz w:val="28"/>
          <w:szCs w:val="28"/>
          <w:lang w:eastAsia="bg-BG"/>
        </w:rPr>
        <w:t>Поддържане и повишаване на квалификацията на служителите</w:t>
      </w:r>
      <w:r w:rsidRPr="00A42673">
        <w:rPr>
          <w:rFonts w:ascii="Times New Roman CYR" w:eastAsia="Times New Roman" w:hAnsi="Times New Roman CYR" w:cs="Times New Roman CYR"/>
          <w:color w:val="000000"/>
          <w:sz w:val="28"/>
          <w:szCs w:val="28"/>
          <w:lang w:eastAsia="bg-BG"/>
        </w:rPr>
        <w:t xml:space="preserve"> чрез участието им в обучителни програми.</w:t>
      </w:r>
    </w:p>
    <w:p w14:paraId="216E0471"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bg-BG"/>
        </w:rPr>
      </w:pPr>
      <w:r w:rsidRPr="00A42673">
        <w:rPr>
          <w:rFonts w:ascii="Times New Roman" w:eastAsia="Times New Roman" w:hAnsi="Times New Roman" w:cs="Times New Roman"/>
          <w:b/>
          <w:bCs/>
          <w:i/>
          <w:iCs/>
          <w:color w:val="000000"/>
          <w:sz w:val="28"/>
          <w:szCs w:val="28"/>
          <w:lang w:eastAsia="bg-BG"/>
        </w:rPr>
        <w:t xml:space="preserve">1.3. </w:t>
      </w:r>
      <w:r w:rsidRPr="00A42673">
        <w:rPr>
          <w:rFonts w:ascii="Times New Roman CYR" w:eastAsia="Times New Roman" w:hAnsi="Times New Roman CYR" w:cs="Times New Roman CYR"/>
          <w:b/>
          <w:bCs/>
          <w:i/>
          <w:iCs/>
          <w:color w:val="000000"/>
          <w:sz w:val="28"/>
          <w:szCs w:val="28"/>
          <w:lang w:eastAsia="bg-BG"/>
        </w:rPr>
        <w:t>Стимулиране на магистратите и служителите</w:t>
      </w:r>
      <w:r w:rsidRPr="00A42673">
        <w:rPr>
          <w:rFonts w:ascii="Times New Roman CYR" w:eastAsia="Times New Roman" w:hAnsi="Times New Roman CYR" w:cs="Times New Roman CYR"/>
          <w:color w:val="000000"/>
          <w:sz w:val="28"/>
          <w:szCs w:val="28"/>
          <w:lang w:eastAsia="bg-BG"/>
        </w:rPr>
        <w:t xml:space="preserve"> чрез справедлива оценка за положения труд и кариерно развитие – чрез еднакви системи за поощрения и наказания, както за магистратите, така и за служителите.</w:t>
      </w:r>
    </w:p>
    <w:p w14:paraId="14AD3699"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bg-BG"/>
        </w:rPr>
      </w:pPr>
      <w:r w:rsidRPr="00A42673">
        <w:rPr>
          <w:rFonts w:ascii="Times New Roman" w:eastAsia="Times New Roman" w:hAnsi="Times New Roman" w:cs="Times New Roman"/>
          <w:b/>
          <w:bCs/>
          <w:i/>
          <w:iCs/>
          <w:color w:val="000000"/>
          <w:sz w:val="28"/>
          <w:szCs w:val="28"/>
          <w:lang w:eastAsia="bg-BG"/>
        </w:rPr>
        <w:t xml:space="preserve">1.4. </w:t>
      </w:r>
      <w:r w:rsidRPr="00A42673">
        <w:rPr>
          <w:rFonts w:ascii="Times New Roman CYR" w:eastAsia="Times New Roman" w:hAnsi="Times New Roman CYR" w:cs="Times New Roman CYR"/>
          <w:b/>
          <w:bCs/>
          <w:i/>
          <w:iCs/>
          <w:color w:val="000000"/>
          <w:sz w:val="28"/>
          <w:szCs w:val="28"/>
          <w:lang w:eastAsia="bg-BG"/>
        </w:rPr>
        <w:t>Попълване на незаетите щатни бройки за прокурори</w:t>
      </w:r>
      <w:r w:rsidRPr="00A42673">
        <w:rPr>
          <w:rFonts w:ascii="Times New Roman CYR" w:eastAsia="Times New Roman" w:hAnsi="Times New Roman CYR" w:cs="Times New Roman CYR"/>
          <w:color w:val="000000"/>
          <w:sz w:val="28"/>
          <w:szCs w:val="28"/>
          <w:lang w:eastAsia="bg-BG"/>
        </w:rPr>
        <w:t xml:space="preserve">. Този приоритет остава нерешен и е особено важен по отношение на РП Монтана, въпросът до голяма степен ще бъде решен с назначаването на  трима прокурори по вече обявените конкурси и нов конкурс за първоначално назначаване на магистрати в районните прокуратури, относно двете незаети бройки в районната прокуратура.  </w:t>
      </w:r>
    </w:p>
    <w:p w14:paraId="5414535D" w14:textId="77777777" w:rsidR="00A42673" w:rsidRPr="00C83687" w:rsidRDefault="00A42673" w:rsidP="00A42673">
      <w:pPr>
        <w:spacing w:after="0" w:line="240" w:lineRule="auto"/>
        <w:ind w:firstLine="709"/>
        <w:jc w:val="both"/>
        <w:rPr>
          <w:rFonts w:ascii="Times New Roman" w:eastAsia="Times New Roman" w:hAnsi="Times New Roman" w:cs="Times New Roman"/>
          <w:sz w:val="28"/>
          <w:szCs w:val="28"/>
          <w:lang w:eastAsia="bg-BG"/>
        </w:rPr>
      </w:pPr>
      <w:r w:rsidRPr="00A42673">
        <w:rPr>
          <w:rFonts w:ascii="Times New Roman CYR" w:eastAsia="Times New Roman" w:hAnsi="Times New Roman CYR" w:cs="Times New Roman CYR"/>
          <w:b/>
          <w:i/>
          <w:color w:val="000000"/>
          <w:sz w:val="28"/>
          <w:szCs w:val="28"/>
          <w:lang w:val="en-US" w:eastAsia="bg-BG"/>
        </w:rPr>
        <w:t xml:space="preserve">1.5. </w:t>
      </w:r>
      <w:r w:rsidRPr="00C83687">
        <w:rPr>
          <w:rFonts w:ascii="Times New Roman CYR" w:eastAsia="Times New Roman" w:hAnsi="Times New Roman CYR" w:cs="Times New Roman CYR"/>
          <w:b/>
          <w:i/>
          <w:color w:val="000000"/>
          <w:sz w:val="28"/>
          <w:szCs w:val="28"/>
          <w:lang w:eastAsia="bg-BG"/>
        </w:rPr>
        <w:t>Проблеми във връзка реформирането и обединяването</w:t>
      </w:r>
      <w:r w:rsidRPr="00C83687">
        <w:rPr>
          <w:rFonts w:ascii="Times New Roman CYR" w:eastAsia="Times New Roman" w:hAnsi="Times New Roman CYR" w:cs="Times New Roman CYR"/>
          <w:color w:val="000000"/>
          <w:sz w:val="28"/>
          <w:szCs w:val="28"/>
          <w:lang w:eastAsia="bg-BG"/>
        </w:rPr>
        <w:t xml:space="preserve"> на районните прокуратури в региона. </w:t>
      </w:r>
      <w:r w:rsidRPr="00C83687">
        <w:rPr>
          <w:rFonts w:ascii="Times New Roman" w:eastAsia="Times New Roman" w:hAnsi="Times New Roman" w:cs="Times New Roman"/>
          <w:sz w:val="28"/>
          <w:szCs w:val="28"/>
        </w:rPr>
        <w:t xml:space="preserve">През следващата 2023 г. следва да продължат административно – организационни мерки за уеднаквяване на натовареността в обединената районна прокуратура. </w:t>
      </w:r>
    </w:p>
    <w:p w14:paraId="2ACEF113"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bg-BG"/>
        </w:rPr>
      </w:pPr>
      <w:r w:rsidRPr="00A42673">
        <w:rPr>
          <w:rFonts w:ascii="Times New Roman CYR" w:eastAsia="Times New Roman" w:hAnsi="Times New Roman CYR" w:cs="Times New Roman CYR"/>
          <w:color w:val="000000"/>
          <w:sz w:val="28"/>
          <w:szCs w:val="28"/>
          <w:lang w:eastAsia="bg-BG"/>
        </w:rPr>
        <w:t>.</w:t>
      </w:r>
    </w:p>
    <w:p w14:paraId="60033B05" w14:textId="77777777" w:rsidR="00A42673" w:rsidRPr="00A42673" w:rsidRDefault="00A42673" w:rsidP="00A42673">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u w:val="single"/>
          <w:lang w:eastAsia="bg-BG"/>
        </w:rPr>
      </w:pPr>
      <w:r w:rsidRPr="00A42673">
        <w:rPr>
          <w:rFonts w:ascii="Times New Roman" w:eastAsia="Times New Roman" w:hAnsi="Times New Roman" w:cs="Times New Roman"/>
          <w:b/>
          <w:bCs/>
          <w:color w:val="000000"/>
          <w:sz w:val="28"/>
          <w:szCs w:val="28"/>
          <w:u w:val="single"/>
          <w:lang w:eastAsia="bg-BG"/>
        </w:rPr>
        <w:t xml:space="preserve">2. </w:t>
      </w:r>
      <w:r w:rsidRPr="00A42673">
        <w:rPr>
          <w:rFonts w:ascii="Times New Roman CYR" w:eastAsia="Times New Roman" w:hAnsi="Times New Roman CYR" w:cs="Times New Roman CYR"/>
          <w:b/>
          <w:bCs/>
          <w:color w:val="000000"/>
          <w:sz w:val="28"/>
          <w:szCs w:val="28"/>
          <w:u w:val="single"/>
          <w:lang w:eastAsia="bg-BG"/>
        </w:rPr>
        <w:t>Повишаване на ефективността в дейността на прокурорите и на разследващите органи.</w:t>
      </w:r>
    </w:p>
    <w:p w14:paraId="76FC15D7" w14:textId="77777777" w:rsidR="00A42673" w:rsidRPr="00A42673" w:rsidRDefault="00A42673" w:rsidP="00A42673">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u w:val="single"/>
          <w:lang w:eastAsia="bg-BG"/>
        </w:rPr>
      </w:pPr>
    </w:p>
    <w:p w14:paraId="3FDECFF1"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lang w:eastAsia="bg-BG"/>
        </w:rPr>
      </w:pPr>
      <w:r w:rsidRPr="00A42673">
        <w:rPr>
          <w:rFonts w:ascii="Times New Roman" w:eastAsia="Times New Roman" w:hAnsi="Times New Roman" w:cs="Times New Roman"/>
          <w:b/>
          <w:bCs/>
          <w:i/>
          <w:iCs/>
          <w:color w:val="000000"/>
          <w:sz w:val="28"/>
          <w:szCs w:val="28"/>
          <w:lang w:eastAsia="bg-BG"/>
        </w:rPr>
        <w:t xml:space="preserve">2.1. </w:t>
      </w:r>
      <w:r w:rsidRPr="00A42673">
        <w:rPr>
          <w:rFonts w:ascii="Times New Roman CYR" w:eastAsia="Times New Roman" w:hAnsi="Times New Roman CYR" w:cs="Times New Roman CYR"/>
          <w:b/>
          <w:bCs/>
          <w:i/>
          <w:iCs/>
          <w:color w:val="000000"/>
          <w:sz w:val="28"/>
          <w:szCs w:val="28"/>
          <w:lang w:eastAsia="bg-BG"/>
        </w:rPr>
        <w:t xml:space="preserve">Задълбочено изследване на върнатите от съда </w:t>
      </w:r>
      <w:r w:rsidRPr="00A42673">
        <w:rPr>
          <w:rFonts w:ascii="Times New Roman CYR" w:eastAsia="Times New Roman" w:hAnsi="Times New Roman CYR" w:cs="Times New Roman CYR"/>
          <w:color w:val="000000"/>
          <w:sz w:val="28"/>
          <w:szCs w:val="28"/>
          <w:lang w:eastAsia="bg-BG"/>
        </w:rPr>
        <w:t xml:space="preserve">за доразследване дела, на влезлите в сила оправдателни присъди. За тази цел следва да продължат обученията на разследващите органи и прокурорите и </w:t>
      </w:r>
      <w:r w:rsidRPr="00A42673">
        <w:rPr>
          <w:rFonts w:ascii="Times New Roman CYR" w:eastAsia="Times New Roman" w:hAnsi="Times New Roman CYR" w:cs="Times New Roman CYR"/>
          <w:color w:val="000000"/>
          <w:sz w:val="28"/>
          <w:szCs w:val="28"/>
          <w:lang w:eastAsia="bg-BG"/>
        </w:rPr>
        <w:lastRenderedPageBreak/>
        <w:t>организирането на работни срещи за преодоляването на констатираните слабости.</w:t>
      </w:r>
    </w:p>
    <w:p w14:paraId="61DC2DAF"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bg-BG"/>
        </w:rPr>
      </w:pPr>
      <w:r w:rsidRPr="00A42673">
        <w:rPr>
          <w:rFonts w:ascii="Times New Roman" w:eastAsia="Times New Roman" w:hAnsi="Times New Roman" w:cs="Times New Roman"/>
          <w:b/>
          <w:bCs/>
          <w:i/>
          <w:iCs/>
          <w:color w:val="000000"/>
          <w:sz w:val="28"/>
          <w:szCs w:val="28"/>
          <w:lang w:eastAsia="bg-BG"/>
        </w:rPr>
        <w:t xml:space="preserve">2.2. </w:t>
      </w:r>
      <w:r w:rsidRPr="00A42673">
        <w:rPr>
          <w:rFonts w:ascii="Times New Roman CYR" w:eastAsia="Times New Roman" w:hAnsi="Times New Roman CYR" w:cs="Times New Roman CYR"/>
          <w:b/>
          <w:bCs/>
          <w:i/>
          <w:iCs/>
          <w:color w:val="000000"/>
          <w:sz w:val="28"/>
          <w:szCs w:val="28"/>
          <w:lang w:eastAsia="bg-BG"/>
        </w:rPr>
        <w:t>Периодично проследяване на мотивите на съдебните решения срещу прокуратурата по ЗОДОВ</w:t>
      </w:r>
      <w:r w:rsidRPr="00A42673">
        <w:rPr>
          <w:rFonts w:ascii="Times New Roman CYR" w:eastAsia="Times New Roman" w:hAnsi="Times New Roman CYR" w:cs="Times New Roman CYR"/>
          <w:color w:val="000000"/>
          <w:sz w:val="28"/>
          <w:szCs w:val="28"/>
          <w:lang w:eastAsia="bg-BG"/>
        </w:rPr>
        <w:t>, както и на онези, постановени срещу България от ЕСПЧ с цел намаляване на допусканите еднотипови грешки при разследването и при изготвяне на прокурорските актове, внасяни в съда.</w:t>
      </w:r>
    </w:p>
    <w:p w14:paraId="56D18A4F"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bg-BG"/>
        </w:rPr>
      </w:pPr>
      <w:r w:rsidRPr="00A42673">
        <w:rPr>
          <w:rFonts w:ascii="Times New Roman" w:eastAsia="Times New Roman" w:hAnsi="Times New Roman" w:cs="Times New Roman"/>
          <w:b/>
          <w:bCs/>
          <w:i/>
          <w:iCs/>
          <w:color w:val="000000"/>
          <w:sz w:val="28"/>
          <w:szCs w:val="28"/>
          <w:lang w:eastAsia="bg-BG"/>
        </w:rPr>
        <w:t xml:space="preserve">2.3. </w:t>
      </w:r>
      <w:r w:rsidRPr="00A42673">
        <w:rPr>
          <w:rFonts w:ascii="Times New Roman CYR" w:eastAsia="Times New Roman" w:hAnsi="Times New Roman CYR" w:cs="Times New Roman CYR"/>
          <w:b/>
          <w:bCs/>
          <w:i/>
          <w:iCs/>
          <w:color w:val="000000"/>
          <w:sz w:val="28"/>
          <w:szCs w:val="28"/>
          <w:lang w:eastAsia="bg-BG"/>
        </w:rPr>
        <w:t>Постоянно проследяване на прокурорската практика</w:t>
      </w:r>
      <w:r w:rsidRPr="00A42673">
        <w:rPr>
          <w:rFonts w:ascii="Times New Roman CYR" w:eastAsia="Times New Roman" w:hAnsi="Times New Roman CYR" w:cs="Times New Roman CYR"/>
          <w:color w:val="000000"/>
          <w:sz w:val="28"/>
          <w:szCs w:val="28"/>
          <w:lang w:eastAsia="bg-BG"/>
        </w:rPr>
        <w:t xml:space="preserve"> в региона и привеждането й в съответствие със съдебната. Преодоляване на противоречивите произнасяния. Този приоритет е постоянен. В тази връзка следва да продължат работните съвещания с прокурорите от районната прокуратура, както и с разследващите. </w:t>
      </w:r>
    </w:p>
    <w:p w14:paraId="3FB3DC94"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w:eastAsia="Times New Roman" w:hAnsi="Times New Roman" w:cs="Times New Roman"/>
          <w:b/>
          <w:bCs/>
          <w:i/>
          <w:iCs/>
          <w:color w:val="000000"/>
          <w:sz w:val="28"/>
          <w:szCs w:val="28"/>
          <w:lang w:eastAsia="bg-BG"/>
        </w:rPr>
        <w:t xml:space="preserve">2.4. </w:t>
      </w:r>
      <w:r w:rsidRPr="00A42673">
        <w:rPr>
          <w:rFonts w:ascii="Times New Roman CYR" w:eastAsia="Times New Roman" w:hAnsi="Times New Roman CYR" w:cs="Times New Roman CYR"/>
          <w:b/>
          <w:bCs/>
          <w:i/>
          <w:iCs/>
          <w:color w:val="000000"/>
          <w:sz w:val="28"/>
          <w:szCs w:val="28"/>
          <w:lang w:eastAsia="bg-BG"/>
        </w:rPr>
        <w:t>Изготвяне на предложения до ВКП</w:t>
      </w:r>
      <w:r w:rsidRPr="00A42673">
        <w:rPr>
          <w:rFonts w:ascii="Times New Roman CYR" w:eastAsia="Times New Roman" w:hAnsi="Times New Roman CYR" w:cs="Times New Roman CYR"/>
          <w:color w:val="000000"/>
          <w:sz w:val="28"/>
          <w:szCs w:val="28"/>
          <w:lang w:eastAsia="bg-BG"/>
        </w:rPr>
        <w:t xml:space="preserve"> при констатиране на </w:t>
      </w:r>
      <w:r w:rsidRPr="00A42673">
        <w:rPr>
          <w:rFonts w:ascii="Times New Roman CYR" w:eastAsia="Times New Roman" w:hAnsi="Times New Roman CYR" w:cs="Times New Roman CYR"/>
          <w:sz w:val="28"/>
          <w:szCs w:val="28"/>
          <w:lang w:eastAsia="bg-BG"/>
        </w:rPr>
        <w:t>противоречива съдебна практика, за внасяне на предложения за тълкувателни актове с цел уеднаквяване на прокурорската и съдебна практика.</w:t>
      </w:r>
    </w:p>
    <w:p w14:paraId="7221F879"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bg-BG"/>
        </w:rPr>
      </w:pPr>
      <w:r w:rsidRPr="00A42673">
        <w:rPr>
          <w:rFonts w:ascii="Times New Roman" w:eastAsia="Times New Roman" w:hAnsi="Times New Roman" w:cs="Times New Roman"/>
          <w:b/>
          <w:bCs/>
          <w:i/>
          <w:iCs/>
          <w:color w:val="000000"/>
          <w:sz w:val="28"/>
          <w:szCs w:val="28"/>
          <w:lang w:eastAsia="bg-BG"/>
        </w:rPr>
        <w:t xml:space="preserve">2.5. </w:t>
      </w:r>
      <w:r w:rsidRPr="00A42673">
        <w:rPr>
          <w:rFonts w:ascii="Times New Roman CYR" w:eastAsia="Times New Roman" w:hAnsi="Times New Roman CYR" w:cs="Times New Roman CYR"/>
          <w:b/>
          <w:bCs/>
          <w:i/>
          <w:iCs/>
          <w:color w:val="000000"/>
          <w:sz w:val="28"/>
          <w:szCs w:val="28"/>
          <w:lang w:eastAsia="bg-BG"/>
        </w:rPr>
        <w:t>Подобряване и усъвършенстване на екипния принцип</w:t>
      </w:r>
      <w:r w:rsidRPr="00A42673">
        <w:rPr>
          <w:rFonts w:ascii="Times New Roman CYR" w:eastAsia="Times New Roman" w:hAnsi="Times New Roman CYR" w:cs="Times New Roman CYR"/>
          <w:color w:val="000000"/>
          <w:sz w:val="28"/>
          <w:szCs w:val="28"/>
          <w:lang w:eastAsia="bg-BG"/>
        </w:rPr>
        <w:t xml:space="preserve"> на разследване. </w:t>
      </w:r>
    </w:p>
    <w:p w14:paraId="1C462A94" w14:textId="77777777" w:rsidR="00A42673" w:rsidRPr="00A42673" w:rsidRDefault="00A42673" w:rsidP="00A42673">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w:eastAsia="Times New Roman" w:hAnsi="Times New Roman" w:cs="Times New Roman"/>
          <w:b/>
          <w:bCs/>
          <w:i/>
          <w:iCs/>
          <w:color w:val="000000"/>
          <w:sz w:val="28"/>
          <w:szCs w:val="28"/>
          <w:lang w:eastAsia="bg-BG"/>
        </w:rPr>
        <w:t xml:space="preserve">2.6. </w:t>
      </w:r>
      <w:r w:rsidRPr="00A42673">
        <w:rPr>
          <w:rFonts w:ascii="Times New Roman CYR" w:eastAsia="Times New Roman" w:hAnsi="Times New Roman CYR" w:cs="Times New Roman CYR"/>
          <w:b/>
          <w:bCs/>
          <w:i/>
          <w:iCs/>
          <w:color w:val="000000"/>
          <w:sz w:val="28"/>
          <w:szCs w:val="28"/>
          <w:lang w:eastAsia="bg-BG"/>
        </w:rPr>
        <w:t xml:space="preserve">Подобряване на комуникацията </w:t>
      </w:r>
      <w:r w:rsidRPr="00A42673">
        <w:rPr>
          <w:rFonts w:ascii="Times New Roman CYR" w:eastAsia="Times New Roman" w:hAnsi="Times New Roman CYR" w:cs="Times New Roman CYR"/>
          <w:color w:val="000000"/>
          <w:sz w:val="28"/>
          <w:szCs w:val="28"/>
          <w:lang w:eastAsia="bg-BG"/>
        </w:rPr>
        <w:t>между прокуратурата и контролните органи с цел по - ефективно взаимодействие с разследващите и контролните органи, както и с КПКОНПИ за постигане на резултати при</w:t>
      </w:r>
      <w:r w:rsidRPr="00A42673">
        <w:rPr>
          <w:rFonts w:ascii="Times New Roman CYR" w:eastAsia="Times New Roman" w:hAnsi="Times New Roman CYR" w:cs="Times New Roman CYR"/>
          <w:sz w:val="28"/>
          <w:szCs w:val="28"/>
          <w:lang w:eastAsia="bg-BG"/>
        </w:rPr>
        <w:t xml:space="preserve"> изземването на имущества, придобити от престъпна дейност.</w:t>
      </w:r>
    </w:p>
    <w:p w14:paraId="4ADC238A" w14:textId="77777777" w:rsidR="00A42673" w:rsidRPr="00A42673" w:rsidRDefault="00A42673" w:rsidP="00A42673">
      <w:pPr>
        <w:autoSpaceDE w:val="0"/>
        <w:autoSpaceDN w:val="0"/>
        <w:adjustRightInd w:val="0"/>
        <w:spacing w:after="0" w:line="240" w:lineRule="auto"/>
        <w:ind w:firstLine="709"/>
        <w:jc w:val="both"/>
        <w:rPr>
          <w:rFonts w:ascii="Times New Roman CYR" w:eastAsia="Times New Roman" w:hAnsi="Times New Roman CYR" w:cs="Times New Roman CYR"/>
          <w:position w:val="8"/>
          <w:sz w:val="28"/>
          <w:szCs w:val="28"/>
          <w:lang w:eastAsia="bg-BG"/>
        </w:rPr>
      </w:pPr>
      <w:r w:rsidRPr="00A42673">
        <w:rPr>
          <w:rFonts w:ascii="Times New Roman" w:eastAsia="Times New Roman" w:hAnsi="Times New Roman" w:cs="Times New Roman"/>
          <w:b/>
          <w:bCs/>
          <w:i/>
          <w:iCs/>
          <w:position w:val="8"/>
          <w:sz w:val="28"/>
          <w:szCs w:val="28"/>
          <w:lang w:eastAsia="bg-BG"/>
        </w:rPr>
        <w:t xml:space="preserve">2.7. </w:t>
      </w:r>
      <w:r w:rsidRPr="00A42673">
        <w:rPr>
          <w:rFonts w:ascii="Times New Roman CYR" w:eastAsia="Times New Roman" w:hAnsi="Times New Roman CYR" w:cs="Times New Roman CYR"/>
          <w:b/>
          <w:bCs/>
          <w:i/>
          <w:iCs/>
          <w:position w:val="8"/>
          <w:sz w:val="28"/>
          <w:szCs w:val="28"/>
          <w:lang w:eastAsia="bg-BG"/>
        </w:rPr>
        <w:t>Съкращаване сроковете за разследване</w:t>
      </w:r>
      <w:r w:rsidRPr="00A42673">
        <w:rPr>
          <w:rFonts w:ascii="Times New Roman CYR" w:eastAsia="Times New Roman" w:hAnsi="Times New Roman CYR" w:cs="Times New Roman CYR"/>
          <w:position w:val="8"/>
          <w:sz w:val="28"/>
          <w:szCs w:val="28"/>
          <w:lang w:eastAsia="bg-BG"/>
        </w:rPr>
        <w:t xml:space="preserve">, по досъдебните производства с наложена мярка за неотклонение „задържане под стража”; с привлечени обвиняеми лица над сроковете по чл.368, ал.1 и чл.234, ал.8 от НПК и по досъдебни производства, включени в каталога на корупционните престъпления. За съжаление този приоритет остава да стои и за 2023 г., поради забавянето на разследвания, по които има назначени съдебно-медицински експертизи и възложени на съдебния лекар при МБАЛ-Монтана, като проблемът се задълбочава и по отношение на авто-техническите експертизи отново поради недостиг на експерти. </w:t>
      </w:r>
    </w:p>
    <w:p w14:paraId="7A4C52AD" w14:textId="77777777" w:rsidR="00A42673" w:rsidRPr="00A42673" w:rsidRDefault="00A42673" w:rsidP="00A42673">
      <w:pPr>
        <w:autoSpaceDE w:val="0"/>
        <w:autoSpaceDN w:val="0"/>
        <w:adjustRightInd w:val="0"/>
        <w:spacing w:after="0" w:line="240" w:lineRule="auto"/>
        <w:ind w:firstLine="709"/>
        <w:jc w:val="both"/>
        <w:rPr>
          <w:rFonts w:ascii="Times New Roman CYR" w:eastAsia="Times New Roman" w:hAnsi="Times New Roman CYR" w:cs="Times New Roman CYR"/>
          <w:b/>
          <w:bCs/>
          <w:position w:val="8"/>
          <w:sz w:val="28"/>
          <w:szCs w:val="28"/>
          <w:lang w:eastAsia="bg-BG"/>
        </w:rPr>
      </w:pPr>
      <w:r w:rsidRPr="00A42673">
        <w:rPr>
          <w:rFonts w:ascii="Times New Roman" w:eastAsia="Times New Roman" w:hAnsi="Times New Roman" w:cs="Times New Roman"/>
          <w:b/>
          <w:bCs/>
          <w:i/>
          <w:iCs/>
          <w:position w:val="8"/>
          <w:sz w:val="28"/>
          <w:szCs w:val="28"/>
          <w:lang w:eastAsia="bg-BG"/>
        </w:rPr>
        <w:t xml:space="preserve">2.8.  </w:t>
      </w:r>
      <w:r w:rsidRPr="00A42673">
        <w:rPr>
          <w:rFonts w:ascii="Times New Roman CYR" w:eastAsia="Times New Roman" w:hAnsi="Times New Roman CYR" w:cs="Times New Roman CYR"/>
          <w:b/>
          <w:bCs/>
          <w:i/>
          <w:iCs/>
          <w:position w:val="8"/>
          <w:sz w:val="28"/>
          <w:szCs w:val="28"/>
          <w:lang w:eastAsia="bg-BG"/>
        </w:rPr>
        <w:t>Дългосрочен приоритет</w:t>
      </w:r>
      <w:r w:rsidRPr="00A42673">
        <w:rPr>
          <w:rFonts w:ascii="Times New Roman CYR" w:eastAsia="Times New Roman" w:hAnsi="Times New Roman CYR" w:cs="Times New Roman CYR"/>
          <w:position w:val="8"/>
          <w:sz w:val="28"/>
          <w:szCs w:val="28"/>
          <w:lang w:eastAsia="bg-BG"/>
        </w:rPr>
        <w:t xml:space="preserve"> следва да бъде издигане на доверието на обществото към Прокуратурата. В тази насока е необходимо да продължи предприетата след отмяната на епидемичната обстановка в страната целенасочена дейност в различни направления – организиране на обучения на подрастващите, осъществяване на преки контакти с гражданите, изнесените по места приемни по места за прием на граждани  и други. Информиране обществото за дейността на прокуратурата чрез подобряване на медийната политика.</w:t>
      </w:r>
    </w:p>
    <w:p w14:paraId="5D0CA61D" w14:textId="77777777" w:rsidR="00A42673" w:rsidRPr="00A42673" w:rsidRDefault="00A42673" w:rsidP="00A42673">
      <w:pPr>
        <w:tabs>
          <w:tab w:val="left" w:pos="826"/>
        </w:tabs>
        <w:autoSpaceDE w:val="0"/>
        <w:autoSpaceDN w:val="0"/>
        <w:adjustRightInd w:val="0"/>
        <w:spacing w:after="0" w:line="240" w:lineRule="auto"/>
        <w:jc w:val="both"/>
        <w:rPr>
          <w:rFonts w:ascii="Times New Roman" w:eastAsia="Times New Roman" w:hAnsi="Times New Roman" w:cs="Times New Roman"/>
          <w:sz w:val="28"/>
          <w:szCs w:val="28"/>
          <w:lang w:eastAsia="bg-BG"/>
        </w:rPr>
      </w:pPr>
    </w:p>
    <w:p w14:paraId="494D9CB2" w14:textId="77777777" w:rsidR="00A42673" w:rsidRPr="00A42673" w:rsidRDefault="00A42673" w:rsidP="00A42673">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sidRPr="00A42673">
        <w:rPr>
          <w:rFonts w:ascii="Times New Roman" w:eastAsia="Times New Roman" w:hAnsi="Times New Roman" w:cs="Times New Roman"/>
          <w:b/>
          <w:bCs/>
          <w:sz w:val="28"/>
          <w:szCs w:val="28"/>
          <w:u w:val="single"/>
          <w:lang w:eastAsia="bg-BG"/>
        </w:rPr>
        <w:t xml:space="preserve">3. </w:t>
      </w:r>
      <w:r w:rsidRPr="00A42673">
        <w:rPr>
          <w:rFonts w:ascii="Times New Roman CYR" w:eastAsia="Times New Roman" w:hAnsi="Times New Roman CYR" w:cs="Times New Roman CYR"/>
          <w:b/>
          <w:bCs/>
          <w:sz w:val="28"/>
          <w:szCs w:val="28"/>
          <w:u w:val="single"/>
          <w:lang w:eastAsia="bg-BG"/>
        </w:rPr>
        <w:t>Поддържане и подобряване на материално-техническата основа</w:t>
      </w:r>
      <w:r w:rsidRPr="00A42673">
        <w:rPr>
          <w:rFonts w:ascii="Times New Roman CYR" w:eastAsia="Times New Roman" w:hAnsi="Times New Roman CYR" w:cs="Times New Roman CYR"/>
          <w:b/>
          <w:bCs/>
          <w:sz w:val="28"/>
          <w:szCs w:val="28"/>
          <w:lang w:eastAsia="bg-BG"/>
        </w:rPr>
        <w:t xml:space="preserve"> </w:t>
      </w:r>
      <w:r w:rsidRPr="00A42673">
        <w:rPr>
          <w:rFonts w:ascii="Times New Roman CYR" w:eastAsia="Times New Roman" w:hAnsi="Times New Roman CYR" w:cs="Times New Roman CYR"/>
          <w:sz w:val="28"/>
          <w:szCs w:val="28"/>
          <w:lang w:eastAsia="bg-BG"/>
        </w:rPr>
        <w:t xml:space="preserve">за обезпечаване и осигуряване на нормална работна среда на магистратите и служителите. Необходимо е да продължат усилията в тази насока с оглед извършеното обединяване на районните прокуратури в региона, като до голяма степен проблемите ще бъдат решени със завършването през 2023 г. на ремонта в на третия етаж в сградата на РП Монтана. Създаването на нормални условия на труд е пряко свързано с постигането на по – добри резултати в </w:t>
      </w:r>
      <w:r w:rsidRPr="00A42673">
        <w:rPr>
          <w:rFonts w:ascii="Times New Roman CYR" w:eastAsia="Times New Roman" w:hAnsi="Times New Roman CYR" w:cs="Times New Roman CYR"/>
          <w:sz w:val="28"/>
          <w:szCs w:val="28"/>
          <w:lang w:eastAsia="bg-BG"/>
        </w:rPr>
        <w:lastRenderedPageBreak/>
        <w:t xml:space="preserve">основната дейност на магистратите от региона във връзка с изпълнение на служебните им задължения. </w:t>
      </w:r>
    </w:p>
    <w:p w14:paraId="418143A9" w14:textId="77777777" w:rsidR="00A42673" w:rsidRPr="00A42673" w:rsidRDefault="00A42673" w:rsidP="00A42673">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p>
    <w:p w14:paraId="170D92EC" w14:textId="77777777" w:rsidR="00A42673" w:rsidRPr="00A42673" w:rsidRDefault="00A42673" w:rsidP="00A42673">
      <w:pPr>
        <w:autoSpaceDE w:val="0"/>
        <w:autoSpaceDN w:val="0"/>
        <w:adjustRightInd w:val="0"/>
        <w:spacing w:after="0" w:line="240" w:lineRule="auto"/>
        <w:ind w:firstLine="709"/>
        <w:jc w:val="both"/>
        <w:rPr>
          <w:rFonts w:ascii="Times New Roman CYR" w:eastAsia="Times New Roman" w:hAnsi="Times New Roman CYR" w:cs="Times New Roman CYR"/>
          <w:b/>
          <w:bCs/>
          <w:sz w:val="28"/>
          <w:szCs w:val="28"/>
          <w:lang w:eastAsia="bg-BG"/>
        </w:rPr>
      </w:pPr>
      <w:r w:rsidRPr="00A42673">
        <w:rPr>
          <w:rFonts w:ascii="Times New Roman CYR" w:eastAsia="Times New Roman" w:hAnsi="Times New Roman CYR" w:cs="Times New Roman CYR"/>
          <w:sz w:val="28"/>
          <w:szCs w:val="28"/>
          <w:lang w:eastAsia="bg-BG"/>
        </w:rPr>
        <w:t>Водещ принцип в дейността на магистратите в прокуратурите от региона и на разследващите органи е бил и следва да бъде върховенството на закона. Основен приоритет на всеки действащ магистрат е спазването на човешките права, на етичните правила, прозрачност и публичност на прокурорската дейност. Подобряването на комуникацията между прокуратурата и обществото с цел надграждане доверието на гражданите към Прокуратурата. В тази насока е необходима постоянна целенасочена дейност, с която да бъдат оправдани обществените очаквания към институцията и повишаване авторитета на прокуратурата като основен фактор в борбата с престъпността, защита на законността и обществения интерес.</w:t>
      </w:r>
      <w:r w:rsidRPr="00A42673">
        <w:rPr>
          <w:rFonts w:ascii="Times New Roman CYR" w:eastAsia="Times New Roman" w:hAnsi="Times New Roman CYR" w:cs="Times New Roman CYR"/>
          <w:b/>
          <w:bCs/>
          <w:sz w:val="28"/>
          <w:szCs w:val="28"/>
          <w:lang w:eastAsia="bg-BG"/>
        </w:rPr>
        <w:t xml:space="preserve"> </w:t>
      </w:r>
    </w:p>
    <w:p w14:paraId="7ECA2A1E" w14:textId="77777777" w:rsidR="00A42673" w:rsidRPr="00A42673" w:rsidRDefault="00A42673" w:rsidP="00A42673">
      <w:pPr>
        <w:spacing w:after="0" w:line="240" w:lineRule="auto"/>
        <w:ind w:left="4248"/>
        <w:rPr>
          <w:rFonts w:ascii="Times New Roman" w:eastAsia="Times New Roman" w:hAnsi="Times New Roman" w:cs="Times New Roman"/>
          <w:b/>
          <w:sz w:val="24"/>
          <w:szCs w:val="24"/>
          <w:lang w:eastAsia="bg-BG"/>
        </w:rPr>
      </w:pPr>
    </w:p>
    <w:p w14:paraId="2CBEBE8E" w14:textId="77777777" w:rsidR="00A42673" w:rsidRPr="00A42673" w:rsidRDefault="00A42673" w:rsidP="00A42673">
      <w:pPr>
        <w:spacing w:after="0" w:line="240" w:lineRule="auto"/>
        <w:ind w:left="4248"/>
        <w:rPr>
          <w:rFonts w:ascii="Times New Roman" w:eastAsia="Times New Roman" w:hAnsi="Times New Roman" w:cs="Times New Roman"/>
          <w:b/>
          <w:sz w:val="24"/>
          <w:szCs w:val="24"/>
          <w:lang w:eastAsia="bg-BG"/>
        </w:rPr>
      </w:pPr>
    </w:p>
    <w:p w14:paraId="2CA11897" w14:textId="77777777" w:rsidR="00A42673" w:rsidRPr="00A42673" w:rsidRDefault="00A42673" w:rsidP="00A42673">
      <w:pPr>
        <w:spacing w:after="0" w:line="240" w:lineRule="auto"/>
        <w:ind w:left="4248"/>
        <w:rPr>
          <w:rFonts w:ascii="Times New Roman" w:eastAsia="Times New Roman" w:hAnsi="Times New Roman" w:cs="Times New Roman"/>
          <w:b/>
          <w:sz w:val="24"/>
          <w:szCs w:val="24"/>
          <w:lang w:eastAsia="bg-BG"/>
        </w:rPr>
      </w:pPr>
    </w:p>
    <w:p w14:paraId="3B392BE0" w14:textId="77777777" w:rsidR="00A42673" w:rsidRPr="00A42673" w:rsidRDefault="00A42673" w:rsidP="00A42673">
      <w:pPr>
        <w:spacing w:after="0" w:line="240" w:lineRule="auto"/>
        <w:ind w:left="4248"/>
        <w:rPr>
          <w:rFonts w:ascii="Times New Roman" w:eastAsia="Times New Roman" w:hAnsi="Times New Roman" w:cs="Times New Roman"/>
          <w:b/>
          <w:sz w:val="24"/>
          <w:szCs w:val="24"/>
          <w:lang w:eastAsia="bg-BG"/>
        </w:rPr>
      </w:pPr>
      <w:r w:rsidRPr="00A42673">
        <w:rPr>
          <w:rFonts w:ascii="Times New Roman" w:eastAsia="Times New Roman" w:hAnsi="Times New Roman" w:cs="Times New Roman"/>
          <w:b/>
          <w:sz w:val="24"/>
          <w:szCs w:val="24"/>
          <w:lang w:eastAsia="bg-BG"/>
        </w:rPr>
        <w:t>АДМИНИСТРАТИВЕН РЪКОВОДИТЕЛ,</w:t>
      </w:r>
    </w:p>
    <w:p w14:paraId="1B55141B" w14:textId="77777777" w:rsidR="00A42673" w:rsidRPr="00A42673" w:rsidRDefault="00A42673" w:rsidP="00A42673">
      <w:pPr>
        <w:spacing w:after="0" w:line="240" w:lineRule="auto"/>
        <w:ind w:left="4248"/>
        <w:rPr>
          <w:rFonts w:ascii="Times New Roman" w:eastAsia="Times New Roman" w:hAnsi="Times New Roman" w:cs="Times New Roman"/>
          <w:b/>
          <w:sz w:val="24"/>
          <w:szCs w:val="24"/>
          <w:lang w:eastAsia="bg-BG"/>
        </w:rPr>
      </w:pPr>
    </w:p>
    <w:p w14:paraId="29F12095" w14:textId="77777777" w:rsidR="00A42673" w:rsidRPr="00A42673" w:rsidRDefault="00A42673" w:rsidP="00A42673">
      <w:pPr>
        <w:spacing w:after="0" w:line="240" w:lineRule="auto"/>
        <w:ind w:left="4248"/>
        <w:rPr>
          <w:rFonts w:ascii="Times New Roman" w:eastAsia="Times New Roman" w:hAnsi="Times New Roman" w:cs="Times New Roman"/>
          <w:b/>
          <w:sz w:val="24"/>
          <w:szCs w:val="24"/>
          <w:lang w:eastAsia="bg-BG"/>
        </w:rPr>
      </w:pPr>
      <w:r w:rsidRPr="00A42673">
        <w:rPr>
          <w:rFonts w:ascii="Times New Roman" w:eastAsia="Times New Roman" w:hAnsi="Times New Roman" w:cs="Times New Roman"/>
          <w:b/>
          <w:sz w:val="24"/>
          <w:szCs w:val="24"/>
          <w:lang w:eastAsia="bg-BG"/>
        </w:rPr>
        <w:t>ОКРЪЖЕН ПРОКУРОР:</w:t>
      </w:r>
    </w:p>
    <w:p w14:paraId="227BC6A1" w14:textId="77777777" w:rsidR="00A42673" w:rsidRPr="00A42673" w:rsidRDefault="00A42673" w:rsidP="00A42673">
      <w:pPr>
        <w:spacing w:after="0" w:line="240" w:lineRule="auto"/>
        <w:ind w:left="4248"/>
        <w:rPr>
          <w:rFonts w:ascii="Times New Roman" w:eastAsia="Times New Roman" w:hAnsi="Times New Roman" w:cs="Times New Roman"/>
          <w:b/>
          <w:sz w:val="24"/>
          <w:szCs w:val="24"/>
          <w:lang w:eastAsia="bg-BG"/>
        </w:rPr>
      </w:pPr>
    </w:p>
    <w:p w14:paraId="017FC172" w14:textId="77777777" w:rsidR="00A42673" w:rsidRPr="00A42673" w:rsidRDefault="00A42673" w:rsidP="00A42673">
      <w:pPr>
        <w:ind w:left="6372" w:firstLine="708"/>
        <w:rPr>
          <w:rFonts w:ascii="Times New Roman" w:eastAsia="Times New Roman" w:hAnsi="Times New Roman" w:cs="Times New Roman"/>
          <w:b/>
          <w:sz w:val="24"/>
          <w:szCs w:val="24"/>
          <w:lang w:val="en-US" w:eastAsia="bg-BG"/>
        </w:rPr>
      </w:pPr>
      <w:r w:rsidRPr="00A42673">
        <w:rPr>
          <w:rFonts w:ascii="Times New Roman" w:eastAsia="Times New Roman" w:hAnsi="Times New Roman" w:cs="Times New Roman"/>
          <w:b/>
          <w:sz w:val="24"/>
          <w:szCs w:val="24"/>
          <w:lang w:eastAsia="bg-BG"/>
        </w:rPr>
        <w:t>/Р.ПЕТКОВ/</w:t>
      </w:r>
    </w:p>
    <w:p w14:paraId="1A08CC57" w14:textId="77777777" w:rsidR="00A22A80" w:rsidRPr="00E55BE1" w:rsidRDefault="00A22A80" w:rsidP="00A22A80">
      <w:pPr>
        <w:ind w:left="5664" w:firstLine="708"/>
        <w:rPr>
          <w:rFonts w:ascii="Calibri" w:eastAsia="Calibri" w:hAnsi="Calibri" w:cs="Times New Roman"/>
          <w:lang w:val="en-US"/>
        </w:rPr>
      </w:pPr>
    </w:p>
    <w:p w14:paraId="5E93ED89" w14:textId="48913EBB" w:rsidR="00A22A80" w:rsidRPr="00F32687" w:rsidRDefault="00A22A80" w:rsidP="00A22A80">
      <w:pPr>
        <w:rPr>
          <w:rStyle w:val="a7"/>
          <w:rFonts w:ascii="Times New Roman" w:hAnsi="Times New Roman" w:cs="Times New Roman"/>
          <w:b w:val="0"/>
          <w:caps w:val="0"/>
          <w:sz w:val="28"/>
          <w:szCs w:val="28"/>
        </w:rPr>
      </w:pPr>
    </w:p>
    <w:sectPr w:rsidR="00A22A80" w:rsidRPr="00F32687" w:rsidSect="00E3018B">
      <w:footerReference w:type="default" r:id="rId14"/>
      <w:pgSz w:w="11906" w:h="16838"/>
      <w:pgMar w:top="1133" w:right="1133" w:bottom="709" w:left="1276"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38B6B" w14:textId="77777777" w:rsidR="00E3018B" w:rsidRDefault="00E3018B" w:rsidP="00897C29">
      <w:pPr>
        <w:spacing w:after="0" w:line="240" w:lineRule="auto"/>
      </w:pPr>
      <w:r>
        <w:separator/>
      </w:r>
    </w:p>
  </w:endnote>
  <w:endnote w:type="continuationSeparator" w:id="0">
    <w:p w14:paraId="46E7210F" w14:textId="77777777" w:rsidR="00E3018B" w:rsidRDefault="00E3018B" w:rsidP="00897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704171"/>
      <w:docPartObj>
        <w:docPartGallery w:val="Page Numbers (Bottom of Page)"/>
        <w:docPartUnique/>
      </w:docPartObj>
    </w:sdtPr>
    <w:sdtContent>
      <w:p w14:paraId="50D4A513" w14:textId="57231E42" w:rsidR="00E3018B" w:rsidRDefault="00E3018B">
        <w:pPr>
          <w:pStyle w:val="ae"/>
          <w:jc w:val="right"/>
        </w:pPr>
        <w:r>
          <w:fldChar w:fldCharType="begin"/>
        </w:r>
        <w:r>
          <w:instrText>PAGE   \* MERGEFORMAT</w:instrText>
        </w:r>
        <w:r>
          <w:fldChar w:fldCharType="separate"/>
        </w:r>
        <w:r w:rsidR="00594361" w:rsidRPr="00594361">
          <w:rPr>
            <w:noProof/>
            <w:lang w:val="bg-BG"/>
          </w:rPr>
          <w:t>4</w:t>
        </w:r>
        <w:r>
          <w:fldChar w:fldCharType="end"/>
        </w:r>
      </w:p>
    </w:sdtContent>
  </w:sdt>
  <w:p w14:paraId="6A15626A" w14:textId="77777777" w:rsidR="00E3018B" w:rsidRDefault="00E3018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1217C" w14:textId="77777777" w:rsidR="00E3018B" w:rsidRDefault="00E3018B" w:rsidP="00897C29">
      <w:pPr>
        <w:spacing w:after="0" w:line="240" w:lineRule="auto"/>
      </w:pPr>
      <w:r>
        <w:separator/>
      </w:r>
    </w:p>
  </w:footnote>
  <w:footnote w:type="continuationSeparator" w:id="0">
    <w:p w14:paraId="4FA02308" w14:textId="77777777" w:rsidR="00E3018B" w:rsidRDefault="00E3018B" w:rsidP="00897C29">
      <w:pPr>
        <w:spacing w:after="0" w:line="240" w:lineRule="auto"/>
      </w:pPr>
      <w:r>
        <w:continuationSeparator/>
      </w:r>
    </w:p>
  </w:footnote>
  <w:footnote w:id="1">
    <w:p w14:paraId="1406EA70" w14:textId="77777777" w:rsidR="00E3018B" w:rsidRDefault="00E3018B" w:rsidP="00E903FC">
      <w:pPr>
        <w:pStyle w:val="a4"/>
        <w:jc w:val="both"/>
      </w:pPr>
      <w:r>
        <w:rPr>
          <w:rStyle w:val="a3"/>
          <w:szCs w:val="20"/>
        </w:rPr>
        <w:footnoteRef/>
      </w:r>
      <w:r>
        <w:rPr>
          <w:sz w:val="20"/>
          <w:szCs w:val="20"/>
        </w:rPr>
        <w:t xml:space="preserve"> </w:t>
      </w:r>
      <w:r>
        <w:rPr>
          <w:sz w:val="20"/>
          <w:szCs w:val="20"/>
          <w:lang w:val="bg-BG" w:eastAsia="bg-BG"/>
        </w:rPr>
        <w:t>Резултатността е изведена в Приложение № 1.</w:t>
      </w:r>
    </w:p>
  </w:footnote>
  <w:footnote w:id="2">
    <w:p w14:paraId="0376A851" w14:textId="77777777" w:rsidR="00E3018B" w:rsidRDefault="00E3018B" w:rsidP="0023213C">
      <w:pPr>
        <w:pStyle w:val="aa"/>
      </w:pPr>
      <w:r w:rsidRPr="00042980">
        <w:rPr>
          <w:vertAlign w:val="superscript"/>
        </w:rPr>
        <w:t xml:space="preserve">3 </w:t>
      </w:r>
      <w:r w:rsidRPr="00F91385">
        <w:rPr>
          <w:lang w:val="bg-BG"/>
        </w:rPr>
        <w:t xml:space="preserve">Подробни данни и анализ на всяко едно от върнатите от съда дела са </w:t>
      </w:r>
      <w:r>
        <w:rPr>
          <w:lang w:val="bg-BG"/>
        </w:rPr>
        <w:t>изложени</w:t>
      </w:r>
      <w:r w:rsidRPr="00F91385">
        <w:rPr>
          <w:lang w:val="bg-BG"/>
        </w:rPr>
        <w:t xml:space="preserve"> в Приложение № 3 </w:t>
      </w:r>
    </w:p>
  </w:footnote>
  <w:footnote w:id="3">
    <w:p w14:paraId="7A23EEC8" w14:textId="77777777" w:rsidR="00E3018B" w:rsidRPr="00042980" w:rsidRDefault="00E3018B" w:rsidP="0023213C">
      <w:pPr>
        <w:pStyle w:val="aa"/>
      </w:pPr>
      <w:r w:rsidRPr="00042980">
        <w:rPr>
          <w:rStyle w:val="a3"/>
        </w:rPr>
        <w:footnoteRef/>
      </w:r>
      <w:r w:rsidRPr="00042980">
        <w:t xml:space="preserve"> </w:t>
      </w:r>
      <w:r w:rsidRPr="00042980">
        <w:rPr>
          <w:lang w:val="bg-BG"/>
        </w:rPr>
        <w:t>Подробни данни и анализ на всеки един от оправдателните съдебни актове са дадени в Приложение №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9D3"/>
    <w:multiLevelType w:val="hybridMultilevel"/>
    <w:tmpl w:val="C1F2067A"/>
    <w:lvl w:ilvl="0" w:tplc="F3DCF32E">
      <w:start w:val="3"/>
      <w:numFmt w:val="bullet"/>
      <w:lvlText w:val="-"/>
      <w:lvlJc w:val="left"/>
      <w:pPr>
        <w:ind w:left="1080" w:hanging="360"/>
      </w:pPr>
      <w:rPr>
        <w:rFonts w:ascii="Times New Roman" w:eastAsia="Times New Roman" w:hAnsi="Times New Roman" w:hint="default"/>
        <w:color w:val="auto"/>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1">
    <w:nsid w:val="00E91AB5"/>
    <w:multiLevelType w:val="hybridMultilevel"/>
    <w:tmpl w:val="7666BA1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01B1034D"/>
    <w:multiLevelType w:val="hybridMultilevel"/>
    <w:tmpl w:val="E1E22534"/>
    <w:lvl w:ilvl="0" w:tplc="AF48CD20">
      <w:numFmt w:val="bullet"/>
      <w:lvlText w:val="-"/>
      <w:lvlJc w:val="left"/>
      <w:pPr>
        <w:ind w:left="927" w:hanging="360"/>
      </w:pPr>
      <w:rPr>
        <w:rFonts w:ascii="Times New Roman" w:eastAsia="Times New Roman" w:hAnsi="Times New Roman" w:cs="Times New Roman" w:hint="default"/>
      </w:rPr>
    </w:lvl>
    <w:lvl w:ilvl="1" w:tplc="04020003">
      <w:start w:val="1"/>
      <w:numFmt w:val="bullet"/>
      <w:lvlText w:val="o"/>
      <w:lvlJc w:val="left"/>
      <w:pPr>
        <w:ind w:left="1647" w:hanging="360"/>
      </w:pPr>
      <w:rPr>
        <w:rFonts w:ascii="Courier New" w:hAnsi="Courier New" w:cs="Courier New" w:hint="default"/>
      </w:rPr>
    </w:lvl>
    <w:lvl w:ilvl="2" w:tplc="04020005">
      <w:start w:val="1"/>
      <w:numFmt w:val="bullet"/>
      <w:lvlText w:val=""/>
      <w:lvlJc w:val="left"/>
      <w:pPr>
        <w:ind w:left="2367" w:hanging="360"/>
      </w:pPr>
      <w:rPr>
        <w:rFonts w:ascii="Wingdings" w:hAnsi="Wingdings" w:hint="default"/>
      </w:rPr>
    </w:lvl>
    <w:lvl w:ilvl="3" w:tplc="04020001">
      <w:start w:val="1"/>
      <w:numFmt w:val="bullet"/>
      <w:lvlText w:val=""/>
      <w:lvlJc w:val="left"/>
      <w:pPr>
        <w:ind w:left="3087" w:hanging="360"/>
      </w:pPr>
      <w:rPr>
        <w:rFonts w:ascii="Symbol" w:hAnsi="Symbol" w:hint="default"/>
      </w:rPr>
    </w:lvl>
    <w:lvl w:ilvl="4" w:tplc="04020003">
      <w:start w:val="1"/>
      <w:numFmt w:val="bullet"/>
      <w:lvlText w:val="o"/>
      <w:lvlJc w:val="left"/>
      <w:pPr>
        <w:ind w:left="3807" w:hanging="360"/>
      </w:pPr>
      <w:rPr>
        <w:rFonts w:ascii="Courier New" w:hAnsi="Courier New" w:cs="Courier New" w:hint="default"/>
      </w:rPr>
    </w:lvl>
    <w:lvl w:ilvl="5" w:tplc="04020005">
      <w:start w:val="1"/>
      <w:numFmt w:val="bullet"/>
      <w:lvlText w:val=""/>
      <w:lvlJc w:val="left"/>
      <w:pPr>
        <w:ind w:left="4527" w:hanging="360"/>
      </w:pPr>
      <w:rPr>
        <w:rFonts w:ascii="Wingdings" w:hAnsi="Wingdings" w:hint="default"/>
      </w:rPr>
    </w:lvl>
    <w:lvl w:ilvl="6" w:tplc="04020001">
      <w:start w:val="1"/>
      <w:numFmt w:val="bullet"/>
      <w:lvlText w:val=""/>
      <w:lvlJc w:val="left"/>
      <w:pPr>
        <w:ind w:left="5247" w:hanging="360"/>
      </w:pPr>
      <w:rPr>
        <w:rFonts w:ascii="Symbol" w:hAnsi="Symbol" w:hint="default"/>
      </w:rPr>
    </w:lvl>
    <w:lvl w:ilvl="7" w:tplc="04020003">
      <w:start w:val="1"/>
      <w:numFmt w:val="bullet"/>
      <w:lvlText w:val="o"/>
      <w:lvlJc w:val="left"/>
      <w:pPr>
        <w:ind w:left="5967" w:hanging="360"/>
      </w:pPr>
      <w:rPr>
        <w:rFonts w:ascii="Courier New" w:hAnsi="Courier New" w:cs="Courier New" w:hint="default"/>
      </w:rPr>
    </w:lvl>
    <w:lvl w:ilvl="8" w:tplc="04020005">
      <w:start w:val="1"/>
      <w:numFmt w:val="bullet"/>
      <w:lvlText w:val=""/>
      <w:lvlJc w:val="left"/>
      <w:pPr>
        <w:ind w:left="6687" w:hanging="360"/>
      </w:pPr>
      <w:rPr>
        <w:rFonts w:ascii="Wingdings" w:hAnsi="Wingdings" w:hint="default"/>
      </w:rPr>
    </w:lvl>
  </w:abstractNum>
  <w:abstractNum w:abstractNumId="3">
    <w:nsid w:val="03BA1A9C"/>
    <w:multiLevelType w:val="hybridMultilevel"/>
    <w:tmpl w:val="82BC0980"/>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4">
    <w:nsid w:val="06423946"/>
    <w:multiLevelType w:val="hybridMultilevel"/>
    <w:tmpl w:val="9F0871BE"/>
    <w:lvl w:ilvl="0" w:tplc="226CE8D4">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5">
    <w:nsid w:val="0F8C1A18"/>
    <w:multiLevelType w:val="hybridMultilevel"/>
    <w:tmpl w:val="813EAA70"/>
    <w:lvl w:ilvl="0" w:tplc="04020001">
      <w:start w:val="1"/>
      <w:numFmt w:val="bullet"/>
      <w:lvlText w:val=""/>
      <w:lvlJc w:val="left"/>
      <w:pPr>
        <w:ind w:left="2138" w:hanging="360"/>
      </w:pPr>
      <w:rPr>
        <w:rFonts w:ascii="Symbol" w:hAnsi="Symbol" w:hint="default"/>
      </w:rPr>
    </w:lvl>
    <w:lvl w:ilvl="1" w:tplc="04020003">
      <w:start w:val="1"/>
      <w:numFmt w:val="bullet"/>
      <w:lvlText w:val="o"/>
      <w:lvlJc w:val="left"/>
      <w:pPr>
        <w:ind w:left="2858" w:hanging="360"/>
      </w:pPr>
      <w:rPr>
        <w:rFonts w:ascii="Courier New" w:hAnsi="Courier New" w:cs="Courier New" w:hint="default"/>
      </w:rPr>
    </w:lvl>
    <w:lvl w:ilvl="2" w:tplc="04020005">
      <w:start w:val="1"/>
      <w:numFmt w:val="bullet"/>
      <w:lvlText w:val=""/>
      <w:lvlJc w:val="left"/>
      <w:pPr>
        <w:ind w:left="3578" w:hanging="360"/>
      </w:pPr>
      <w:rPr>
        <w:rFonts w:ascii="Wingdings" w:hAnsi="Wingdings" w:hint="default"/>
      </w:rPr>
    </w:lvl>
    <w:lvl w:ilvl="3" w:tplc="04020001">
      <w:start w:val="1"/>
      <w:numFmt w:val="bullet"/>
      <w:lvlText w:val=""/>
      <w:lvlJc w:val="left"/>
      <w:pPr>
        <w:ind w:left="4298" w:hanging="360"/>
      </w:pPr>
      <w:rPr>
        <w:rFonts w:ascii="Symbol" w:hAnsi="Symbol" w:hint="default"/>
      </w:rPr>
    </w:lvl>
    <w:lvl w:ilvl="4" w:tplc="04020003">
      <w:start w:val="1"/>
      <w:numFmt w:val="bullet"/>
      <w:lvlText w:val="o"/>
      <w:lvlJc w:val="left"/>
      <w:pPr>
        <w:ind w:left="5018" w:hanging="360"/>
      </w:pPr>
      <w:rPr>
        <w:rFonts w:ascii="Courier New" w:hAnsi="Courier New" w:cs="Courier New" w:hint="default"/>
      </w:rPr>
    </w:lvl>
    <w:lvl w:ilvl="5" w:tplc="04020005">
      <w:start w:val="1"/>
      <w:numFmt w:val="bullet"/>
      <w:lvlText w:val=""/>
      <w:lvlJc w:val="left"/>
      <w:pPr>
        <w:ind w:left="5738" w:hanging="360"/>
      </w:pPr>
      <w:rPr>
        <w:rFonts w:ascii="Wingdings" w:hAnsi="Wingdings" w:hint="default"/>
      </w:rPr>
    </w:lvl>
    <w:lvl w:ilvl="6" w:tplc="04020001">
      <w:start w:val="1"/>
      <w:numFmt w:val="bullet"/>
      <w:lvlText w:val=""/>
      <w:lvlJc w:val="left"/>
      <w:pPr>
        <w:ind w:left="6458" w:hanging="360"/>
      </w:pPr>
      <w:rPr>
        <w:rFonts w:ascii="Symbol" w:hAnsi="Symbol" w:hint="default"/>
      </w:rPr>
    </w:lvl>
    <w:lvl w:ilvl="7" w:tplc="04020003">
      <w:start w:val="1"/>
      <w:numFmt w:val="bullet"/>
      <w:lvlText w:val="o"/>
      <w:lvlJc w:val="left"/>
      <w:pPr>
        <w:ind w:left="7178" w:hanging="360"/>
      </w:pPr>
      <w:rPr>
        <w:rFonts w:ascii="Courier New" w:hAnsi="Courier New" w:cs="Courier New" w:hint="default"/>
      </w:rPr>
    </w:lvl>
    <w:lvl w:ilvl="8" w:tplc="04020005">
      <w:start w:val="1"/>
      <w:numFmt w:val="bullet"/>
      <w:lvlText w:val=""/>
      <w:lvlJc w:val="left"/>
      <w:pPr>
        <w:ind w:left="7898" w:hanging="360"/>
      </w:pPr>
      <w:rPr>
        <w:rFonts w:ascii="Wingdings" w:hAnsi="Wingdings" w:hint="default"/>
      </w:rPr>
    </w:lvl>
  </w:abstractNum>
  <w:abstractNum w:abstractNumId="6">
    <w:nsid w:val="0FD502A3"/>
    <w:multiLevelType w:val="hybridMultilevel"/>
    <w:tmpl w:val="AEBCE488"/>
    <w:lvl w:ilvl="0" w:tplc="37C4B258">
      <w:start w:val="1"/>
      <w:numFmt w:val="bullet"/>
      <w:lvlText w:val="-"/>
      <w:lvlJc w:val="left"/>
      <w:pPr>
        <w:ind w:left="1571" w:hanging="360"/>
      </w:pPr>
      <w:rPr>
        <w:rFonts w:ascii="Times New Roman" w:eastAsia="Times New Roman" w:hAnsi="Times New Roman" w:hint="default"/>
      </w:rPr>
    </w:lvl>
    <w:lvl w:ilvl="1" w:tplc="04020003" w:tentative="1">
      <w:start w:val="1"/>
      <w:numFmt w:val="bullet"/>
      <w:lvlText w:val="o"/>
      <w:lvlJc w:val="left"/>
      <w:pPr>
        <w:ind w:left="2291" w:hanging="360"/>
      </w:pPr>
      <w:rPr>
        <w:rFonts w:ascii="Courier New" w:hAnsi="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7">
    <w:nsid w:val="11FE67DB"/>
    <w:multiLevelType w:val="hybridMultilevel"/>
    <w:tmpl w:val="FC062AE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15AA46C9"/>
    <w:multiLevelType w:val="hybridMultilevel"/>
    <w:tmpl w:val="C622954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19812FC5"/>
    <w:multiLevelType w:val="multilevel"/>
    <w:tmpl w:val="AA50352A"/>
    <w:lvl w:ilvl="0">
      <w:start w:val="5"/>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1A963265"/>
    <w:multiLevelType w:val="multilevel"/>
    <w:tmpl w:val="28908AD2"/>
    <w:lvl w:ilvl="0">
      <w:start w:val="5"/>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nsid w:val="28CA16A2"/>
    <w:multiLevelType w:val="hybridMultilevel"/>
    <w:tmpl w:val="73D89FCE"/>
    <w:lvl w:ilvl="0" w:tplc="D64CE2F6">
      <w:start w:val="9"/>
      <w:numFmt w:val="bullet"/>
      <w:lvlText w:val="-"/>
      <w:lvlJc w:val="left"/>
      <w:pPr>
        <w:ind w:left="1129" w:hanging="360"/>
      </w:pPr>
      <w:rPr>
        <w:rFonts w:ascii="Times New Roman" w:eastAsia="Times New Roman" w:hAnsi="Times New Roman" w:cs="Times New Roman" w:hint="default"/>
      </w:rPr>
    </w:lvl>
    <w:lvl w:ilvl="1" w:tplc="04020003">
      <w:start w:val="1"/>
      <w:numFmt w:val="bullet"/>
      <w:lvlText w:val="o"/>
      <w:lvlJc w:val="left"/>
      <w:pPr>
        <w:ind w:left="1849" w:hanging="360"/>
      </w:pPr>
      <w:rPr>
        <w:rFonts w:ascii="Courier New" w:hAnsi="Courier New" w:cs="Courier New" w:hint="default"/>
      </w:rPr>
    </w:lvl>
    <w:lvl w:ilvl="2" w:tplc="04020005">
      <w:start w:val="1"/>
      <w:numFmt w:val="bullet"/>
      <w:lvlText w:val=""/>
      <w:lvlJc w:val="left"/>
      <w:pPr>
        <w:ind w:left="2569" w:hanging="360"/>
      </w:pPr>
      <w:rPr>
        <w:rFonts w:ascii="Wingdings" w:hAnsi="Wingdings" w:hint="default"/>
      </w:rPr>
    </w:lvl>
    <w:lvl w:ilvl="3" w:tplc="04020001">
      <w:start w:val="1"/>
      <w:numFmt w:val="bullet"/>
      <w:lvlText w:val=""/>
      <w:lvlJc w:val="left"/>
      <w:pPr>
        <w:ind w:left="3289" w:hanging="360"/>
      </w:pPr>
      <w:rPr>
        <w:rFonts w:ascii="Symbol" w:hAnsi="Symbol" w:hint="default"/>
      </w:rPr>
    </w:lvl>
    <w:lvl w:ilvl="4" w:tplc="04020003">
      <w:start w:val="1"/>
      <w:numFmt w:val="bullet"/>
      <w:lvlText w:val="o"/>
      <w:lvlJc w:val="left"/>
      <w:pPr>
        <w:ind w:left="4009" w:hanging="360"/>
      </w:pPr>
      <w:rPr>
        <w:rFonts w:ascii="Courier New" w:hAnsi="Courier New" w:cs="Courier New" w:hint="default"/>
      </w:rPr>
    </w:lvl>
    <w:lvl w:ilvl="5" w:tplc="04020005">
      <w:start w:val="1"/>
      <w:numFmt w:val="bullet"/>
      <w:lvlText w:val=""/>
      <w:lvlJc w:val="left"/>
      <w:pPr>
        <w:ind w:left="4729" w:hanging="360"/>
      </w:pPr>
      <w:rPr>
        <w:rFonts w:ascii="Wingdings" w:hAnsi="Wingdings" w:hint="default"/>
      </w:rPr>
    </w:lvl>
    <w:lvl w:ilvl="6" w:tplc="04020001">
      <w:start w:val="1"/>
      <w:numFmt w:val="bullet"/>
      <w:lvlText w:val=""/>
      <w:lvlJc w:val="left"/>
      <w:pPr>
        <w:ind w:left="5449" w:hanging="360"/>
      </w:pPr>
      <w:rPr>
        <w:rFonts w:ascii="Symbol" w:hAnsi="Symbol" w:hint="default"/>
      </w:rPr>
    </w:lvl>
    <w:lvl w:ilvl="7" w:tplc="04020003">
      <w:start w:val="1"/>
      <w:numFmt w:val="bullet"/>
      <w:lvlText w:val="o"/>
      <w:lvlJc w:val="left"/>
      <w:pPr>
        <w:ind w:left="6169" w:hanging="360"/>
      </w:pPr>
      <w:rPr>
        <w:rFonts w:ascii="Courier New" w:hAnsi="Courier New" w:cs="Courier New" w:hint="default"/>
      </w:rPr>
    </w:lvl>
    <w:lvl w:ilvl="8" w:tplc="04020005">
      <w:start w:val="1"/>
      <w:numFmt w:val="bullet"/>
      <w:lvlText w:val=""/>
      <w:lvlJc w:val="left"/>
      <w:pPr>
        <w:ind w:left="6889" w:hanging="360"/>
      </w:pPr>
      <w:rPr>
        <w:rFonts w:ascii="Wingdings" w:hAnsi="Wingdings" w:hint="default"/>
      </w:rPr>
    </w:lvl>
  </w:abstractNum>
  <w:abstractNum w:abstractNumId="12">
    <w:nsid w:val="2AEE3A03"/>
    <w:multiLevelType w:val="hybridMultilevel"/>
    <w:tmpl w:val="96362222"/>
    <w:lvl w:ilvl="0" w:tplc="DC7E6B94">
      <w:start w:val="3"/>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nsid w:val="323977C5"/>
    <w:multiLevelType w:val="hybridMultilevel"/>
    <w:tmpl w:val="A9747246"/>
    <w:lvl w:ilvl="0" w:tplc="B9DE1952">
      <w:start w:val="3"/>
      <w:numFmt w:val="bullet"/>
      <w:lvlText w:val="-"/>
      <w:lvlJc w:val="left"/>
      <w:pPr>
        <w:ind w:left="1211" w:hanging="360"/>
      </w:pPr>
      <w:rPr>
        <w:rFonts w:ascii="Times New Roman" w:eastAsia="Times New Roman" w:hAnsi="Times New Roman" w:hint="default"/>
      </w:rPr>
    </w:lvl>
    <w:lvl w:ilvl="1" w:tplc="04020003" w:tentative="1">
      <w:start w:val="1"/>
      <w:numFmt w:val="bullet"/>
      <w:lvlText w:val="o"/>
      <w:lvlJc w:val="left"/>
      <w:pPr>
        <w:ind w:left="1931" w:hanging="360"/>
      </w:pPr>
      <w:rPr>
        <w:rFonts w:ascii="Courier New" w:hAnsi="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4">
    <w:nsid w:val="33684A22"/>
    <w:multiLevelType w:val="hybridMultilevel"/>
    <w:tmpl w:val="3C98E0DA"/>
    <w:lvl w:ilvl="0" w:tplc="B266609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63C58A6"/>
    <w:multiLevelType w:val="hybridMultilevel"/>
    <w:tmpl w:val="3502D53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3B846C04"/>
    <w:multiLevelType w:val="hybridMultilevel"/>
    <w:tmpl w:val="228243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E190F97"/>
    <w:multiLevelType w:val="hybridMultilevel"/>
    <w:tmpl w:val="9302272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4075182C"/>
    <w:multiLevelType w:val="hybridMultilevel"/>
    <w:tmpl w:val="7952D8C6"/>
    <w:lvl w:ilvl="0" w:tplc="5A04A1AA">
      <w:start w:val="1"/>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9">
    <w:nsid w:val="40926D0B"/>
    <w:multiLevelType w:val="hybridMultilevel"/>
    <w:tmpl w:val="68A4E5C2"/>
    <w:lvl w:ilvl="0" w:tplc="1142565C">
      <w:numFmt w:val="bullet"/>
      <w:lvlText w:val="-"/>
      <w:lvlJc w:val="left"/>
      <w:pPr>
        <w:ind w:left="1211" w:hanging="360"/>
      </w:pPr>
      <w:rPr>
        <w:rFonts w:ascii="Times New Roman" w:eastAsia="Calibri" w:hAnsi="Times New Roman" w:cs="Times New Roman" w:hint="default"/>
        <w:sz w:val="24"/>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20">
    <w:nsid w:val="48B34413"/>
    <w:multiLevelType w:val="hybridMultilevel"/>
    <w:tmpl w:val="35E60AD0"/>
    <w:lvl w:ilvl="0" w:tplc="BE008350">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1">
    <w:nsid w:val="4BF07BCB"/>
    <w:multiLevelType w:val="hybridMultilevel"/>
    <w:tmpl w:val="785CF708"/>
    <w:lvl w:ilvl="0" w:tplc="C082BF0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nsid w:val="4D2545B5"/>
    <w:multiLevelType w:val="hybridMultilevel"/>
    <w:tmpl w:val="7FCC3D76"/>
    <w:lvl w:ilvl="0" w:tplc="CD28F6E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56CF024E"/>
    <w:multiLevelType w:val="hybridMultilevel"/>
    <w:tmpl w:val="12B029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9A6542C"/>
    <w:multiLevelType w:val="hybridMultilevel"/>
    <w:tmpl w:val="029C63C6"/>
    <w:lvl w:ilvl="0" w:tplc="3E92CE54">
      <w:start w:val="1"/>
      <w:numFmt w:val="decimal"/>
      <w:lvlText w:val="%1."/>
      <w:lvlJc w:val="left"/>
      <w:pPr>
        <w:ind w:left="720" w:hanging="360"/>
      </w:pPr>
      <w:rPr>
        <w:rFonts w:cs="Times New Roman" w:hint="default"/>
        <w:i/>
        <w:sz w:val="28"/>
        <w:szCs w:val="28"/>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nsid w:val="73473940"/>
    <w:multiLevelType w:val="hybridMultilevel"/>
    <w:tmpl w:val="0452F834"/>
    <w:lvl w:ilvl="0" w:tplc="28E43DF8">
      <w:start w:val="1"/>
      <w:numFmt w:val="bullet"/>
      <w:lvlText w:val=""/>
      <w:lvlJc w:val="left"/>
      <w:pPr>
        <w:ind w:left="1429" w:hanging="360"/>
      </w:pPr>
      <w:rPr>
        <w:rFonts w:ascii="Symbol" w:hAnsi="Symbol" w:hint="default"/>
        <w:color w:val="auto"/>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6">
    <w:nsid w:val="75603103"/>
    <w:multiLevelType w:val="multilevel"/>
    <w:tmpl w:val="EDDA65C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573120A"/>
    <w:multiLevelType w:val="hybridMultilevel"/>
    <w:tmpl w:val="5B0A15E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8">
    <w:nsid w:val="77AF54C0"/>
    <w:multiLevelType w:val="hybridMultilevel"/>
    <w:tmpl w:val="6D3E6E54"/>
    <w:lvl w:ilvl="0" w:tplc="55CE47D0">
      <w:start w:val="3"/>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9">
    <w:nsid w:val="79F630F0"/>
    <w:multiLevelType w:val="hybridMultilevel"/>
    <w:tmpl w:val="1896875A"/>
    <w:lvl w:ilvl="0" w:tplc="04020001">
      <w:start w:val="1"/>
      <w:numFmt w:val="bullet"/>
      <w:lvlText w:val=""/>
      <w:lvlJc w:val="left"/>
      <w:pPr>
        <w:ind w:left="2141" w:hanging="360"/>
      </w:pPr>
      <w:rPr>
        <w:rFonts w:ascii="Symbol" w:hAnsi="Symbol" w:hint="default"/>
      </w:rPr>
    </w:lvl>
    <w:lvl w:ilvl="1" w:tplc="04020003">
      <w:start w:val="1"/>
      <w:numFmt w:val="bullet"/>
      <w:lvlText w:val="o"/>
      <w:lvlJc w:val="left"/>
      <w:pPr>
        <w:ind w:left="2861" w:hanging="360"/>
      </w:pPr>
      <w:rPr>
        <w:rFonts w:ascii="Courier New" w:hAnsi="Courier New" w:cs="Courier New" w:hint="default"/>
      </w:rPr>
    </w:lvl>
    <w:lvl w:ilvl="2" w:tplc="04020005">
      <w:start w:val="1"/>
      <w:numFmt w:val="bullet"/>
      <w:lvlText w:val=""/>
      <w:lvlJc w:val="left"/>
      <w:pPr>
        <w:ind w:left="3581" w:hanging="360"/>
      </w:pPr>
      <w:rPr>
        <w:rFonts w:ascii="Wingdings" w:hAnsi="Wingdings" w:hint="default"/>
      </w:rPr>
    </w:lvl>
    <w:lvl w:ilvl="3" w:tplc="04020001">
      <w:start w:val="1"/>
      <w:numFmt w:val="bullet"/>
      <w:lvlText w:val=""/>
      <w:lvlJc w:val="left"/>
      <w:pPr>
        <w:ind w:left="4301" w:hanging="360"/>
      </w:pPr>
      <w:rPr>
        <w:rFonts w:ascii="Symbol" w:hAnsi="Symbol" w:hint="default"/>
      </w:rPr>
    </w:lvl>
    <w:lvl w:ilvl="4" w:tplc="04020003">
      <w:start w:val="1"/>
      <w:numFmt w:val="bullet"/>
      <w:lvlText w:val="o"/>
      <w:lvlJc w:val="left"/>
      <w:pPr>
        <w:ind w:left="5021" w:hanging="360"/>
      </w:pPr>
      <w:rPr>
        <w:rFonts w:ascii="Courier New" w:hAnsi="Courier New" w:cs="Courier New" w:hint="default"/>
      </w:rPr>
    </w:lvl>
    <w:lvl w:ilvl="5" w:tplc="04020005">
      <w:start w:val="1"/>
      <w:numFmt w:val="bullet"/>
      <w:lvlText w:val=""/>
      <w:lvlJc w:val="left"/>
      <w:pPr>
        <w:ind w:left="5741" w:hanging="360"/>
      </w:pPr>
      <w:rPr>
        <w:rFonts w:ascii="Wingdings" w:hAnsi="Wingdings" w:hint="default"/>
      </w:rPr>
    </w:lvl>
    <w:lvl w:ilvl="6" w:tplc="04020001">
      <w:start w:val="1"/>
      <w:numFmt w:val="bullet"/>
      <w:lvlText w:val=""/>
      <w:lvlJc w:val="left"/>
      <w:pPr>
        <w:ind w:left="6461" w:hanging="360"/>
      </w:pPr>
      <w:rPr>
        <w:rFonts w:ascii="Symbol" w:hAnsi="Symbol" w:hint="default"/>
      </w:rPr>
    </w:lvl>
    <w:lvl w:ilvl="7" w:tplc="04020003">
      <w:start w:val="1"/>
      <w:numFmt w:val="bullet"/>
      <w:lvlText w:val="o"/>
      <w:lvlJc w:val="left"/>
      <w:pPr>
        <w:ind w:left="7181" w:hanging="360"/>
      </w:pPr>
      <w:rPr>
        <w:rFonts w:ascii="Courier New" w:hAnsi="Courier New" w:cs="Courier New" w:hint="default"/>
      </w:rPr>
    </w:lvl>
    <w:lvl w:ilvl="8" w:tplc="04020005">
      <w:start w:val="1"/>
      <w:numFmt w:val="bullet"/>
      <w:lvlText w:val=""/>
      <w:lvlJc w:val="left"/>
      <w:pPr>
        <w:ind w:left="7901" w:hanging="360"/>
      </w:pPr>
      <w:rPr>
        <w:rFonts w:ascii="Wingdings" w:hAnsi="Wingdings" w:hint="default"/>
      </w:rPr>
    </w:lvl>
  </w:abstractNum>
  <w:abstractNum w:abstractNumId="30">
    <w:nsid w:val="7E3177D4"/>
    <w:multiLevelType w:val="hybridMultilevel"/>
    <w:tmpl w:val="AE7090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EA72828"/>
    <w:multiLevelType w:val="hybridMultilevel"/>
    <w:tmpl w:val="A0E4EB5A"/>
    <w:lvl w:ilvl="0" w:tplc="26A86462">
      <w:start w:val="1"/>
      <w:numFmt w:val="bullet"/>
      <w:lvlText w:val="-"/>
      <w:lvlJc w:val="left"/>
      <w:pPr>
        <w:ind w:left="1069" w:hanging="360"/>
      </w:pPr>
      <w:rPr>
        <w:rFonts w:ascii="Times New Roman" w:eastAsia="Calibri" w:hAnsi="Times New Roman" w:cs="Times New Roman" w:hint="default"/>
        <w:b/>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num w:numId="1">
    <w:abstractNumId w:val="0"/>
  </w:num>
  <w:num w:numId="2">
    <w:abstractNumId w:val="10"/>
  </w:num>
  <w:num w:numId="3">
    <w:abstractNumId w:val="1"/>
  </w:num>
  <w:num w:numId="4">
    <w:abstractNumId w:val="12"/>
  </w:num>
  <w:num w:numId="5">
    <w:abstractNumId w:val="24"/>
  </w:num>
  <w:num w:numId="6">
    <w:abstractNumId w:val="19"/>
  </w:num>
  <w:num w:numId="7">
    <w:abstractNumId w:val="6"/>
  </w:num>
  <w:num w:numId="8">
    <w:abstractNumId w:val="13"/>
  </w:num>
  <w:num w:numId="9">
    <w:abstractNumId w:val="17"/>
  </w:num>
  <w:num w:numId="10">
    <w:abstractNumId w:val="27"/>
  </w:num>
  <w:num w:numId="11">
    <w:abstractNumId w:val="7"/>
  </w:num>
  <w:num w:numId="12">
    <w:abstractNumId w:val="8"/>
  </w:num>
  <w:num w:numId="13">
    <w:abstractNumId w:val="9"/>
  </w:num>
  <w:num w:numId="14">
    <w:abstractNumId w:val="2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1"/>
  </w:num>
  <w:num w:numId="18">
    <w:abstractNumId w:val="3"/>
  </w:num>
  <w:num w:numId="19">
    <w:abstractNumId w:val="18"/>
  </w:num>
  <w:num w:numId="20">
    <w:abstractNumId w:val="30"/>
  </w:num>
  <w:num w:numId="21">
    <w:abstractNumId w:val="25"/>
  </w:num>
  <w:num w:numId="22">
    <w:abstractNumId w:val="28"/>
  </w:num>
  <w:num w:numId="23">
    <w:abstractNumId w:val="13"/>
  </w:num>
  <w:num w:numId="24">
    <w:abstractNumId w:val="6"/>
  </w:num>
  <w:num w:numId="25">
    <w:abstractNumId w:val="17"/>
  </w:num>
  <w:num w:numId="26">
    <w:abstractNumId w:val="27"/>
  </w:num>
  <w:num w:numId="27">
    <w:abstractNumId w:val="7"/>
  </w:num>
  <w:num w:numId="28">
    <w:abstractNumId w:val="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5"/>
  </w:num>
  <w:num w:numId="32">
    <w:abstractNumId w:val="28"/>
  </w:num>
  <w:num w:numId="33">
    <w:abstractNumId w:val="22"/>
  </w:num>
  <w:num w:numId="34">
    <w:abstractNumId w:val="11"/>
  </w:num>
  <w:num w:numId="35">
    <w:abstractNumId w:val="19"/>
  </w:num>
  <w:num w:numId="36">
    <w:abstractNumId w:val="12"/>
  </w:num>
  <w:num w:numId="37">
    <w:abstractNumId w:val="3"/>
  </w:num>
  <w:num w:numId="38">
    <w:abstractNumId w:val="18"/>
  </w:num>
  <w:num w:numId="39">
    <w:abstractNumId w:val="30"/>
  </w:num>
  <w:num w:numId="40">
    <w:abstractNumId w:val="5"/>
  </w:num>
  <w:num w:numId="41">
    <w:abstractNumId w:val="29"/>
  </w:num>
  <w:num w:numId="42">
    <w:abstractNumId w:val="26"/>
  </w:num>
  <w:num w:numId="43">
    <w:abstractNumId w:val="4"/>
  </w:num>
  <w:num w:numId="44">
    <w:abstractNumId w:val="2"/>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1"/>
  </w:num>
  <w:num w:numId="48">
    <w:abstractNumId w:val="23"/>
  </w:num>
  <w:num w:numId="4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57"/>
    <w:rsid w:val="0000110D"/>
    <w:rsid w:val="00003D3F"/>
    <w:rsid w:val="0000718C"/>
    <w:rsid w:val="0001064F"/>
    <w:rsid w:val="000141A1"/>
    <w:rsid w:val="0001443D"/>
    <w:rsid w:val="000149BE"/>
    <w:rsid w:val="0002264C"/>
    <w:rsid w:val="00022950"/>
    <w:rsid w:val="00023CCD"/>
    <w:rsid w:val="0003137B"/>
    <w:rsid w:val="00043F98"/>
    <w:rsid w:val="000466AC"/>
    <w:rsid w:val="00061B6D"/>
    <w:rsid w:val="00065A07"/>
    <w:rsid w:val="00065FB6"/>
    <w:rsid w:val="000661A3"/>
    <w:rsid w:val="000710E5"/>
    <w:rsid w:val="00076C02"/>
    <w:rsid w:val="000832D7"/>
    <w:rsid w:val="000A19E3"/>
    <w:rsid w:val="000A29B8"/>
    <w:rsid w:val="000B14CD"/>
    <w:rsid w:val="000B32DD"/>
    <w:rsid w:val="000B4B7C"/>
    <w:rsid w:val="000C1E22"/>
    <w:rsid w:val="000C2A60"/>
    <w:rsid w:val="000C2C23"/>
    <w:rsid w:val="000C4213"/>
    <w:rsid w:val="000C5FB9"/>
    <w:rsid w:val="000D3863"/>
    <w:rsid w:val="000D73BA"/>
    <w:rsid w:val="000E0832"/>
    <w:rsid w:val="000E47F0"/>
    <w:rsid w:val="000E53F3"/>
    <w:rsid w:val="000E7FD1"/>
    <w:rsid w:val="000F036C"/>
    <w:rsid w:val="000F1120"/>
    <w:rsid w:val="000F2AE1"/>
    <w:rsid w:val="00100E8D"/>
    <w:rsid w:val="001013F5"/>
    <w:rsid w:val="0010265D"/>
    <w:rsid w:val="001035C7"/>
    <w:rsid w:val="00103F94"/>
    <w:rsid w:val="00105776"/>
    <w:rsid w:val="0010670C"/>
    <w:rsid w:val="00111289"/>
    <w:rsid w:val="00111AAB"/>
    <w:rsid w:val="00114176"/>
    <w:rsid w:val="0011712F"/>
    <w:rsid w:val="001202E0"/>
    <w:rsid w:val="00121C1C"/>
    <w:rsid w:val="00124414"/>
    <w:rsid w:val="00125C11"/>
    <w:rsid w:val="00130A04"/>
    <w:rsid w:val="0013136D"/>
    <w:rsid w:val="00131580"/>
    <w:rsid w:val="001341AC"/>
    <w:rsid w:val="0013552D"/>
    <w:rsid w:val="001469CC"/>
    <w:rsid w:val="00150664"/>
    <w:rsid w:val="0015358C"/>
    <w:rsid w:val="00153D9A"/>
    <w:rsid w:val="0015410C"/>
    <w:rsid w:val="001544C7"/>
    <w:rsid w:val="00156BF8"/>
    <w:rsid w:val="00161681"/>
    <w:rsid w:val="00162EA9"/>
    <w:rsid w:val="001651C8"/>
    <w:rsid w:val="00173A0D"/>
    <w:rsid w:val="00174ABE"/>
    <w:rsid w:val="00174D7E"/>
    <w:rsid w:val="001761D0"/>
    <w:rsid w:val="001775E3"/>
    <w:rsid w:val="00184659"/>
    <w:rsid w:val="001848C7"/>
    <w:rsid w:val="00186130"/>
    <w:rsid w:val="00187E03"/>
    <w:rsid w:val="00191193"/>
    <w:rsid w:val="00194B0B"/>
    <w:rsid w:val="001A1508"/>
    <w:rsid w:val="001A1B1E"/>
    <w:rsid w:val="001A2799"/>
    <w:rsid w:val="001A4AD1"/>
    <w:rsid w:val="001B27D2"/>
    <w:rsid w:val="001B3B43"/>
    <w:rsid w:val="001C4A7A"/>
    <w:rsid w:val="001C5158"/>
    <w:rsid w:val="001D435C"/>
    <w:rsid w:val="001D5727"/>
    <w:rsid w:val="001D68E6"/>
    <w:rsid w:val="001D6CD6"/>
    <w:rsid w:val="001E1297"/>
    <w:rsid w:val="001E27F8"/>
    <w:rsid w:val="001E489C"/>
    <w:rsid w:val="001E67E2"/>
    <w:rsid w:val="001E6B66"/>
    <w:rsid w:val="001F04AE"/>
    <w:rsid w:val="002002E9"/>
    <w:rsid w:val="0020794F"/>
    <w:rsid w:val="00212DD8"/>
    <w:rsid w:val="00213BF6"/>
    <w:rsid w:val="00216468"/>
    <w:rsid w:val="002173B9"/>
    <w:rsid w:val="0022444A"/>
    <w:rsid w:val="002274A9"/>
    <w:rsid w:val="0023213C"/>
    <w:rsid w:val="0023451E"/>
    <w:rsid w:val="002356F4"/>
    <w:rsid w:val="0024139D"/>
    <w:rsid w:val="00241BAC"/>
    <w:rsid w:val="00244627"/>
    <w:rsid w:val="0024553F"/>
    <w:rsid w:val="00246773"/>
    <w:rsid w:val="00250491"/>
    <w:rsid w:val="0025591A"/>
    <w:rsid w:val="00256FBA"/>
    <w:rsid w:val="002622F6"/>
    <w:rsid w:val="002645AB"/>
    <w:rsid w:val="00266F5C"/>
    <w:rsid w:val="00271AEA"/>
    <w:rsid w:val="002728C9"/>
    <w:rsid w:val="00274A57"/>
    <w:rsid w:val="00274CD1"/>
    <w:rsid w:val="00274F84"/>
    <w:rsid w:val="00275257"/>
    <w:rsid w:val="00275F15"/>
    <w:rsid w:val="0028082A"/>
    <w:rsid w:val="00283074"/>
    <w:rsid w:val="00285B15"/>
    <w:rsid w:val="00285FAD"/>
    <w:rsid w:val="00287F69"/>
    <w:rsid w:val="0029284F"/>
    <w:rsid w:val="00297BF8"/>
    <w:rsid w:val="002A0C8B"/>
    <w:rsid w:val="002A1BE4"/>
    <w:rsid w:val="002A3EC7"/>
    <w:rsid w:val="002B1D70"/>
    <w:rsid w:val="002B4F93"/>
    <w:rsid w:val="002B7850"/>
    <w:rsid w:val="002C1533"/>
    <w:rsid w:val="002C1B55"/>
    <w:rsid w:val="002D1952"/>
    <w:rsid w:val="002D27C0"/>
    <w:rsid w:val="002E4384"/>
    <w:rsid w:val="002E73B9"/>
    <w:rsid w:val="002E7520"/>
    <w:rsid w:val="002F01F0"/>
    <w:rsid w:val="002F0696"/>
    <w:rsid w:val="002F4485"/>
    <w:rsid w:val="002F6099"/>
    <w:rsid w:val="002F79EA"/>
    <w:rsid w:val="00311062"/>
    <w:rsid w:val="00312E7C"/>
    <w:rsid w:val="00313C9F"/>
    <w:rsid w:val="00320815"/>
    <w:rsid w:val="0032274B"/>
    <w:rsid w:val="003232D0"/>
    <w:rsid w:val="003241B8"/>
    <w:rsid w:val="00330FD1"/>
    <w:rsid w:val="0033482B"/>
    <w:rsid w:val="00337584"/>
    <w:rsid w:val="003402DC"/>
    <w:rsid w:val="00345479"/>
    <w:rsid w:val="00362242"/>
    <w:rsid w:val="003651E5"/>
    <w:rsid w:val="00366C02"/>
    <w:rsid w:val="00376600"/>
    <w:rsid w:val="00383B6A"/>
    <w:rsid w:val="003852F2"/>
    <w:rsid w:val="0038706F"/>
    <w:rsid w:val="0039014A"/>
    <w:rsid w:val="00391CC3"/>
    <w:rsid w:val="00391E11"/>
    <w:rsid w:val="00392E65"/>
    <w:rsid w:val="0039416A"/>
    <w:rsid w:val="003A1124"/>
    <w:rsid w:val="003A1ACD"/>
    <w:rsid w:val="003A3E87"/>
    <w:rsid w:val="003A46EA"/>
    <w:rsid w:val="003A61BF"/>
    <w:rsid w:val="003A634F"/>
    <w:rsid w:val="003A6CCC"/>
    <w:rsid w:val="003B12BE"/>
    <w:rsid w:val="003B6D34"/>
    <w:rsid w:val="003C15FE"/>
    <w:rsid w:val="003C1DD2"/>
    <w:rsid w:val="003C2B66"/>
    <w:rsid w:val="003C53B8"/>
    <w:rsid w:val="003C58F6"/>
    <w:rsid w:val="003D2339"/>
    <w:rsid w:val="003D2EF3"/>
    <w:rsid w:val="003D44A7"/>
    <w:rsid w:val="003E0ADB"/>
    <w:rsid w:val="003E3203"/>
    <w:rsid w:val="003E320F"/>
    <w:rsid w:val="003E34C6"/>
    <w:rsid w:val="003E37FA"/>
    <w:rsid w:val="003E4956"/>
    <w:rsid w:val="003E58BB"/>
    <w:rsid w:val="003F3D60"/>
    <w:rsid w:val="003F55E3"/>
    <w:rsid w:val="003F795F"/>
    <w:rsid w:val="0040274B"/>
    <w:rsid w:val="00402FEC"/>
    <w:rsid w:val="004031BA"/>
    <w:rsid w:val="00403E76"/>
    <w:rsid w:val="00404D40"/>
    <w:rsid w:val="004060E1"/>
    <w:rsid w:val="004062CF"/>
    <w:rsid w:val="0040687D"/>
    <w:rsid w:val="00406DBF"/>
    <w:rsid w:val="00407B7F"/>
    <w:rsid w:val="00411C8F"/>
    <w:rsid w:val="004141C6"/>
    <w:rsid w:val="00415CA8"/>
    <w:rsid w:val="00421BDB"/>
    <w:rsid w:val="00422CB7"/>
    <w:rsid w:val="0042364E"/>
    <w:rsid w:val="004249E4"/>
    <w:rsid w:val="00424DD0"/>
    <w:rsid w:val="00431B80"/>
    <w:rsid w:val="00431FAE"/>
    <w:rsid w:val="00440A92"/>
    <w:rsid w:val="00442C5E"/>
    <w:rsid w:val="004435BE"/>
    <w:rsid w:val="00445505"/>
    <w:rsid w:val="00447088"/>
    <w:rsid w:val="00454133"/>
    <w:rsid w:val="004573B2"/>
    <w:rsid w:val="004674D3"/>
    <w:rsid w:val="00472558"/>
    <w:rsid w:val="00477179"/>
    <w:rsid w:val="00482086"/>
    <w:rsid w:val="004839FB"/>
    <w:rsid w:val="00486C55"/>
    <w:rsid w:val="00494413"/>
    <w:rsid w:val="0049477A"/>
    <w:rsid w:val="0049570C"/>
    <w:rsid w:val="0049656D"/>
    <w:rsid w:val="004969DC"/>
    <w:rsid w:val="0049713A"/>
    <w:rsid w:val="004A21AD"/>
    <w:rsid w:val="004A480B"/>
    <w:rsid w:val="004B2F3D"/>
    <w:rsid w:val="004B426B"/>
    <w:rsid w:val="004D0451"/>
    <w:rsid w:val="004D2E5C"/>
    <w:rsid w:val="004D366B"/>
    <w:rsid w:val="004D70B9"/>
    <w:rsid w:val="004D7162"/>
    <w:rsid w:val="004E1FFD"/>
    <w:rsid w:val="004E3609"/>
    <w:rsid w:val="004E3922"/>
    <w:rsid w:val="004E4E9E"/>
    <w:rsid w:val="004E6698"/>
    <w:rsid w:val="004E674E"/>
    <w:rsid w:val="004F01C0"/>
    <w:rsid w:val="00500C71"/>
    <w:rsid w:val="00501952"/>
    <w:rsid w:val="005067E6"/>
    <w:rsid w:val="00511F40"/>
    <w:rsid w:val="005122A1"/>
    <w:rsid w:val="0052134D"/>
    <w:rsid w:val="005260F7"/>
    <w:rsid w:val="005277A5"/>
    <w:rsid w:val="005307C6"/>
    <w:rsid w:val="00534628"/>
    <w:rsid w:val="00535169"/>
    <w:rsid w:val="0053591F"/>
    <w:rsid w:val="005474CE"/>
    <w:rsid w:val="00547E6E"/>
    <w:rsid w:val="00550F4A"/>
    <w:rsid w:val="00552FF5"/>
    <w:rsid w:val="00556853"/>
    <w:rsid w:val="00560CD7"/>
    <w:rsid w:val="00560DB7"/>
    <w:rsid w:val="00562EDE"/>
    <w:rsid w:val="0056529B"/>
    <w:rsid w:val="00566C31"/>
    <w:rsid w:val="005715CB"/>
    <w:rsid w:val="005756A5"/>
    <w:rsid w:val="00577CA7"/>
    <w:rsid w:val="00581166"/>
    <w:rsid w:val="00582045"/>
    <w:rsid w:val="005830D9"/>
    <w:rsid w:val="00585C74"/>
    <w:rsid w:val="00593B7C"/>
    <w:rsid w:val="0059414B"/>
    <w:rsid w:val="00594361"/>
    <w:rsid w:val="00594A33"/>
    <w:rsid w:val="00595089"/>
    <w:rsid w:val="0059581B"/>
    <w:rsid w:val="00596D98"/>
    <w:rsid w:val="005978B5"/>
    <w:rsid w:val="005A108E"/>
    <w:rsid w:val="005A2ADF"/>
    <w:rsid w:val="005B0F8F"/>
    <w:rsid w:val="005B5219"/>
    <w:rsid w:val="005C07C3"/>
    <w:rsid w:val="005C2519"/>
    <w:rsid w:val="005C4239"/>
    <w:rsid w:val="005C54B3"/>
    <w:rsid w:val="005C6A96"/>
    <w:rsid w:val="005D240C"/>
    <w:rsid w:val="005D49EB"/>
    <w:rsid w:val="005E2A1F"/>
    <w:rsid w:val="005E6C79"/>
    <w:rsid w:val="005E762D"/>
    <w:rsid w:val="005F2E37"/>
    <w:rsid w:val="006028CC"/>
    <w:rsid w:val="006045F4"/>
    <w:rsid w:val="00612592"/>
    <w:rsid w:val="00624380"/>
    <w:rsid w:val="00632CF3"/>
    <w:rsid w:val="0064045B"/>
    <w:rsid w:val="006407AC"/>
    <w:rsid w:val="00640867"/>
    <w:rsid w:val="00643255"/>
    <w:rsid w:val="006478C6"/>
    <w:rsid w:val="00647CC8"/>
    <w:rsid w:val="0065004C"/>
    <w:rsid w:val="00660A23"/>
    <w:rsid w:val="00661152"/>
    <w:rsid w:val="00664D7B"/>
    <w:rsid w:val="00671B76"/>
    <w:rsid w:val="00672AB9"/>
    <w:rsid w:val="00672AE2"/>
    <w:rsid w:val="00674CD1"/>
    <w:rsid w:val="00681F9F"/>
    <w:rsid w:val="00690B1C"/>
    <w:rsid w:val="006A1711"/>
    <w:rsid w:val="006A1863"/>
    <w:rsid w:val="006B0E6B"/>
    <w:rsid w:val="006B1830"/>
    <w:rsid w:val="006B3485"/>
    <w:rsid w:val="006B7072"/>
    <w:rsid w:val="006C062F"/>
    <w:rsid w:val="006C0904"/>
    <w:rsid w:val="006C13DC"/>
    <w:rsid w:val="006C212E"/>
    <w:rsid w:val="006C4B6B"/>
    <w:rsid w:val="006C4E79"/>
    <w:rsid w:val="006C7637"/>
    <w:rsid w:val="006D2678"/>
    <w:rsid w:val="006D405A"/>
    <w:rsid w:val="006D4F6F"/>
    <w:rsid w:val="006E2B0E"/>
    <w:rsid w:val="006E5D29"/>
    <w:rsid w:val="006F4063"/>
    <w:rsid w:val="007020FF"/>
    <w:rsid w:val="00704819"/>
    <w:rsid w:val="00705381"/>
    <w:rsid w:val="007053C1"/>
    <w:rsid w:val="0070570D"/>
    <w:rsid w:val="00706518"/>
    <w:rsid w:val="007077BC"/>
    <w:rsid w:val="007100F1"/>
    <w:rsid w:val="00712033"/>
    <w:rsid w:val="00714CFC"/>
    <w:rsid w:val="00715C50"/>
    <w:rsid w:val="00717A47"/>
    <w:rsid w:val="0072550C"/>
    <w:rsid w:val="00726321"/>
    <w:rsid w:val="00726F51"/>
    <w:rsid w:val="007335DF"/>
    <w:rsid w:val="007349AC"/>
    <w:rsid w:val="00737029"/>
    <w:rsid w:val="0073757F"/>
    <w:rsid w:val="00737980"/>
    <w:rsid w:val="0074007F"/>
    <w:rsid w:val="00742A5C"/>
    <w:rsid w:val="00744A1A"/>
    <w:rsid w:val="00745E1A"/>
    <w:rsid w:val="00750544"/>
    <w:rsid w:val="00754BEC"/>
    <w:rsid w:val="00754E7A"/>
    <w:rsid w:val="00755945"/>
    <w:rsid w:val="00755D92"/>
    <w:rsid w:val="00761965"/>
    <w:rsid w:val="0076372A"/>
    <w:rsid w:val="00765642"/>
    <w:rsid w:val="007661F0"/>
    <w:rsid w:val="007702A0"/>
    <w:rsid w:val="007730C9"/>
    <w:rsid w:val="007769AD"/>
    <w:rsid w:val="00782592"/>
    <w:rsid w:val="00782DC2"/>
    <w:rsid w:val="0078318E"/>
    <w:rsid w:val="007832B2"/>
    <w:rsid w:val="0078531D"/>
    <w:rsid w:val="007868DA"/>
    <w:rsid w:val="0079165D"/>
    <w:rsid w:val="00791929"/>
    <w:rsid w:val="00794099"/>
    <w:rsid w:val="007949FC"/>
    <w:rsid w:val="00795082"/>
    <w:rsid w:val="00797322"/>
    <w:rsid w:val="007A209C"/>
    <w:rsid w:val="007A3397"/>
    <w:rsid w:val="007A4330"/>
    <w:rsid w:val="007A67F1"/>
    <w:rsid w:val="007A7FC1"/>
    <w:rsid w:val="007B2B0B"/>
    <w:rsid w:val="007B2F7C"/>
    <w:rsid w:val="007B3F79"/>
    <w:rsid w:val="007B6B1F"/>
    <w:rsid w:val="007B7C9B"/>
    <w:rsid w:val="007C0EF5"/>
    <w:rsid w:val="007C27AB"/>
    <w:rsid w:val="007C2CE2"/>
    <w:rsid w:val="007C518D"/>
    <w:rsid w:val="007C589B"/>
    <w:rsid w:val="007C5F3A"/>
    <w:rsid w:val="007D1633"/>
    <w:rsid w:val="007D17AF"/>
    <w:rsid w:val="007D5832"/>
    <w:rsid w:val="007D7FEC"/>
    <w:rsid w:val="007E03C5"/>
    <w:rsid w:val="007E0BEF"/>
    <w:rsid w:val="007E0E69"/>
    <w:rsid w:val="007E21C1"/>
    <w:rsid w:val="007F715C"/>
    <w:rsid w:val="008041DC"/>
    <w:rsid w:val="00810167"/>
    <w:rsid w:val="00810609"/>
    <w:rsid w:val="0081307D"/>
    <w:rsid w:val="0081321A"/>
    <w:rsid w:val="008137A4"/>
    <w:rsid w:val="00815132"/>
    <w:rsid w:val="0081541C"/>
    <w:rsid w:val="00821620"/>
    <w:rsid w:val="00821891"/>
    <w:rsid w:val="008267BA"/>
    <w:rsid w:val="00826DA1"/>
    <w:rsid w:val="0083408B"/>
    <w:rsid w:val="00837513"/>
    <w:rsid w:val="00841EE3"/>
    <w:rsid w:val="00842C14"/>
    <w:rsid w:val="00844EE1"/>
    <w:rsid w:val="008462B6"/>
    <w:rsid w:val="008471DB"/>
    <w:rsid w:val="0085020A"/>
    <w:rsid w:val="0085197A"/>
    <w:rsid w:val="0085276A"/>
    <w:rsid w:val="00852BC4"/>
    <w:rsid w:val="00852C7A"/>
    <w:rsid w:val="00855274"/>
    <w:rsid w:val="0086083F"/>
    <w:rsid w:val="008615ED"/>
    <w:rsid w:val="00862228"/>
    <w:rsid w:val="0086253D"/>
    <w:rsid w:val="0086269B"/>
    <w:rsid w:val="00866EB7"/>
    <w:rsid w:val="008675C2"/>
    <w:rsid w:val="00871973"/>
    <w:rsid w:val="0087519D"/>
    <w:rsid w:val="00882CFE"/>
    <w:rsid w:val="00885E08"/>
    <w:rsid w:val="00886D1C"/>
    <w:rsid w:val="00892597"/>
    <w:rsid w:val="00893DC6"/>
    <w:rsid w:val="0089651D"/>
    <w:rsid w:val="00897C29"/>
    <w:rsid w:val="008B000A"/>
    <w:rsid w:val="008B02D0"/>
    <w:rsid w:val="008B76BD"/>
    <w:rsid w:val="008C2CEB"/>
    <w:rsid w:val="008D1E2A"/>
    <w:rsid w:val="008D2B5E"/>
    <w:rsid w:val="008D4BEC"/>
    <w:rsid w:val="008E529C"/>
    <w:rsid w:val="008E6093"/>
    <w:rsid w:val="008F1E5A"/>
    <w:rsid w:val="008F41C7"/>
    <w:rsid w:val="008F537F"/>
    <w:rsid w:val="008F5AEA"/>
    <w:rsid w:val="008F6219"/>
    <w:rsid w:val="00910F7C"/>
    <w:rsid w:val="00911708"/>
    <w:rsid w:val="00911F73"/>
    <w:rsid w:val="009179BA"/>
    <w:rsid w:val="00917C90"/>
    <w:rsid w:val="009200FF"/>
    <w:rsid w:val="00920FDF"/>
    <w:rsid w:val="00931BBA"/>
    <w:rsid w:val="009331A9"/>
    <w:rsid w:val="00942767"/>
    <w:rsid w:val="00943182"/>
    <w:rsid w:val="0094674C"/>
    <w:rsid w:val="0095482A"/>
    <w:rsid w:val="009577EE"/>
    <w:rsid w:val="00960332"/>
    <w:rsid w:val="00962AD4"/>
    <w:rsid w:val="009644C2"/>
    <w:rsid w:val="00965540"/>
    <w:rsid w:val="009665BD"/>
    <w:rsid w:val="00966AA1"/>
    <w:rsid w:val="00967443"/>
    <w:rsid w:val="00972837"/>
    <w:rsid w:val="009730B2"/>
    <w:rsid w:val="00973707"/>
    <w:rsid w:val="00975B76"/>
    <w:rsid w:val="0097770B"/>
    <w:rsid w:val="00977C94"/>
    <w:rsid w:val="00977D6F"/>
    <w:rsid w:val="00977E31"/>
    <w:rsid w:val="00980665"/>
    <w:rsid w:val="009846A2"/>
    <w:rsid w:val="009861D8"/>
    <w:rsid w:val="009929B1"/>
    <w:rsid w:val="0099380B"/>
    <w:rsid w:val="0099490C"/>
    <w:rsid w:val="00994FB0"/>
    <w:rsid w:val="009A0A52"/>
    <w:rsid w:val="009A103A"/>
    <w:rsid w:val="009A3159"/>
    <w:rsid w:val="009A582F"/>
    <w:rsid w:val="009A7296"/>
    <w:rsid w:val="009B54D9"/>
    <w:rsid w:val="009B6E43"/>
    <w:rsid w:val="009B7AB3"/>
    <w:rsid w:val="009C4FC9"/>
    <w:rsid w:val="009C63C3"/>
    <w:rsid w:val="009D3C04"/>
    <w:rsid w:val="009D49C5"/>
    <w:rsid w:val="009E18CE"/>
    <w:rsid w:val="009E2288"/>
    <w:rsid w:val="009E236C"/>
    <w:rsid w:val="009E2704"/>
    <w:rsid w:val="009E42F3"/>
    <w:rsid w:val="009E535B"/>
    <w:rsid w:val="009E5AC7"/>
    <w:rsid w:val="009F054E"/>
    <w:rsid w:val="009F2688"/>
    <w:rsid w:val="009F288C"/>
    <w:rsid w:val="009F3E6C"/>
    <w:rsid w:val="009F4396"/>
    <w:rsid w:val="009F4EEA"/>
    <w:rsid w:val="009F614C"/>
    <w:rsid w:val="00A01E08"/>
    <w:rsid w:val="00A04599"/>
    <w:rsid w:val="00A11E7C"/>
    <w:rsid w:val="00A126CB"/>
    <w:rsid w:val="00A1379E"/>
    <w:rsid w:val="00A144C6"/>
    <w:rsid w:val="00A1471C"/>
    <w:rsid w:val="00A14BC4"/>
    <w:rsid w:val="00A15D86"/>
    <w:rsid w:val="00A17E79"/>
    <w:rsid w:val="00A203B3"/>
    <w:rsid w:val="00A20865"/>
    <w:rsid w:val="00A22A80"/>
    <w:rsid w:val="00A22B54"/>
    <w:rsid w:val="00A24C40"/>
    <w:rsid w:val="00A269D8"/>
    <w:rsid w:val="00A27457"/>
    <w:rsid w:val="00A33192"/>
    <w:rsid w:val="00A33DE2"/>
    <w:rsid w:val="00A36148"/>
    <w:rsid w:val="00A377AA"/>
    <w:rsid w:val="00A37E78"/>
    <w:rsid w:val="00A42673"/>
    <w:rsid w:val="00A433A8"/>
    <w:rsid w:val="00A43985"/>
    <w:rsid w:val="00A511C0"/>
    <w:rsid w:val="00A57218"/>
    <w:rsid w:val="00A60677"/>
    <w:rsid w:val="00A70046"/>
    <w:rsid w:val="00A7290E"/>
    <w:rsid w:val="00A756C8"/>
    <w:rsid w:val="00A80C0D"/>
    <w:rsid w:val="00A83041"/>
    <w:rsid w:val="00A8635A"/>
    <w:rsid w:val="00A93FF8"/>
    <w:rsid w:val="00AA24D5"/>
    <w:rsid w:val="00AA2557"/>
    <w:rsid w:val="00AA361B"/>
    <w:rsid w:val="00AA4118"/>
    <w:rsid w:val="00AB1256"/>
    <w:rsid w:val="00AB338E"/>
    <w:rsid w:val="00AC0995"/>
    <w:rsid w:val="00AC1040"/>
    <w:rsid w:val="00AC25D7"/>
    <w:rsid w:val="00AC2BDF"/>
    <w:rsid w:val="00AC5CC8"/>
    <w:rsid w:val="00AC6380"/>
    <w:rsid w:val="00AD4AC4"/>
    <w:rsid w:val="00AD4E69"/>
    <w:rsid w:val="00AD691E"/>
    <w:rsid w:val="00AD6B88"/>
    <w:rsid w:val="00AD7E89"/>
    <w:rsid w:val="00AE20B8"/>
    <w:rsid w:val="00AE2480"/>
    <w:rsid w:val="00AE761A"/>
    <w:rsid w:val="00AE7BA2"/>
    <w:rsid w:val="00AF0DF9"/>
    <w:rsid w:val="00AF1298"/>
    <w:rsid w:val="00B018ED"/>
    <w:rsid w:val="00B04F6F"/>
    <w:rsid w:val="00B05613"/>
    <w:rsid w:val="00B077E7"/>
    <w:rsid w:val="00B079D5"/>
    <w:rsid w:val="00B10649"/>
    <w:rsid w:val="00B13859"/>
    <w:rsid w:val="00B14A83"/>
    <w:rsid w:val="00B16920"/>
    <w:rsid w:val="00B169DC"/>
    <w:rsid w:val="00B27070"/>
    <w:rsid w:val="00B2753A"/>
    <w:rsid w:val="00B3088A"/>
    <w:rsid w:val="00B357B9"/>
    <w:rsid w:val="00B42500"/>
    <w:rsid w:val="00B44687"/>
    <w:rsid w:val="00B46F59"/>
    <w:rsid w:val="00B47D4B"/>
    <w:rsid w:val="00B54446"/>
    <w:rsid w:val="00B7113C"/>
    <w:rsid w:val="00B72236"/>
    <w:rsid w:val="00B734DA"/>
    <w:rsid w:val="00B738D0"/>
    <w:rsid w:val="00B74635"/>
    <w:rsid w:val="00B8054A"/>
    <w:rsid w:val="00B832D5"/>
    <w:rsid w:val="00B83829"/>
    <w:rsid w:val="00B83AA3"/>
    <w:rsid w:val="00B8654F"/>
    <w:rsid w:val="00B93115"/>
    <w:rsid w:val="00B94A4E"/>
    <w:rsid w:val="00B971EA"/>
    <w:rsid w:val="00B97822"/>
    <w:rsid w:val="00BA3678"/>
    <w:rsid w:val="00BA3680"/>
    <w:rsid w:val="00BA66DD"/>
    <w:rsid w:val="00BA6F7B"/>
    <w:rsid w:val="00BA6F7D"/>
    <w:rsid w:val="00BB0E56"/>
    <w:rsid w:val="00BB2744"/>
    <w:rsid w:val="00BB4697"/>
    <w:rsid w:val="00BB4BF1"/>
    <w:rsid w:val="00BB6889"/>
    <w:rsid w:val="00BB6EAF"/>
    <w:rsid w:val="00BB73BF"/>
    <w:rsid w:val="00BB7900"/>
    <w:rsid w:val="00BC071C"/>
    <w:rsid w:val="00BC14F1"/>
    <w:rsid w:val="00BC21DE"/>
    <w:rsid w:val="00BC2742"/>
    <w:rsid w:val="00BC4CAF"/>
    <w:rsid w:val="00BC75AA"/>
    <w:rsid w:val="00BD1F71"/>
    <w:rsid w:val="00BD33C3"/>
    <w:rsid w:val="00BD3797"/>
    <w:rsid w:val="00BD6E9D"/>
    <w:rsid w:val="00BD6EF0"/>
    <w:rsid w:val="00BE2B75"/>
    <w:rsid w:val="00BE4E69"/>
    <w:rsid w:val="00BE6428"/>
    <w:rsid w:val="00BE7E4D"/>
    <w:rsid w:val="00BF2E9E"/>
    <w:rsid w:val="00BF669C"/>
    <w:rsid w:val="00C03607"/>
    <w:rsid w:val="00C05B80"/>
    <w:rsid w:val="00C05FC9"/>
    <w:rsid w:val="00C06731"/>
    <w:rsid w:val="00C156F0"/>
    <w:rsid w:val="00C16945"/>
    <w:rsid w:val="00C20EEE"/>
    <w:rsid w:val="00C25A5A"/>
    <w:rsid w:val="00C276D7"/>
    <w:rsid w:val="00C343F4"/>
    <w:rsid w:val="00C463F6"/>
    <w:rsid w:val="00C468AE"/>
    <w:rsid w:val="00C47266"/>
    <w:rsid w:val="00C47DE8"/>
    <w:rsid w:val="00C55733"/>
    <w:rsid w:val="00C56C51"/>
    <w:rsid w:val="00C6361B"/>
    <w:rsid w:val="00C644C8"/>
    <w:rsid w:val="00C702CA"/>
    <w:rsid w:val="00C731FB"/>
    <w:rsid w:val="00C74591"/>
    <w:rsid w:val="00C81CA1"/>
    <w:rsid w:val="00C81DD6"/>
    <w:rsid w:val="00C83687"/>
    <w:rsid w:val="00C87AB8"/>
    <w:rsid w:val="00C90D0D"/>
    <w:rsid w:val="00C91302"/>
    <w:rsid w:val="00C92375"/>
    <w:rsid w:val="00CA1023"/>
    <w:rsid w:val="00CA744E"/>
    <w:rsid w:val="00CB0E43"/>
    <w:rsid w:val="00CB20E8"/>
    <w:rsid w:val="00CB6668"/>
    <w:rsid w:val="00CC0F53"/>
    <w:rsid w:val="00CC4053"/>
    <w:rsid w:val="00CC64C7"/>
    <w:rsid w:val="00CC6FC8"/>
    <w:rsid w:val="00CC7A17"/>
    <w:rsid w:val="00CD0E25"/>
    <w:rsid w:val="00CD0FC8"/>
    <w:rsid w:val="00CE01DC"/>
    <w:rsid w:val="00CE6F52"/>
    <w:rsid w:val="00CF6295"/>
    <w:rsid w:val="00D003BE"/>
    <w:rsid w:val="00D06586"/>
    <w:rsid w:val="00D07100"/>
    <w:rsid w:val="00D133EA"/>
    <w:rsid w:val="00D15D18"/>
    <w:rsid w:val="00D16628"/>
    <w:rsid w:val="00D17F99"/>
    <w:rsid w:val="00D22309"/>
    <w:rsid w:val="00D267E2"/>
    <w:rsid w:val="00D300CA"/>
    <w:rsid w:val="00D30790"/>
    <w:rsid w:val="00D31156"/>
    <w:rsid w:val="00D31A1A"/>
    <w:rsid w:val="00D355CF"/>
    <w:rsid w:val="00D401D0"/>
    <w:rsid w:val="00D473BA"/>
    <w:rsid w:val="00D50D9F"/>
    <w:rsid w:val="00D50F80"/>
    <w:rsid w:val="00D51A60"/>
    <w:rsid w:val="00D533AA"/>
    <w:rsid w:val="00D5719B"/>
    <w:rsid w:val="00D611F7"/>
    <w:rsid w:val="00D62015"/>
    <w:rsid w:val="00D63124"/>
    <w:rsid w:val="00D63D40"/>
    <w:rsid w:val="00D66868"/>
    <w:rsid w:val="00D71519"/>
    <w:rsid w:val="00D752C5"/>
    <w:rsid w:val="00D847DF"/>
    <w:rsid w:val="00D84D06"/>
    <w:rsid w:val="00D8600E"/>
    <w:rsid w:val="00D86FFC"/>
    <w:rsid w:val="00D932BC"/>
    <w:rsid w:val="00D94411"/>
    <w:rsid w:val="00D94D51"/>
    <w:rsid w:val="00D96006"/>
    <w:rsid w:val="00D962EE"/>
    <w:rsid w:val="00DA5132"/>
    <w:rsid w:val="00DA5FA7"/>
    <w:rsid w:val="00DA7DD8"/>
    <w:rsid w:val="00DB21A8"/>
    <w:rsid w:val="00DB2245"/>
    <w:rsid w:val="00DB2676"/>
    <w:rsid w:val="00DB4845"/>
    <w:rsid w:val="00DB70E8"/>
    <w:rsid w:val="00DC013C"/>
    <w:rsid w:val="00DC3F00"/>
    <w:rsid w:val="00DC3F4C"/>
    <w:rsid w:val="00DC72F0"/>
    <w:rsid w:val="00DD1AC6"/>
    <w:rsid w:val="00DD27CB"/>
    <w:rsid w:val="00DD329B"/>
    <w:rsid w:val="00DD3BEF"/>
    <w:rsid w:val="00DD78BD"/>
    <w:rsid w:val="00DE152D"/>
    <w:rsid w:val="00DE2007"/>
    <w:rsid w:val="00DE4171"/>
    <w:rsid w:val="00DE57AC"/>
    <w:rsid w:val="00DE63AA"/>
    <w:rsid w:val="00DE6974"/>
    <w:rsid w:val="00DF0A1E"/>
    <w:rsid w:val="00DF2AAA"/>
    <w:rsid w:val="00DF3A7F"/>
    <w:rsid w:val="00DF3EE4"/>
    <w:rsid w:val="00DF4A1C"/>
    <w:rsid w:val="00E00D7B"/>
    <w:rsid w:val="00E01365"/>
    <w:rsid w:val="00E076D8"/>
    <w:rsid w:val="00E10FBC"/>
    <w:rsid w:val="00E114F5"/>
    <w:rsid w:val="00E11D03"/>
    <w:rsid w:val="00E1330A"/>
    <w:rsid w:val="00E14D98"/>
    <w:rsid w:val="00E17667"/>
    <w:rsid w:val="00E2004A"/>
    <w:rsid w:val="00E21EA2"/>
    <w:rsid w:val="00E2297B"/>
    <w:rsid w:val="00E2712B"/>
    <w:rsid w:val="00E3018B"/>
    <w:rsid w:val="00E31472"/>
    <w:rsid w:val="00E32D4C"/>
    <w:rsid w:val="00E32F28"/>
    <w:rsid w:val="00E352DD"/>
    <w:rsid w:val="00E4148F"/>
    <w:rsid w:val="00E42735"/>
    <w:rsid w:val="00E45E87"/>
    <w:rsid w:val="00E46B10"/>
    <w:rsid w:val="00E5499B"/>
    <w:rsid w:val="00E54C2F"/>
    <w:rsid w:val="00E55BE1"/>
    <w:rsid w:val="00E55CDA"/>
    <w:rsid w:val="00E57E15"/>
    <w:rsid w:val="00E61295"/>
    <w:rsid w:val="00E635F8"/>
    <w:rsid w:val="00E6767D"/>
    <w:rsid w:val="00E7067E"/>
    <w:rsid w:val="00E7324A"/>
    <w:rsid w:val="00E7381E"/>
    <w:rsid w:val="00E80DBB"/>
    <w:rsid w:val="00E83A5E"/>
    <w:rsid w:val="00E849C2"/>
    <w:rsid w:val="00E85921"/>
    <w:rsid w:val="00E903FC"/>
    <w:rsid w:val="00E92F8A"/>
    <w:rsid w:val="00E95072"/>
    <w:rsid w:val="00EA095B"/>
    <w:rsid w:val="00EA20A1"/>
    <w:rsid w:val="00EA25BC"/>
    <w:rsid w:val="00EA367E"/>
    <w:rsid w:val="00EA5E09"/>
    <w:rsid w:val="00EA61CB"/>
    <w:rsid w:val="00EA6548"/>
    <w:rsid w:val="00EA6C8E"/>
    <w:rsid w:val="00EB0521"/>
    <w:rsid w:val="00EB0D18"/>
    <w:rsid w:val="00EB333A"/>
    <w:rsid w:val="00EB33BF"/>
    <w:rsid w:val="00EB6ABE"/>
    <w:rsid w:val="00EC2D3F"/>
    <w:rsid w:val="00EC2EF8"/>
    <w:rsid w:val="00EC4E89"/>
    <w:rsid w:val="00EC50ED"/>
    <w:rsid w:val="00EC78E7"/>
    <w:rsid w:val="00EC7951"/>
    <w:rsid w:val="00ED19C5"/>
    <w:rsid w:val="00ED39ED"/>
    <w:rsid w:val="00ED4550"/>
    <w:rsid w:val="00ED4C9A"/>
    <w:rsid w:val="00ED57DE"/>
    <w:rsid w:val="00EF419F"/>
    <w:rsid w:val="00EF6639"/>
    <w:rsid w:val="00EF78D7"/>
    <w:rsid w:val="00F0746D"/>
    <w:rsid w:val="00F14370"/>
    <w:rsid w:val="00F14BEC"/>
    <w:rsid w:val="00F14F37"/>
    <w:rsid w:val="00F16896"/>
    <w:rsid w:val="00F259DB"/>
    <w:rsid w:val="00F2719D"/>
    <w:rsid w:val="00F318CE"/>
    <w:rsid w:val="00F32687"/>
    <w:rsid w:val="00F32BE5"/>
    <w:rsid w:val="00F36DD1"/>
    <w:rsid w:val="00F37A93"/>
    <w:rsid w:val="00F41352"/>
    <w:rsid w:val="00F41876"/>
    <w:rsid w:val="00F42D62"/>
    <w:rsid w:val="00F4622B"/>
    <w:rsid w:val="00F5222B"/>
    <w:rsid w:val="00F54D4F"/>
    <w:rsid w:val="00F57163"/>
    <w:rsid w:val="00F638E1"/>
    <w:rsid w:val="00F65234"/>
    <w:rsid w:val="00F670F7"/>
    <w:rsid w:val="00F73F58"/>
    <w:rsid w:val="00F80CAC"/>
    <w:rsid w:val="00F83B68"/>
    <w:rsid w:val="00F840E8"/>
    <w:rsid w:val="00F8476D"/>
    <w:rsid w:val="00F87D57"/>
    <w:rsid w:val="00F92D8E"/>
    <w:rsid w:val="00FA0B47"/>
    <w:rsid w:val="00FA25CA"/>
    <w:rsid w:val="00FA444C"/>
    <w:rsid w:val="00FA506F"/>
    <w:rsid w:val="00FA6227"/>
    <w:rsid w:val="00FA63BF"/>
    <w:rsid w:val="00FA6A8E"/>
    <w:rsid w:val="00FB488E"/>
    <w:rsid w:val="00FB5817"/>
    <w:rsid w:val="00FB6216"/>
    <w:rsid w:val="00FB6A69"/>
    <w:rsid w:val="00FB6D93"/>
    <w:rsid w:val="00FC0212"/>
    <w:rsid w:val="00FC34B6"/>
    <w:rsid w:val="00FC3DFF"/>
    <w:rsid w:val="00FC76F9"/>
    <w:rsid w:val="00FD25B1"/>
    <w:rsid w:val="00FD68D0"/>
    <w:rsid w:val="00FE032D"/>
    <w:rsid w:val="00FE0453"/>
    <w:rsid w:val="00FE31B1"/>
    <w:rsid w:val="00FE638B"/>
    <w:rsid w:val="00FE77FB"/>
    <w:rsid w:val="00FF06E8"/>
    <w:rsid w:val="00FF0791"/>
    <w:rsid w:val="00FF2219"/>
    <w:rsid w:val="00FF2BC1"/>
    <w:rsid w:val="00FF38BA"/>
    <w:rsid w:val="00FF3B3C"/>
    <w:rsid w:val="00FF4964"/>
    <w:rsid w:val="00FF51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BB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48"/>
  </w:style>
  <w:style w:type="paragraph" w:styleId="1">
    <w:name w:val="heading 1"/>
    <w:basedOn w:val="a"/>
    <w:next w:val="a"/>
    <w:link w:val="10"/>
    <w:uiPriority w:val="9"/>
    <w:qFormat/>
    <w:rsid w:val="00897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97C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97C29"/>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4">
    <w:name w:val="heading 4"/>
    <w:basedOn w:val="a"/>
    <w:next w:val="a"/>
    <w:link w:val="40"/>
    <w:uiPriority w:val="9"/>
    <w:unhideWhenUsed/>
    <w:qFormat/>
    <w:rsid w:val="00897C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97C29"/>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897C29"/>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897C29"/>
    <w:rPr>
      <w:rFonts w:ascii="Times New Roman" w:eastAsia="Times New Roman" w:hAnsi="Times New Roman" w:cs="Times New Roman"/>
      <w:b/>
      <w:bCs/>
      <w:sz w:val="27"/>
      <w:szCs w:val="27"/>
      <w:lang w:eastAsia="bg-BG"/>
    </w:rPr>
  </w:style>
  <w:style w:type="character" w:customStyle="1" w:styleId="40">
    <w:name w:val="Заглавие 4 Знак"/>
    <w:basedOn w:val="a0"/>
    <w:link w:val="4"/>
    <w:uiPriority w:val="9"/>
    <w:rsid w:val="00897C29"/>
    <w:rPr>
      <w:rFonts w:asciiTheme="majorHAnsi" w:eastAsiaTheme="majorEastAsia" w:hAnsiTheme="majorHAnsi" w:cstheme="majorBidi"/>
      <w:b/>
      <w:bCs/>
      <w:i/>
      <w:iCs/>
      <w:color w:val="4F81BD" w:themeColor="accent1"/>
    </w:rPr>
  </w:style>
  <w:style w:type="numbering" w:customStyle="1" w:styleId="11">
    <w:name w:val="Без списък1"/>
    <w:next w:val="a2"/>
    <w:uiPriority w:val="99"/>
    <w:semiHidden/>
    <w:unhideWhenUsed/>
    <w:rsid w:val="00897C29"/>
  </w:style>
  <w:style w:type="character" w:styleId="a3">
    <w:name w:val="footnote reference"/>
    <w:uiPriority w:val="99"/>
    <w:rsid w:val="00897C29"/>
    <w:rPr>
      <w:rFonts w:cs="Times New Roman"/>
      <w:vertAlign w:val="superscript"/>
    </w:rPr>
  </w:style>
  <w:style w:type="paragraph" w:styleId="a4">
    <w:name w:val="No Spacing"/>
    <w:uiPriority w:val="1"/>
    <w:qFormat/>
    <w:rsid w:val="00897C29"/>
    <w:pPr>
      <w:spacing w:after="0" w:line="240" w:lineRule="auto"/>
    </w:pPr>
    <w:rPr>
      <w:rFonts w:ascii="Times New Roman" w:eastAsia="Times New Roman" w:hAnsi="Times New Roman" w:cs="Times New Roman"/>
      <w:sz w:val="24"/>
      <w:szCs w:val="24"/>
      <w:lang w:val="en-US"/>
    </w:rPr>
  </w:style>
  <w:style w:type="paragraph" w:styleId="a5">
    <w:name w:val="Balloon Text"/>
    <w:basedOn w:val="a"/>
    <w:link w:val="a6"/>
    <w:uiPriority w:val="99"/>
    <w:semiHidden/>
    <w:unhideWhenUsed/>
    <w:rsid w:val="00897C29"/>
    <w:pPr>
      <w:spacing w:after="0" w:line="240" w:lineRule="auto"/>
    </w:pPr>
    <w:rPr>
      <w:rFonts w:ascii="Tahoma" w:eastAsia="Calibri" w:hAnsi="Tahoma" w:cs="Tahoma"/>
      <w:sz w:val="16"/>
      <w:szCs w:val="16"/>
    </w:rPr>
  </w:style>
  <w:style w:type="character" w:customStyle="1" w:styleId="a6">
    <w:name w:val="Изнесен текст Знак"/>
    <w:basedOn w:val="a0"/>
    <w:link w:val="a5"/>
    <w:uiPriority w:val="99"/>
    <w:semiHidden/>
    <w:rsid w:val="00897C29"/>
    <w:rPr>
      <w:rFonts w:ascii="Tahoma" w:eastAsia="Calibri" w:hAnsi="Tahoma" w:cs="Tahoma"/>
      <w:sz w:val="16"/>
      <w:szCs w:val="16"/>
    </w:rPr>
  </w:style>
  <w:style w:type="character" w:customStyle="1" w:styleId="a7">
    <w:name w:val="Раздел Знак"/>
    <w:link w:val="a8"/>
    <w:uiPriority w:val="99"/>
    <w:locked/>
    <w:rsid w:val="00897C29"/>
    <w:rPr>
      <w:b/>
      <w:caps/>
      <w:color w:val="000000"/>
      <w:kern w:val="32"/>
      <w:sz w:val="32"/>
      <w:shd w:val="clear" w:color="auto" w:fill="FFFFFF"/>
      <w:lang w:val="en-US"/>
    </w:rPr>
  </w:style>
  <w:style w:type="paragraph" w:customStyle="1" w:styleId="a8">
    <w:name w:val="Раздел"/>
    <w:basedOn w:val="1"/>
    <w:next w:val="a"/>
    <w:link w:val="a7"/>
    <w:uiPriority w:val="99"/>
    <w:rsid w:val="00897C29"/>
    <w:pPr>
      <w:keepLines w:val="0"/>
      <w:shd w:val="clear" w:color="auto" w:fill="FFFFFF"/>
      <w:autoSpaceDE w:val="0"/>
      <w:autoSpaceDN w:val="0"/>
      <w:adjustRightInd w:val="0"/>
      <w:spacing w:before="0" w:line="240" w:lineRule="auto"/>
      <w:jc w:val="center"/>
    </w:pPr>
    <w:rPr>
      <w:rFonts w:asciiTheme="minorHAnsi" w:eastAsiaTheme="minorHAnsi" w:hAnsiTheme="minorHAnsi" w:cstheme="minorBidi"/>
      <w:bCs w:val="0"/>
      <w:caps/>
      <w:color w:val="000000"/>
      <w:kern w:val="32"/>
      <w:sz w:val="32"/>
      <w:szCs w:val="22"/>
      <w:lang w:val="en-US"/>
    </w:rPr>
  </w:style>
  <w:style w:type="paragraph" w:styleId="a9">
    <w:name w:val="List Paragraph"/>
    <w:basedOn w:val="a"/>
    <w:uiPriority w:val="34"/>
    <w:qFormat/>
    <w:rsid w:val="00897C29"/>
    <w:pPr>
      <w:ind w:left="708"/>
    </w:pPr>
    <w:rPr>
      <w:rFonts w:ascii="Calibri" w:eastAsia="Calibri" w:hAnsi="Calibri" w:cs="Times New Roman"/>
    </w:rPr>
  </w:style>
  <w:style w:type="paragraph" w:styleId="aa">
    <w:name w:val="footnote text"/>
    <w:basedOn w:val="a"/>
    <w:link w:val="ab"/>
    <w:uiPriority w:val="99"/>
    <w:rsid w:val="00897C29"/>
    <w:pPr>
      <w:spacing w:after="0" w:line="240" w:lineRule="auto"/>
    </w:pPr>
    <w:rPr>
      <w:rFonts w:ascii="Times New Roman" w:eastAsia="Calibri" w:hAnsi="Times New Roman" w:cs="Times New Roman"/>
      <w:sz w:val="20"/>
      <w:szCs w:val="20"/>
      <w:lang w:val="en-AU" w:eastAsia="bg-BG"/>
    </w:rPr>
  </w:style>
  <w:style w:type="character" w:customStyle="1" w:styleId="ab">
    <w:name w:val="Текст под линия Знак"/>
    <w:basedOn w:val="a0"/>
    <w:link w:val="aa"/>
    <w:uiPriority w:val="99"/>
    <w:rsid w:val="00897C29"/>
    <w:rPr>
      <w:rFonts w:ascii="Times New Roman" w:eastAsia="Calibri" w:hAnsi="Times New Roman" w:cs="Times New Roman"/>
      <w:sz w:val="20"/>
      <w:szCs w:val="20"/>
      <w:lang w:val="en-AU" w:eastAsia="bg-BG"/>
    </w:rPr>
  </w:style>
  <w:style w:type="character" w:customStyle="1" w:styleId="ac">
    <w:name w:val="Основен текст в доклад Знак"/>
    <w:link w:val="ad"/>
    <w:uiPriority w:val="99"/>
    <w:locked/>
    <w:rsid w:val="00897C29"/>
    <w:rPr>
      <w:color w:val="000000"/>
      <w:sz w:val="28"/>
      <w:shd w:val="clear" w:color="auto" w:fill="FFFFFF"/>
    </w:rPr>
  </w:style>
  <w:style w:type="paragraph" w:customStyle="1" w:styleId="ad">
    <w:name w:val="Основен текст в доклад"/>
    <w:basedOn w:val="a"/>
    <w:link w:val="ac"/>
    <w:uiPriority w:val="99"/>
    <w:rsid w:val="00897C29"/>
    <w:pPr>
      <w:shd w:val="clear" w:color="auto" w:fill="FFFFFF"/>
      <w:tabs>
        <w:tab w:val="left" w:pos="826"/>
      </w:tabs>
      <w:autoSpaceDE w:val="0"/>
      <w:autoSpaceDN w:val="0"/>
      <w:adjustRightInd w:val="0"/>
      <w:spacing w:after="0" w:line="240" w:lineRule="auto"/>
      <w:ind w:firstLine="720"/>
      <w:jc w:val="both"/>
    </w:pPr>
    <w:rPr>
      <w:color w:val="000000"/>
      <w:sz w:val="28"/>
    </w:rPr>
  </w:style>
  <w:style w:type="paragraph" w:customStyle="1" w:styleId="-1">
    <w:name w:val="Подраздел - ниво 1"/>
    <w:basedOn w:val="2"/>
    <w:next w:val="ad"/>
    <w:uiPriority w:val="99"/>
    <w:rsid w:val="00897C29"/>
    <w:pPr>
      <w:keepLines w:val="0"/>
      <w:shd w:val="clear" w:color="auto" w:fill="FFFFFF"/>
      <w:tabs>
        <w:tab w:val="left" w:pos="763"/>
      </w:tabs>
      <w:autoSpaceDE w:val="0"/>
      <w:autoSpaceDN w:val="0"/>
      <w:adjustRightInd w:val="0"/>
      <w:spacing w:before="0" w:line="240" w:lineRule="auto"/>
      <w:ind w:firstLine="720"/>
      <w:jc w:val="both"/>
    </w:pPr>
    <w:rPr>
      <w:rFonts w:ascii="Times New Roman" w:eastAsia="Calibri" w:hAnsi="Times New Roman" w:cs="Arial"/>
      <w:bCs w:val="0"/>
      <w:iCs/>
      <w:color w:val="000000"/>
      <w:sz w:val="28"/>
      <w:szCs w:val="22"/>
      <w:lang w:eastAsia="bg-BG"/>
    </w:rPr>
  </w:style>
  <w:style w:type="paragraph" w:styleId="ae">
    <w:name w:val="footer"/>
    <w:basedOn w:val="a"/>
    <w:link w:val="af"/>
    <w:uiPriority w:val="99"/>
    <w:rsid w:val="00897C29"/>
    <w:pPr>
      <w:tabs>
        <w:tab w:val="center" w:pos="4153"/>
        <w:tab w:val="right" w:pos="8306"/>
      </w:tabs>
      <w:spacing w:after="0" w:line="240" w:lineRule="auto"/>
    </w:pPr>
    <w:rPr>
      <w:rFonts w:ascii="Arial" w:eastAsia="Calibri" w:hAnsi="Arial" w:cs="Times New Roman"/>
      <w:sz w:val="20"/>
      <w:szCs w:val="20"/>
      <w:lang w:val="en-AU" w:eastAsia="bg-BG"/>
    </w:rPr>
  </w:style>
  <w:style w:type="character" w:customStyle="1" w:styleId="af">
    <w:name w:val="Долен колонтитул Знак"/>
    <w:basedOn w:val="a0"/>
    <w:link w:val="ae"/>
    <w:uiPriority w:val="99"/>
    <w:rsid w:val="00897C29"/>
    <w:rPr>
      <w:rFonts w:ascii="Arial" w:eastAsia="Calibri" w:hAnsi="Arial" w:cs="Times New Roman"/>
      <w:sz w:val="20"/>
      <w:szCs w:val="20"/>
      <w:lang w:val="en-AU" w:eastAsia="bg-BG"/>
    </w:rPr>
  </w:style>
  <w:style w:type="character" w:styleId="af0">
    <w:name w:val="page number"/>
    <w:uiPriority w:val="99"/>
    <w:rsid w:val="00897C29"/>
    <w:rPr>
      <w:rFonts w:cs="Times New Roman"/>
    </w:rPr>
  </w:style>
  <w:style w:type="paragraph" w:styleId="af1">
    <w:name w:val="endnote text"/>
    <w:basedOn w:val="a"/>
    <w:link w:val="af2"/>
    <w:uiPriority w:val="99"/>
    <w:semiHidden/>
    <w:unhideWhenUsed/>
    <w:rsid w:val="00897C29"/>
    <w:pPr>
      <w:spacing w:after="0" w:line="240" w:lineRule="auto"/>
    </w:pPr>
    <w:rPr>
      <w:rFonts w:ascii="Calibri" w:eastAsia="Calibri" w:hAnsi="Calibri" w:cs="Times New Roman"/>
      <w:sz w:val="20"/>
      <w:szCs w:val="20"/>
    </w:rPr>
  </w:style>
  <w:style w:type="character" w:customStyle="1" w:styleId="af2">
    <w:name w:val="Текст на бележка в края Знак"/>
    <w:basedOn w:val="a0"/>
    <w:link w:val="af1"/>
    <w:uiPriority w:val="99"/>
    <w:semiHidden/>
    <w:rsid w:val="00897C29"/>
    <w:rPr>
      <w:rFonts w:ascii="Calibri" w:eastAsia="Calibri" w:hAnsi="Calibri" w:cs="Times New Roman"/>
      <w:sz w:val="20"/>
      <w:szCs w:val="20"/>
    </w:rPr>
  </w:style>
  <w:style w:type="character" w:styleId="af3">
    <w:name w:val="endnote reference"/>
    <w:basedOn w:val="a0"/>
    <w:uiPriority w:val="99"/>
    <w:semiHidden/>
    <w:unhideWhenUsed/>
    <w:rsid w:val="00897C29"/>
    <w:rPr>
      <w:vertAlign w:val="superscript"/>
    </w:rPr>
  </w:style>
  <w:style w:type="paragraph" w:customStyle="1" w:styleId="12">
    <w:name w:val="Стил1"/>
    <w:basedOn w:val="a4"/>
    <w:qFormat/>
    <w:rsid w:val="00897C29"/>
    <w:rPr>
      <w:lang w:eastAsia="bg-BG"/>
    </w:rPr>
  </w:style>
  <w:style w:type="paragraph" w:styleId="af4">
    <w:name w:val="header"/>
    <w:basedOn w:val="a"/>
    <w:link w:val="af5"/>
    <w:uiPriority w:val="99"/>
    <w:unhideWhenUsed/>
    <w:rsid w:val="00897C29"/>
    <w:pPr>
      <w:tabs>
        <w:tab w:val="center" w:pos="4536"/>
        <w:tab w:val="right" w:pos="9072"/>
      </w:tabs>
      <w:spacing w:after="0" w:line="240" w:lineRule="auto"/>
    </w:pPr>
    <w:rPr>
      <w:rFonts w:ascii="Calibri" w:eastAsia="Calibri" w:hAnsi="Calibri" w:cs="Times New Roman"/>
    </w:rPr>
  </w:style>
  <w:style w:type="character" w:customStyle="1" w:styleId="af5">
    <w:name w:val="Горен колонтитул Знак"/>
    <w:basedOn w:val="a0"/>
    <w:link w:val="af4"/>
    <w:uiPriority w:val="99"/>
    <w:rsid w:val="00897C29"/>
    <w:rPr>
      <w:rFonts w:ascii="Calibri" w:eastAsia="Calibri" w:hAnsi="Calibri" w:cs="Times New Roman"/>
    </w:rPr>
  </w:style>
  <w:style w:type="paragraph" w:customStyle="1" w:styleId="af6">
    <w:name w:val="Стил СЪДЪРЖАНИЕ"/>
    <w:basedOn w:val="a"/>
    <w:link w:val="af7"/>
    <w:qFormat/>
    <w:rsid w:val="00897C29"/>
    <w:pPr>
      <w:tabs>
        <w:tab w:val="left" w:pos="660"/>
        <w:tab w:val="right" w:leader="dot" w:pos="9344"/>
      </w:tabs>
      <w:spacing w:after="0" w:line="240" w:lineRule="auto"/>
      <w:ind w:left="260"/>
    </w:pPr>
    <w:rPr>
      <w:rFonts w:ascii="Times New Roman" w:eastAsia="Calibri" w:hAnsi="Times New Roman" w:cs="Times New Roman"/>
      <w:smallCaps/>
      <w:noProof/>
      <w:sz w:val="23"/>
      <w:szCs w:val="23"/>
      <w:lang w:eastAsia="bg-BG"/>
    </w:rPr>
  </w:style>
  <w:style w:type="paragraph" w:customStyle="1" w:styleId="-12">
    <w:name w:val="Подраздел - ниво 12"/>
    <w:aliases w:val="1"/>
    <w:basedOn w:val="3"/>
    <w:next w:val="ad"/>
    <w:uiPriority w:val="99"/>
    <w:rsid w:val="00897C29"/>
    <w:pPr>
      <w:keepNext/>
      <w:shd w:val="clear" w:color="auto" w:fill="FFFFFF"/>
      <w:tabs>
        <w:tab w:val="left" w:pos="926"/>
      </w:tabs>
      <w:autoSpaceDE w:val="0"/>
      <w:autoSpaceDN w:val="0"/>
      <w:adjustRightInd w:val="0"/>
      <w:spacing w:before="0" w:beforeAutospacing="0" w:after="0" w:afterAutospacing="0"/>
      <w:ind w:firstLine="720"/>
      <w:jc w:val="both"/>
    </w:pPr>
    <w:rPr>
      <w:rFonts w:eastAsia="Calibri" w:cs="Arial"/>
      <w:bCs w:val="0"/>
      <w:i/>
      <w:color w:val="000000"/>
      <w:sz w:val="28"/>
      <w:szCs w:val="22"/>
      <w:u w:val="single"/>
    </w:rPr>
  </w:style>
  <w:style w:type="character" w:customStyle="1" w:styleId="af7">
    <w:name w:val="Стил СЪДЪРЖАНИЕ Знак"/>
    <w:basedOn w:val="a0"/>
    <w:link w:val="af6"/>
    <w:rsid w:val="00897C29"/>
    <w:rPr>
      <w:rFonts w:ascii="Times New Roman" w:eastAsia="Calibri" w:hAnsi="Times New Roman" w:cs="Times New Roman"/>
      <w:smallCaps/>
      <w:noProof/>
      <w:sz w:val="23"/>
      <w:szCs w:val="23"/>
      <w:lang w:eastAsia="bg-BG"/>
    </w:rPr>
  </w:style>
  <w:style w:type="paragraph" w:styleId="af8">
    <w:name w:val="Body Text Indent"/>
    <w:basedOn w:val="a"/>
    <w:link w:val="af9"/>
    <w:uiPriority w:val="99"/>
    <w:unhideWhenUsed/>
    <w:rsid w:val="00897C29"/>
    <w:pPr>
      <w:spacing w:after="120"/>
      <w:ind w:left="283"/>
    </w:pPr>
    <w:rPr>
      <w:rFonts w:ascii="Calibri" w:eastAsia="Calibri" w:hAnsi="Calibri" w:cs="Times New Roman"/>
      <w:lang w:eastAsia="bg-BG"/>
    </w:rPr>
  </w:style>
  <w:style w:type="character" w:customStyle="1" w:styleId="af9">
    <w:name w:val="Основен текст с отстъп Знак"/>
    <w:basedOn w:val="a0"/>
    <w:link w:val="af8"/>
    <w:uiPriority w:val="99"/>
    <w:rsid w:val="00897C29"/>
    <w:rPr>
      <w:rFonts w:ascii="Calibri" w:eastAsia="Calibri" w:hAnsi="Calibri" w:cs="Times New Roman"/>
      <w:lang w:eastAsia="bg-BG"/>
    </w:rPr>
  </w:style>
  <w:style w:type="paragraph" w:styleId="HTML">
    <w:name w:val="HTML Preformatted"/>
    <w:basedOn w:val="a"/>
    <w:link w:val="HTML0"/>
    <w:uiPriority w:val="99"/>
    <w:unhideWhenUsed/>
    <w:rsid w:val="0089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897C29"/>
    <w:rPr>
      <w:rFonts w:ascii="Courier New" w:eastAsia="Times New Roman" w:hAnsi="Courier New" w:cs="Courier New"/>
      <w:sz w:val="20"/>
      <w:szCs w:val="20"/>
      <w:lang w:eastAsia="bg-BG"/>
    </w:rPr>
  </w:style>
  <w:style w:type="character" w:styleId="afa">
    <w:name w:val="Book Title"/>
    <w:basedOn w:val="a0"/>
    <w:uiPriority w:val="33"/>
    <w:qFormat/>
    <w:rsid w:val="00897C29"/>
    <w:rPr>
      <w:b/>
      <w:bCs/>
      <w:smallCaps/>
      <w:spacing w:val="5"/>
    </w:rPr>
  </w:style>
  <w:style w:type="numbering" w:customStyle="1" w:styleId="110">
    <w:name w:val="Без списък11"/>
    <w:next w:val="a2"/>
    <w:uiPriority w:val="99"/>
    <w:semiHidden/>
    <w:unhideWhenUsed/>
    <w:rsid w:val="00897C29"/>
  </w:style>
  <w:style w:type="numbering" w:customStyle="1" w:styleId="111">
    <w:name w:val="Без списък111"/>
    <w:next w:val="a2"/>
    <w:uiPriority w:val="99"/>
    <w:semiHidden/>
    <w:unhideWhenUsed/>
    <w:rsid w:val="00897C29"/>
  </w:style>
  <w:style w:type="numbering" w:customStyle="1" w:styleId="21">
    <w:name w:val="Без списък2"/>
    <w:next w:val="a2"/>
    <w:uiPriority w:val="99"/>
    <w:semiHidden/>
    <w:unhideWhenUsed/>
    <w:rsid w:val="00897C29"/>
  </w:style>
  <w:style w:type="numbering" w:customStyle="1" w:styleId="120">
    <w:name w:val="Без списък12"/>
    <w:next w:val="a2"/>
    <w:uiPriority w:val="99"/>
    <w:semiHidden/>
    <w:unhideWhenUsed/>
    <w:rsid w:val="00897C29"/>
  </w:style>
  <w:style w:type="paragraph" w:customStyle="1" w:styleId="2Normalen">
    <w:name w:val="Стил2 Normalen"/>
    <w:basedOn w:val="a"/>
    <w:link w:val="2Normalen0"/>
    <w:qFormat/>
    <w:rsid w:val="00897C29"/>
    <w:pPr>
      <w:keepNext/>
      <w:shd w:val="clear" w:color="auto" w:fill="FFFFFF"/>
      <w:tabs>
        <w:tab w:val="left" w:pos="926"/>
      </w:tabs>
      <w:autoSpaceDE w:val="0"/>
      <w:autoSpaceDN w:val="0"/>
      <w:adjustRightInd w:val="0"/>
      <w:spacing w:after="0" w:line="240" w:lineRule="auto"/>
      <w:ind w:firstLine="709"/>
      <w:jc w:val="both"/>
      <w:outlineLvl w:val="2"/>
    </w:pPr>
    <w:rPr>
      <w:rFonts w:ascii="Times New Roman" w:eastAsia="Calibri" w:hAnsi="Times New Roman" w:cs="Arial"/>
      <w:b/>
      <w:i/>
      <w:color w:val="000000"/>
      <w:sz w:val="28"/>
      <w:u w:val="single"/>
      <w:lang w:eastAsia="bg-BG"/>
    </w:rPr>
  </w:style>
  <w:style w:type="paragraph" w:customStyle="1" w:styleId="3Normalen">
    <w:name w:val="Стил3 Normalen"/>
    <w:basedOn w:val="a"/>
    <w:link w:val="3Normalen0"/>
    <w:qFormat/>
    <w:rsid w:val="00897C29"/>
    <w:pPr>
      <w:keepNext/>
      <w:shd w:val="clear" w:color="auto" w:fill="FFFFFF"/>
      <w:autoSpaceDE w:val="0"/>
      <w:autoSpaceDN w:val="0"/>
      <w:adjustRightInd w:val="0"/>
      <w:spacing w:after="0" w:line="240" w:lineRule="auto"/>
      <w:ind w:firstLine="709"/>
      <w:jc w:val="both"/>
      <w:outlineLvl w:val="1"/>
    </w:pPr>
    <w:rPr>
      <w:rFonts w:ascii="Times New Roman" w:eastAsia="Calibri" w:hAnsi="Times New Roman" w:cs="Arial"/>
      <w:b/>
      <w:iCs/>
      <w:color w:val="000000"/>
      <w:sz w:val="28"/>
      <w:lang w:eastAsia="bg-BG"/>
    </w:rPr>
  </w:style>
  <w:style w:type="character" w:customStyle="1" w:styleId="2Normalen0">
    <w:name w:val="Стил2 Normalen Знак"/>
    <w:basedOn w:val="a0"/>
    <w:link w:val="2Normalen"/>
    <w:rsid w:val="00897C29"/>
    <w:rPr>
      <w:rFonts w:ascii="Times New Roman" w:eastAsia="Calibri" w:hAnsi="Times New Roman" w:cs="Arial"/>
      <w:b/>
      <w:i/>
      <w:color w:val="000000"/>
      <w:sz w:val="28"/>
      <w:u w:val="single"/>
      <w:shd w:val="clear" w:color="auto" w:fill="FFFFFF"/>
      <w:lang w:eastAsia="bg-BG"/>
    </w:rPr>
  </w:style>
  <w:style w:type="character" w:customStyle="1" w:styleId="3Normalen0">
    <w:name w:val="Стил3 Normalen Знак"/>
    <w:basedOn w:val="a0"/>
    <w:link w:val="3Normalen"/>
    <w:rsid w:val="00897C29"/>
    <w:rPr>
      <w:rFonts w:ascii="Times New Roman" w:eastAsia="Calibri" w:hAnsi="Times New Roman" w:cs="Arial"/>
      <w:b/>
      <w:iCs/>
      <w:color w:val="000000"/>
      <w:sz w:val="28"/>
      <w:shd w:val="clear" w:color="auto" w:fill="FFFFFF"/>
      <w:lang w:eastAsia="bg-BG"/>
    </w:rPr>
  </w:style>
  <w:style w:type="numbering" w:customStyle="1" w:styleId="31">
    <w:name w:val="Без списък3"/>
    <w:next w:val="a2"/>
    <w:uiPriority w:val="99"/>
    <w:semiHidden/>
    <w:unhideWhenUsed/>
    <w:rsid w:val="00897C29"/>
  </w:style>
  <w:style w:type="numbering" w:customStyle="1" w:styleId="13">
    <w:name w:val="Без списък13"/>
    <w:next w:val="a2"/>
    <w:uiPriority w:val="99"/>
    <w:semiHidden/>
    <w:unhideWhenUsed/>
    <w:rsid w:val="00897C29"/>
  </w:style>
  <w:style w:type="numbering" w:customStyle="1" w:styleId="112">
    <w:name w:val="Без списък112"/>
    <w:next w:val="a2"/>
    <w:uiPriority w:val="99"/>
    <w:semiHidden/>
    <w:unhideWhenUsed/>
    <w:rsid w:val="00897C29"/>
  </w:style>
  <w:style w:type="numbering" w:customStyle="1" w:styleId="210">
    <w:name w:val="Без списък21"/>
    <w:next w:val="a2"/>
    <w:uiPriority w:val="99"/>
    <w:semiHidden/>
    <w:unhideWhenUsed/>
    <w:rsid w:val="00897C29"/>
  </w:style>
  <w:style w:type="numbering" w:customStyle="1" w:styleId="121">
    <w:name w:val="Без списък121"/>
    <w:next w:val="a2"/>
    <w:uiPriority w:val="99"/>
    <w:semiHidden/>
    <w:unhideWhenUsed/>
    <w:rsid w:val="00897C29"/>
  </w:style>
  <w:style w:type="numbering" w:customStyle="1" w:styleId="41">
    <w:name w:val="Без списък4"/>
    <w:next w:val="a2"/>
    <w:uiPriority w:val="99"/>
    <w:semiHidden/>
    <w:unhideWhenUsed/>
    <w:rsid w:val="007C2CE2"/>
  </w:style>
  <w:style w:type="character" w:styleId="afb">
    <w:name w:val="Hyperlink"/>
    <w:basedOn w:val="a0"/>
    <w:uiPriority w:val="99"/>
    <w:unhideWhenUsed/>
    <w:rsid w:val="00404D40"/>
    <w:rPr>
      <w:color w:val="0000FF" w:themeColor="hyperlink"/>
      <w:u w:val="single"/>
    </w:rPr>
  </w:style>
  <w:style w:type="character" w:styleId="afc">
    <w:name w:val="Emphasis"/>
    <w:basedOn w:val="a0"/>
    <w:uiPriority w:val="20"/>
    <w:qFormat/>
    <w:rsid w:val="00EC2EF8"/>
    <w:rPr>
      <w:i/>
      <w:iCs/>
    </w:rPr>
  </w:style>
  <w:style w:type="numbering" w:customStyle="1" w:styleId="5">
    <w:name w:val="Без списък5"/>
    <w:next w:val="a2"/>
    <w:uiPriority w:val="99"/>
    <w:semiHidden/>
    <w:unhideWhenUsed/>
    <w:rsid w:val="004D366B"/>
  </w:style>
  <w:style w:type="paragraph" w:styleId="afd">
    <w:name w:val="TOC Heading"/>
    <w:basedOn w:val="1"/>
    <w:next w:val="a"/>
    <w:uiPriority w:val="39"/>
    <w:semiHidden/>
    <w:unhideWhenUsed/>
    <w:qFormat/>
    <w:rsid w:val="00BB2744"/>
    <w:pPr>
      <w:outlineLvl w:val="9"/>
    </w:pPr>
    <w:rPr>
      <w:lang w:eastAsia="bg-BG"/>
    </w:rPr>
  </w:style>
  <w:style w:type="paragraph" w:styleId="22">
    <w:name w:val="toc 2"/>
    <w:basedOn w:val="a"/>
    <w:next w:val="a"/>
    <w:autoRedefine/>
    <w:uiPriority w:val="39"/>
    <w:unhideWhenUsed/>
    <w:qFormat/>
    <w:rsid w:val="00BB2744"/>
    <w:pPr>
      <w:spacing w:after="100"/>
      <w:ind w:left="220"/>
    </w:pPr>
    <w:rPr>
      <w:rFonts w:eastAsiaTheme="minorEastAsia"/>
      <w:lang w:eastAsia="bg-BG"/>
    </w:rPr>
  </w:style>
  <w:style w:type="paragraph" w:styleId="14">
    <w:name w:val="toc 1"/>
    <w:basedOn w:val="a"/>
    <w:next w:val="a"/>
    <w:autoRedefine/>
    <w:uiPriority w:val="39"/>
    <w:unhideWhenUsed/>
    <w:qFormat/>
    <w:rsid w:val="00BB2744"/>
    <w:pPr>
      <w:spacing w:after="100"/>
    </w:pPr>
    <w:rPr>
      <w:rFonts w:eastAsiaTheme="minorEastAsia"/>
      <w:lang w:eastAsia="bg-BG"/>
    </w:rPr>
  </w:style>
  <w:style w:type="paragraph" w:styleId="32">
    <w:name w:val="toc 3"/>
    <w:basedOn w:val="a"/>
    <w:next w:val="a"/>
    <w:autoRedefine/>
    <w:uiPriority w:val="39"/>
    <w:unhideWhenUsed/>
    <w:qFormat/>
    <w:rsid w:val="00065A07"/>
    <w:pPr>
      <w:tabs>
        <w:tab w:val="right" w:leader="dot" w:pos="9629"/>
      </w:tabs>
      <w:spacing w:after="100"/>
      <w:ind w:left="440"/>
    </w:pPr>
    <w:rPr>
      <w:rFonts w:ascii="Times New Roman" w:eastAsia="Times New Roman" w:hAnsi="Times New Roman" w:cs="Times New Roman"/>
      <w:noProof/>
      <w:lang w:eastAsia="bg-BG"/>
    </w:rPr>
  </w:style>
  <w:style w:type="paragraph" w:styleId="42">
    <w:name w:val="toc 4"/>
    <w:basedOn w:val="a"/>
    <w:next w:val="a"/>
    <w:autoRedefine/>
    <w:uiPriority w:val="39"/>
    <w:unhideWhenUsed/>
    <w:rsid w:val="00E7381E"/>
    <w:pPr>
      <w:spacing w:after="100"/>
      <w:ind w:left="660"/>
    </w:pPr>
    <w:rPr>
      <w:rFonts w:eastAsiaTheme="minorEastAsia"/>
      <w:lang w:eastAsia="bg-BG"/>
    </w:rPr>
  </w:style>
  <w:style w:type="paragraph" w:styleId="50">
    <w:name w:val="toc 5"/>
    <w:basedOn w:val="a"/>
    <w:next w:val="a"/>
    <w:autoRedefine/>
    <w:uiPriority w:val="39"/>
    <w:unhideWhenUsed/>
    <w:rsid w:val="00E7381E"/>
    <w:pPr>
      <w:spacing w:after="100"/>
      <w:ind w:left="880"/>
    </w:pPr>
    <w:rPr>
      <w:rFonts w:eastAsiaTheme="minorEastAsia"/>
      <w:lang w:eastAsia="bg-BG"/>
    </w:rPr>
  </w:style>
  <w:style w:type="paragraph" w:styleId="6">
    <w:name w:val="toc 6"/>
    <w:basedOn w:val="a"/>
    <w:next w:val="a"/>
    <w:autoRedefine/>
    <w:uiPriority w:val="39"/>
    <w:unhideWhenUsed/>
    <w:rsid w:val="00E7381E"/>
    <w:pPr>
      <w:spacing w:after="100"/>
      <w:ind w:left="1100"/>
    </w:pPr>
    <w:rPr>
      <w:rFonts w:eastAsiaTheme="minorEastAsia"/>
      <w:lang w:eastAsia="bg-BG"/>
    </w:rPr>
  </w:style>
  <w:style w:type="paragraph" w:styleId="7">
    <w:name w:val="toc 7"/>
    <w:basedOn w:val="a"/>
    <w:next w:val="a"/>
    <w:autoRedefine/>
    <w:uiPriority w:val="39"/>
    <w:unhideWhenUsed/>
    <w:rsid w:val="00E7381E"/>
    <w:pPr>
      <w:spacing w:after="100"/>
      <w:ind w:left="1320"/>
    </w:pPr>
    <w:rPr>
      <w:rFonts w:eastAsiaTheme="minorEastAsia"/>
      <w:lang w:eastAsia="bg-BG"/>
    </w:rPr>
  </w:style>
  <w:style w:type="paragraph" w:styleId="8">
    <w:name w:val="toc 8"/>
    <w:basedOn w:val="a"/>
    <w:next w:val="a"/>
    <w:autoRedefine/>
    <w:uiPriority w:val="39"/>
    <w:unhideWhenUsed/>
    <w:rsid w:val="00E7381E"/>
    <w:pPr>
      <w:spacing w:after="100"/>
      <w:ind w:left="1540"/>
    </w:pPr>
    <w:rPr>
      <w:rFonts w:eastAsiaTheme="minorEastAsia"/>
      <w:lang w:eastAsia="bg-BG"/>
    </w:rPr>
  </w:style>
  <w:style w:type="paragraph" w:styleId="9">
    <w:name w:val="toc 9"/>
    <w:basedOn w:val="a"/>
    <w:next w:val="a"/>
    <w:autoRedefine/>
    <w:uiPriority w:val="39"/>
    <w:unhideWhenUsed/>
    <w:rsid w:val="00E7381E"/>
    <w:pPr>
      <w:spacing w:after="100"/>
      <w:ind w:left="1760"/>
    </w:pPr>
    <w:rPr>
      <w:rFonts w:eastAsiaTheme="minorEastAsia"/>
      <w:lang w:eastAsia="bg-BG"/>
    </w:rPr>
  </w:style>
  <w:style w:type="numbering" w:customStyle="1" w:styleId="60">
    <w:name w:val="Без списък6"/>
    <w:next w:val="a2"/>
    <w:uiPriority w:val="99"/>
    <w:semiHidden/>
    <w:unhideWhenUsed/>
    <w:rsid w:val="00F0746D"/>
  </w:style>
  <w:style w:type="numbering" w:customStyle="1" w:styleId="70">
    <w:name w:val="Без списък7"/>
    <w:next w:val="a2"/>
    <w:uiPriority w:val="99"/>
    <w:semiHidden/>
    <w:unhideWhenUsed/>
    <w:rsid w:val="0023213C"/>
  </w:style>
  <w:style w:type="paragraph" w:styleId="afe">
    <w:name w:val="Normal (Web)"/>
    <w:basedOn w:val="a"/>
    <w:uiPriority w:val="99"/>
    <w:semiHidden/>
    <w:unhideWhenUsed/>
    <w:rsid w:val="0023213C"/>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48"/>
  </w:style>
  <w:style w:type="paragraph" w:styleId="1">
    <w:name w:val="heading 1"/>
    <w:basedOn w:val="a"/>
    <w:next w:val="a"/>
    <w:link w:val="10"/>
    <w:uiPriority w:val="9"/>
    <w:qFormat/>
    <w:rsid w:val="00897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97C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97C29"/>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4">
    <w:name w:val="heading 4"/>
    <w:basedOn w:val="a"/>
    <w:next w:val="a"/>
    <w:link w:val="40"/>
    <w:uiPriority w:val="9"/>
    <w:unhideWhenUsed/>
    <w:qFormat/>
    <w:rsid w:val="00897C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97C29"/>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897C29"/>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897C29"/>
    <w:rPr>
      <w:rFonts w:ascii="Times New Roman" w:eastAsia="Times New Roman" w:hAnsi="Times New Roman" w:cs="Times New Roman"/>
      <w:b/>
      <w:bCs/>
      <w:sz w:val="27"/>
      <w:szCs w:val="27"/>
      <w:lang w:eastAsia="bg-BG"/>
    </w:rPr>
  </w:style>
  <w:style w:type="character" w:customStyle="1" w:styleId="40">
    <w:name w:val="Заглавие 4 Знак"/>
    <w:basedOn w:val="a0"/>
    <w:link w:val="4"/>
    <w:uiPriority w:val="9"/>
    <w:rsid w:val="00897C29"/>
    <w:rPr>
      <w:rFonts w:asciiTheme="majorHAnsi" w:eastAsiaTheme="majorEastAsia" w:hAnsiTheme="majorHAnsi" w:cstheme="majorBidi"/>
      <w:b/>
      <w:bCs/>
      <w:i/>
      <w:iCs/>
      <w:color w:val="4F81BD" w:themeColor="accent1"/>
    </w:rPr>
  </w:style>
  <w:style w:type="numbering" w:customStyle="1" w:styleId="11">
    <w:name w:val="Без списък1"/>
    <w:next w:val="a2"/>
    <w:uiPriority w:val="99"/>
    <w:semiHidden/>
    <w:unhideWhenUsed/>
    <w:rsid w:val="00897C29"/>
  </w:style>
  <w:style w:type="character" w:styleId="a3">
    <w:name w:val="footnote reference"/>
    <w:uiPriority w:val="99"/>
    <w:rsid w:val="00897C29"/>
    <w:rPr>
      <w:rFonts w:cs="Times New Roman"/>
      <w:vertAlign w:val="superscript"/>
    </w:rPr>
  </w:style>
  <w:style w:type="paragraph" w:styleId="a4">
    <w:name w:val="No Spacing"/>
    <w:uiPriority w:val="1"/>
    <w:qFormat/>
    <w:rsid w:val="00897C29"/>
    <w:pPr>
      <w:spacing w:after="0" w:line="240" w:lineRule="auto"/>
    </w:pPr>
    <w:rPr>
      <w:rFonts w:ascii="Times New Roman" w:eastAsia="Times New Roman" w:hAnsi="Times New Roman" w:cs="Times New Roman"/>
      <w:sz w:val="24"/>
      <w:szCs w:val="24"/>
      <w:lang w:val="en-US"/>
    </w:rPr>
  </w:style>
  <w:style w:type="paragraph" w:styleId="a5">
    <w:name w:val="Balloon Text"/>
    <w:basedOn w:val="a"/>
    <w:link w:val="a6"/>
    <w:uiPriority w:val="99"/>
    <w:semiHidden/>
    <w:unhideWhenUsed/>
    <w:rsid w:val="00897C29"/>
    <w:pPr>
      <w:spacing w:after="0" w:line="240" w:lineRule="auto"/>
    </w:pPr>
    <w:rPr>
      <w:rFonts w:ascii="Tahoma" w:eastAsia="Calibri" w:hAnsi="Tahoma" w:cs="Tahoma"/>
      <w:sz w:val="16"/>
      <w:szCs w:val="16"/>
    </w:rPr>
  </w:style>
  <w:style w:type="character" w:customStyle="1" w:styleId="a6">
    <w:name w:val="Изнесен текст Знак"/>
    <w:basedOn w:val="a0"/>
    <w:link w:val="a5"/>
    <w:uiPriority w:val="99"/>
    <w:semiHidden/>
    <w:rsid w:val="00897C29"/>
    <w:rPr>
      <w:rFonts w:ascii="Tahoma" w:eastAsia="Calibri" w:hAnsi="Tahoma" w:cs="Tahoma"/>
      <w:sz w:val="16"/>
      <w:szCs w:val="16"/>
    </w:rPr>
  </w:style>
  <w:style w:type="character" w:customStyle="1" w:styleId="a7">
    <w:name w:val="Раздел Знак"/>
    <w:link w:val="a8"/>
    <w:uiPriority w:val="99"/>
    <w:locked/>
    <w:rsid w:val="00897C29"/>
    <w:rPr>
      <w:b/>
      <w:caps/>
      <w:color w:val="000000"/>
      <w:kern w:val="32"/>
      <w:sz w:val="32"/>
      <w:shd w:val="clear" w:color="auto" w:fill="FFFFFF"/>
      <w:lang w:val="en-US"/>
    </w:rPr>
  </w:style>
  <w:style w:type="paragraph" w:customStyle="1" w:styleId="a8">
    <w:name w:val="Раздел"/>
    <w:basedOn w:val="1"/>
    <w:next w:val="a"/>
    <w:link w:val="a7"/>
    <w:uiPriority w:val="99"/>
    <w:rsid w:val="00897C29"/>
    <w:pPr>
      <w:keepLines w:val="0"/>
      <w:shd w:val="clear" w:color="auto" w:fill="FFFFFF"/>
      <w:autoSpaceDE w:val="0"/>
      <w:autoSpaceDN w:val="0"/>
      <w:adjustRightInd w:val="0"/>
      <w:spacing w:before="0" w:line="240" w:lineRule="auto"/>
      <w:jc w:val="center"/>
    </w:pPr>
    <w:rPr>
      <w:rFonts w:asciiTheme="minorHAnsi" w:eastAsiaTheme="minorHAnsi" w:hAnsiTheme="minorHAnsi" w:cstheme="minorBidi"/>
      <w:bCs w:val="0"/>
      <w:caps/>
      <w:color w:val="000000"/>
      <w:kern w:val="32"/>
      <w:sz w:val="32"/>
      <w:szCs w:val="22"/>
      <w:lang w:val="en-US"/>
    </w:rPr>
  </w:style>
  <w:style w:type="paragraph" w:styleId="a9">
    <w:name w:val="List Paragraph"/>
    <w:basedOn w:val="a"/>
    <w:uiPriority w:val="34"/>
    <w:qFormat/>
    <w:rsid w:val="00897C29"/>
    <w:pPr>
      <w:ind w:left="708"/>
    </w:pPr>
    <w:rPr>
      <w:rFonts w:ascii="Calibri" w:eastAsia="Calibri" w:hAnsi="Calibri" w:cs="Times New Roman"/>
    </w:rPr>
  </w:style>
  <w:style w:type="paragraph" w:styleId="aa">
    <w:name w:val="footnote text"/>
    <w:basedOn w:val="a"/>
    <w:link w:val="ab"/>
    <w:uiPriority w:val="99"/>
    <w:rsid w:val="00897C29"/>
    <w:pPr>
      <w:spacing w:after="0" w:line="240" w:lineRule="auto"/>
    </w:pPr>
    <w:rPr>
      <w:rFonts w:ascii="Times New Roman" w:eastAsia="Calibri" w:hAnsi="Times New Roman" w:cs="Times New Roman"/>
      <w:sz w:val="20"/>
      <w:szCs w:val="20"/>
      <w:lang w:val="en-AU" w:eastAsia="bg-BG"/>
    </w:rPr>
  </w:style>
  <w:style w:type="character" w:customStyle="1" w:styleId="ab">
    <w:name w:val="Текст под линия Знак"/>
    <w:basedOn w:val="a0"/>
    <w:link w:val="aa"/>
    <w:uiPriority w:val="99"/>
    <w:rsid w:val="00897C29"/>
    <w:rPr>
      <w:rFonts w:ascii="Times New Roman" w:eastAsia="Calibri" w:hAnsi="Times New Roman" w:cs="Times New Roman"/>
      <w:sz w:val="20"/>
      <w:szCs w:val="20"/>
      <w:lang w:val="en-AU" w:eastAsia="bg-BG"/>
    </w:rPr>
  </w:style>
  <w:style w:type="character" w:customStyle="1" w:styleId="ac">
    <w:name w:val="Основен текст в доклад Знак"/>
    <w:link w:val="ad"/>
    <w:uiPriority w:val="99"/>
    <w:locked/>
    <w:rsid w:val="00897C29"/>
    <w:rPr>
      <w:color w:val="000000"/>
      <w:sz w:val="28"/>
      <w:shd w:val="clear" w:color="auto" w:fill="FFFFFF"/>
    </w:rPr>
  </w:style>
  <w:style w:type="paragraph" w:customStyle="1" w:styleId="ad">
    <w:name w:val="Основен текст в доклад"/>
    <w:basedOn w:val="a"/>
    <w:link w:val="ac"/>
    <w:uiPriority w:val="99"/>
    <w:rsid w:val="00897C29"/>
    <w:pPr>
      <w:shd w:val="clear" w:color="auto" w:fill="FFFFFF"/>
      <w:tabs>
        <w:tab w:val="left" w:pos="826"/>
      </w:tabs>
      <w:autoSpaceDE w:val="0"/>
      <w:autoSpaceDN w:val="0"/>
      <w:adjustRightInd w:val="0"/>
      <w:spacing w:after="0" w:line="240" w:lineRule="auto"/>
      <w:ind w:firstLine="720"/>
      <w:jc w:val="both"/>
    </w:pPr>
    <w:rPr>
      <w:color w:val="000000"/>
      <w:sz w:val="28"/>
    </w:rPr>
  </w:style>
  <w:style w:type="paragraph" w:customStyle="1" w:styleId="-1">
    <w:name w:val="Подраздел - ниво 1"/>
    <w:basedOn w:val="2"/>
    <w:next w:val="ad"/>
    <w:uiPriority w:val="99"/>
    <w:rsid w:val="00897C29"/>
    <w:pPr>
      <w:keepLines w:val="0"/>
      <w:shd w:val="clear" w:color="auto" w:fill="FFFFFF"/>
      <w:tabs>
        <w:tab w:val="left" w:pos="763"/>
      </w:tabs>
      <w:autoSpaceDE w:val="0"/>
      <w:autoSpaceDN w:val="0"/>
      <w:adjustRightInd w:val="0"/>
      <w:spacing w:before="0" w:line="240" w:lineRule="auto"/>
      <w:ind w:firstLine="720"/>
      <w:jc w:val="both"/>
    </w:pPr>
    <w:rPr>
      <w:rFonts w:ascii="Times New Roman" w:eastAsia="Calibri" w:hAnsi="Times New Roman" w:cs="Arial"/>
      <w:bCs w:val="0"/>
      <w:iCs/>
      <w:color w:val="000000"/>
      <w:sz w:val="28"/>
      <w:szCs w:val="22"/>
      <w:lang w:eastAsia="bg-BG"/>
    </w:rPr>
  </w:style>
  <w:style w:type="paragraph" w:styleId="ae">
    <w:name w:val="footer"/>
    <w:basedOn w:val="a"/>
    <w:link w:val="af"/>
    <w:uiPriority w:val="99"/>
    <w:rsid w:val="00897C29"/>
    <w:pPr>
      <w:tabs>
        <w:tab w:val="center" w:pos="4153"/>
        <w:tab w:val="right" w:pos="8306"/>
      </w:tabs>
      <w:spacing w:after="0" w:line="240" w:lineRule="auto"/>
    </w:pPr>
    <w:rPr>
      <w:rFonts w:ascii="Arial" w:eastAsia="Calibri" w:hAnsi="Arial" w:cs="Times New Roman"/>
      <w:sz w:val="20"/>
      <w:szCs w:val="20"/>
      <w:lang w:val="en-AU" w:eastAsia="bg-BG"/>
    </w:rPr>
  </w:style>
  <w:style w:type="character" w:customStyle="1" w:styleId="af">
    <w:name w:val="Долен колонтитул Знак"/>
    <w:basedOn w:val="a0"/>
    <w:link w:val="ae"/>
    <w:uiPriority w:val="99"/>
    <w:rsid w:val="00897C29"/>
    <w:rPr>
      <w:rFonts w:ascii="Arial" w:eastAsia="Calibri" w:hAnsi="Arial" w:cs="Times New Roman"/>
      <w:sz w:val="20"/>
      <w:szCs w:val="20"/>
      <w:lang w:val="en-AU" w:eastAsia="bg-BG"/>
    </w:rPr>
  </w:style>
  <w:style w:type="character" w:styleId="af0">
    <w:name w:val="page number"/>
    <w:uiPriority w:val="99"/>
    <w:rsid w:val="00897C29"/>
    <w:rPr>
      <w:rFonts w:cs="Times New Roman"/>
    </w:rPr>
  </w:style>
  <w:style w:type="paragraph" w:styleId="af1">
    <w:name w:val="endnote text"/>
    <w:basedOn w:val="a"/>
    <w:link w:val="af2"/>
    <w:uiPriority w:val="99"/>
    <w:semiHidden/>
    <w:unhideWhenUsed/>
    <w:rsid w:val="00897C29"/>
    <w:pPr>
      <w:spacing w:after="0" w:line="240" w:lineRule="auto"/>
    </w:pPr>
    <w:rPr>
      <w:rFonts w:ascii="Calibri" w:eastAsia="Calibri" w:hAnsi="Calibri" w:cs="Times New Roman"/>
      <w:sz w:val="20"/>
      <w:szCs w:val="20"/>
    </w:rPr>
  </w:style>
  <w:style w:type="character" w:customStyle="1" w:styleId="af2">
    <w:name w:val="Текст на бележка в края Знак"/>
    <w:basedOn w:val="a0"/>
    <w:link w:val="af1"/>
    <w:uiPriority w:val="99"/>
    <w:semiHidden/>
    <w:rsid w:val="00897C29"/>
    <w:rPr>
      <w:rFonts w:ascii="Calibri" w:eastAsia="Calibri" w:hAnsi="Calibri" w:cs="Times New Roman"/>
      <w:sz w:val="20"/>
      <w:szCs w:val="20"/>
    </w:rPr>
  </w:style>
  <w:style w:type="character" w:styleId="af3">
    <w:name w:val="endnote reference"/>
    <w:basedOn w:val="a0"/>
    <w:uiPriority w:val="99"/>
    <w:semiHidden/>
    <w:unhideWhenUsed/>
    <w:rsid w:val="00897C29"/>
    <w:rPr>
      <w:vertAlign w:val="superscript"/>
    </w:rPr>
  </w:style>
  <w:style w:type="paragraph" w:customStyle="1" w:styleId="12">
    <w:name w:val="Стил1"/>
    <w:basedOn w:val="a4"/>
    <w:qFormat/>
    <w:rsid w:val="00897C29"/>
    <w:rPr>
      <w:lang w:eastAsia="bg-BG"/>
    </w:rPr>
  </w:style>
  <w:style w:type="paragraph" w:styleId="af4">
    <w:name w:val="header"/>
    <w:basedOn w:val="a"/>
    <w:link w:val="af5"/>
    <w:uiPriority w:val="99"/>
    <w:unhideWhenUsed/>
    <w:rsid w:val="00897C29"/>
    <w:pPr>
      <w:tabs>
        <w:tab w:val="center" w:pos="4536"/>
        <w:tab w:val="right" w:pos="9072"/>
      </w:tabs>
      <w:spacing w:after="0" w:line="240" w:lineRule="auto"/>
    </w:pPr>
    <w:rPr>
      <w:rFonts w:ascii="Calibri" w:eastAsia="Calibri" w:hAnsi="Calibri" w:cs="Times New Roman"/>
    </w:rPr>
  </w:style>
  <w:style w:type="character" w:customStyle="1" w:styleId="af5">
    <w:name w:val="Горен колонтитул Знак"/>
    <w:basedOn w:val="a0"/>
    <w:link w:val="af4"/>
    <w:uiPriority w:val="99"/>
    <w:rsid w:val="00897C29"/>
    <w:rPr>
      <w:rFonts w:ascii="Calibri" w:eastAsia="Calibri" w:hAnsi="Calibri" w:cs="Times New Roman"/>
    </w:rPr>
  </w:style>
  <w:style w:type="paragraph" w:customStyle="1" w:styleId="af6">
    <w:name w:val="Стил СЪДЪРЖАНИЕ"/>
    <w:basedOn w:val="a"/>
    <w:link w:val="af7"/>
    <w:qFormat/>
    <w:rsid w:val="00897C29"/>
    <w:pPr>
      <w:tabs>
        <w:tab w:val="left" w:pos="660"/>
        <w:tab w:val="right" w:leader="dot" w:pos="9344"/>
      </w:tabs>
      <w:spacing w:after="0" w:line="240" w:lineRule="auto"/>
      <w:ind w:left="260"/>
    </w:pPr>
    <w:rPr>
      <w:rFonts w:ascii="Times New Roman" w:eastAsia="Calibri" w:hAnsi="Times New Roman" w:cs="Times New Roman"/>
      <w:smallCaps/>
      <w:noProof/>
      <w:sz w:val="23"/>
      <w:szCs w:val="23"/>
      <w:lang w:eastAsia="bg-BG"/>
    </w:rPr>
  </w:style>
  <w:style w:type="paragraph" w:customStyle="1" w:styleId="-12">
    <w:name w:val="Подраздел - ниво 12"/>
    <w:aliases w:val="1"/>
    <w:basedOn w:val="3"/>
    <w:next w:val="ad"/>
    <w:uiPriority w:val="99"/>
    <w:rsid w:val="00897C29"/>
    <w:pPr>
      <w:keepNext/>
      <w:shd w:val="clear" w:color="auto" w:fill="FFFFFF"/>
      <w:tabs>
        <w:tab w:val="left" w:pos="926"/>
      </w:tabs>
      <w:autoSpaceDE w:val="0"/>
      <w:autoSpaceDN w:val="0"/>
      <w:adjustRightInd w:val="0"/>
      <w:spacing w:before="0" w:beforeAutospacing="0" w:after="0" w:afterAutospacing="0"/>
      <w:ind w:firstLine="720"/>
      <w:jc w:val="both"/>
    </w:pPr>
    <w:rPr>
      <w:rFonts w:eastAsia="Calibri" w:cs="Arial"/>
      <w:bCs w:val="0"/>
      <w:i/>
      <w:color w:val="000000"/>
      <w:sz w:val="28"/>
      <w:szCs w:val="22"/>
      <w:u w:val="single"/>
    </w:rPr>
  </w:style>
  <w:style w:type="character" w:customStyle="1" w:styleId="af7">
    <w:name w:val="Стил СЪДЪРЖАНИЕ Знак"/>
    <w:basedOn w:val="a0"/>
    <w:link w:val="af6"/>
    <w:rsid w:val="00897C29"/>
    <w:rPr>
      <w:rFonts w:ascii="Times New Roman" w:eastAsia="Calibri" w:hAnsi="Times New Roman" w:cs="Times New Roman"/>
      <w:smallCaps/>
      <w:noProof/>
      <w:sz w:val="23"/>
      <w:szCs w:val="23"/>
      <w:lang w:eastAsia="bg-BG"/>
    </w:rPr>
  </w:style>
  <w:style w:type="paragraph" w:styleId="af8">
    <w:name w:val="Body Text Indent"/>
    <w:basedOn w:val="a"/>
    <w:link w:val="af9"/>
    <w:uiPriority w:val="99"/>
    <w:unhideWhenUsed/>
    <w:rsid w:val="00897C29"/>
    <w:pPr>
      <w:spacing w:after="120"/>
      <w:ind w:left="283"/>
    </w:pPr>
    <w:rPr>
      <w:rFonts w:ascii="Calibri" w:eastAsia="Calibri" w:hAnsi="Calibri" w:cs="Times New Roman"/>
      <w:lang w:eastAsia="bg-BG"/>
    </w:rPr>
  </w:style>
  <w:style w:type="character" w:customStyle="1" w:styleId="af9">
    <w:name w:val="Основен текст с отстъп Знак"/>
    <w:basedOn w:val="a0"/>
    <w:link w:val="af8"/>
    <w:uiPriority w:val="99"/>
    <w:rsid w:val="00897C29"/>
    <w:rPr>
      <w:rFonts w:ascii="Calibri" w:eastAsia="Calibri" w:hAnsi="Calibri" w:cs="Times New Roman"/>
      <w:lang w:eastAsia="bg-BG"/>
    </w:rPr>
  </w:style>
  <w:style w:type="paragraph" w:styleId="HTML">
    <w:name w:val="HTML Preformatted"/>
    <w:basedOn w:val="a"/>
    <w:link w:val="HTML0"/>
    <w:uiPriority w:val="99"/>
    <w:unhideWhenUsed/>
    <w:rsid w:val="0089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897C29"/>
    <w:rPr>
      <w:rFonts w:ascii="Courier New" w:eastAsia="Times New Roman" w:hAnsi="Courier New" w:cs="Courier New"/>
      <w:sz w:val="20"/>
      <w:szCs w:val="20"/>
      <w:lang w:eastAsia="bg-BG"/>
    </w:rPr>
  </w:style>
  <w:style w:type="character" w:styleId="afa">
    <w:name w:val="Book Title"/>
    <w:basedOn w:val="a0"/>
    <w:uiPriority w:val="33"/>
    <w:qFormat/>
    <w:rsid w:val="00897C29"/>
    <w:rPr>
      <w:b/>
      <w:bCs/>
      <w:smallCaps/>
      <w:spacing w:val="5"/>
    </w:rPr>
  </w:style>
  <w:style w:type="numbering" w:customStyle="1" w:styleId="110">
    <w:name w:val="Без списък11"/>
    <w:next w:val="a2"/>
    <w:uiPriority w:val="99"/>
    <w:semiHidden/>
    <w:unhideWhenUsed/>
    <w:rsid w:val="00897C29"/>
  </w:style>
  <w:style w:type="numbering" w:customStyle="1" w:styleId="111">
    <w:name w:val="Без списък111"/>
    <w:next w:val="a2"/>
    <w:uiPriority w:val="99"/>
    <w:semiHidden/>
    <w:unhideWhenUsed/>
    <w:rsid w:val="00897C29"/>
  </w:style>
  <w:style w:type="numbering" w:customStyle="1" w:styleId="21">
    <w:name w:val="Без списък2"/>
    <w:next w:val="a2"/>
    <w:uiPriority w:val="99"/>
    <w:semiHidden/>
    <w:unhideWhenUsed/>
    <w:rsid w:val="00897C29"/>
  </w:style>
  <w:style w:type="numbering" w:customStyle="1" w:styleId="120">
    <w:name w:val="Без списък12"/>
    <w:next w:val="a2"/>
    <w:uiPriority w:val="99"/>
    <w:semiHidden/>
    <w:unhideWhenUsed/>
    <w:rsid w:val="00897C29"/>
  </w:style>
  <w:style w:type="paragraph" w:customStyle="1" w:styleId="2Normalen">
    <w:name w:val="Стил2 Normalen"/>
    <w:basedOn w:val="a"/>
    <w:link w:val="2Normalen0"/>
    <w:qFormat/>
    <w:rsid w:val="00897C29"/>
    <w:pPr>
      <w:keepNext/>
      <w:shd w:val="clear" w:color="auto" w:fill="FFFFFF"/>
      <w:tabs>
        <w:tab w:val="left" w:pos="926"/>
      </w:tabs>
      <w:autoSpaceDE w:val="0"/>
      <w:autoSpaceDN w:val="0"/>
      <w:adjustRightInd w:val="0"/>
      <w:spacing w:after="0" w:line="240" w:lineRule="auto"/>
      <w:ind w:firstLine="709"/>
      <w:jc w:val="both"/>
      <w:outlineLvl w:val="2"/>
    </w:pPr>
    <w:rPr>
      <w:rFonts w:ascii="Times New Roman" w:eastAsia="Calibri" w:hAnsi="Times New Roman" w:cs="Arial"/>
      <w:b/>
      <w:i/>
      <w:color w:val="000000"/>
      <w:sz w:val="28"/>
      <w:u w:val="single"/>
      <w:lang w:eastAsia="bg-BG"/>
    </w:rPr>
  </w:style>
  <w:style w:type="paragraph" w:customStyle="1" w:styleId="3Normalen">
    <w:name w:val="Стил3 Normalen"/>
    <w:basedOn w:val="a"/>
    <w:link w:val="3Normalen0"/>
    <w:qFormat/>
    <w:rsid w:val="00897C29"/>
    <w:pPr>
      <w:keepNext/>
      <w:shd w:val="clear" w:color="auto" w:fill="FFFFFF"/>
      <w:autoSpaceDE w:val="0"/>
      <w:autoSpaceDN w:val="0"/>
      <w:adjustRightInd w:val="0"/>
      <w:spacing w:after="0" w:line="240" w:lineRule="auto"/>
      <w:ind w:firstLine="709"/>
      <w:jc w:val="both"/>
      <w:outlineLvl w:val="1"/>
    </w:pPr>
    <w:rPr>
      <w:rFonts w:ascii="Times New Roman" w:eastAsia="Calibri" w:hAnsi="Times New Roman" w:cs="Arial"/>
      <w:b/>
      <w:iCs/>
      <w:color w:val="000000"/>
      <w:sz w:val="28"/>
      <w:lang w:eastAsia="bg-BG"/>
    </w:rPr>
  </w:style>
  <w:style w:type="character" w:customStyle="1" w:styleId="2Normalen0">
    <w:name w:val="Стил2 Normalen Знак"/>
    <w:basedOn w:val="a0"/>
    <w:link w:val="2Normalen"/>
    <w:rsid w:val="00897C29"/>
    <w:rPr>
      <w:rFonts w:ascii="Times New Roman" w:eastAsia="Calibri" w:hAnsi="Times New Roman" w:cs="Arial"/>
      <w:b/>
      <w:i/>
      <w:color w:val="000000"/>
      <w:sz w:val="28"/>
      <w:u w:val="single"/>
      <w:shd w:val="clear" w:color="auto" w:fill="FFFFFF"/>
      <w:lang w:eastAsia="bg-BG"/>
    </w:rPr>
  </w:style>
  <w:style w:type="character" w:customStyle="1" w:styleId="3Normalen0">
    <w:name w:val="Стил3 Normalen Знак"/>
    <w:basedOn w:val="a0"/>
    <w:link w:val="3Normalen"/>
    <w:rsid w:val="00897C29"/>
    <w:rPr>
      <w:rFonts w:ascii="Times New Roman" w:eastAsia="Calibri" w:hAnsi="Times New Roman" w:cs="Arial"/>
      <w:b/>
      <w:iCs/>
      <w:color w:val="000000"/>
      <w:sz w:val="28"/>
      <w:shd w:val="clear" w:color="auto" w:fill="FFFFFF"/>
      <w:lang w:eastAsia="bg-BG"/>
    </w:rPr>
  </w:style>
  <w:style w:type="numbering" w:customStyle="1" w:styleId="31">
    <w:name w:val="Без списък3"/>
    <w:next w:val="a2"/>
    <w:uiPriority w:val="99"/>
    <w:semiHidden/>
    <w:unhideWhenUsed/>
    <w:rsid w:val="00897C29"/>
  </w:style>
  <w:style w:type="numbering" w:customStyle="1" w:styleId="13">
    <w:name w:val="Без списък13"/>
    <w:next w:val="a2"/>
    <w:uiPriority w:val="99"/>
    <w:semiHidden/>
    <w:unhideWhenUsed/>
    <w:rsid w:val="00897C29"/>
  </w:style>
  <w:style w:type="numbering" w:customStyle="1" w:styleId="112">
    <w:name w:val="Без списък112"/>
    <w:next w:val="a2"/>
    <w:uiPriority w:val="99"/>
    <w:semiHidden/>
    <w:unhideWhenUsed/>
    <w:rsid w:val="00897C29"/>
  </w:style>
  <w:style w:type="numbering" w:customStyle="1" w:styleId="210">
    <w:name w:val="Без списък21"/>
    <w:next w:val="a2"/>
    <w:uiPriority w:val="99"/>
    <w:semiHidden/>
    <w:unhideWhenUsed/>
    <w:rsid w:val="00897C29"/>
  </w:style>
  <w:style w:type="numbering" w:customStyle="1" w:styleId="121">
    <w:name w:val="Без списък121"/>
    <w:next w:val="a2"/>
    <w:uiPriority w:val="99"/>
    <w:semiHidden/>
    <w:unhideWhenUsed/>
    <w:rsid w:val="00897C29"/>
  </w:style>
  <w:style w:type="numbering" w:customStyle="1" w:styleId="41">
    <w:name w:val="Без списък4"/>
    <w:next w:val="a2"/>
    <w:uiPriority w:val="99"/>
    <w:semiHidden/>
    <w:unhideWhenUsed/>
    <w:rsid w:val="007C2CE2"/>
  </w:style>
  <w:style w:type="character" w:styleId="afb">
    <w:name w:val="Hyperlink"/>
    <w:basedOn w:val="a0"/>
    <w:uiPriority w:val="99"/>
    <w:unhideWhenUsed/>
    <w:rsid w:val="00404D40"/>
    <w:rPr>
      <w:color w:val="0000FF" w:themeColor="hyperlink"/>
      <w:u w:val="single"/>
    </w:rPr>
  </w:style>
  <w:style w:type="character" w:styleId="afc">
    <w:name w:val="Emphasis"/>
    <w:basedOn w:val="a0"/>
    <w:uiPriority w:val="20"/>
    <w:qFormat/>
    <w:rsid w:val="00EC2EF8"/>
    <w:rPr>
      <w:i/>
      <w:iCs/>
    </w:rPr>
  </w:style>
  <w:style w:type="numbering" w:customStyle="1" w:styleId="5">
    <w:name w:val="Без списък5"/>
    <w:next w:val="a2"/>
    <w:uiPriority w:val="99"/>
    <w:semiHidden/>
    <w:unhideWhenUsed/>
    <w:rsid w:val="004D366B"/>
  </w:style>
  <w:style w:type="paragraph" w:styleId="afd">
    <w:name w:val="TOC Heading"/>
    <w:basedOn w:val="1"/>
    <w:next w:val="a"/>
    <w:uiPriority w:val="39"/>
    <w:semiHidden/>
    <w:unhideWhenUsed/>
    <w:qFormat/>
    <w:rsid w:val="00BB2744"/>
    <w:pPr>
      <w:outlineLvl w:val="9"/>
    </w:pPr>
    <w:rPr>
      <w:lang w:eastAsia="bg-BG"/>
    </w:rPr>
  </w:style>
  <w:style w:type="paragraph" w:styleId="22">
    <w:name w:val="toc 2"/>
    <w:basedOn w:val="a"/>
    <w:next w:val="a"/>
    <w:autoRedefine/>
    <w:uiPriority w:val="39"/>
    <w:unhideWhenUsed/>
    <w:qFormat/>
    <w:rsid w:val="00BB2744"/>
    <w:pPr>
      <w:spacing w:after="100"/>
      <w:ind w:left="220"/>
    </w:pPr>
    <w:rPr>
      <w:rFonts w:eastAsiaTheme="minorEastAsia"/>
      <w:lang w:eastAsia="bg-BG"/>
    </w:rPr>
  </w:style>
  <w:style w:type="paragraph" w:styleId="14">
    <w:name w:val="toc 1"/>
    <w:basedOn w:val="a"/>
    <w:next w:val="a"/>
    <w:autoRedefine/>
    <w:uiPriority w:val="39"/>
    <w:unhideWhenUsed/>
    <w:qFormat/>
    <w:rsid w:val="00BB2744"/>
    <w:pPr>
      <w:spacing w:after="100"/>
    </w:pPr>
    <w:rPr>
      <w:rFonts w:eastAsiaTheme="minorEastAsia"/>
      <w:lang w:eastAsia="bg-BG"/>
    </w:rPr>
  </w:style>
  <w:style w:type="paragraph" w:styleId="32">
    <w:name w:val="toc 3"/>
    <w:basedOn w:val="a"/>
    <w:next w:val="a"/>
    <w:autoRedefine/>
    <w:uiPriority w:val="39"/>
    <w:unhideWhenUsed/>
    <w:qFormat/>
    <w:rsid w:val="00065A07"/>
    <w:pPr>
      <w:tabs>
        <w:tab w:val="right" w:leader="dot" w:pos="9629"/>
      </w:tabs>
      <w:spacing w:after="100"/>
      <w:ind w:left="440"/>
    </w:pPr>
    <w:rPr>
      <w:rFonts w:ascii="Times New Roman" w:eastAsia="Times New Roman" w:hAnsi="Times New Roman" w:cs="Times New Roman"/>
      <w:noProof/>
      <w:lang w:eastAsia="bg-BG"/>
    </w:rPr>
  </w:style>
  <w:style w:type="paragraph" w:styleId="42">
    <w:name w:val="toc 4"/>
    <w:basedOn w:val="a"/>
    <w:next w:val="a"/>
    <w:autoRedefine/>
    <w:uiPriority w:val="39"/>
    <w:unhideWhenUsed/>
    <w:rsid w:val="00E7381E"/>
    <w:pPr>
      <w:spacing w:after="100"/>
      <w:ind w:left="660"/>
    </w:pPr>
    <w:rPr>
      <w:rFonts w:eastAsiaTheme="minorEastAsia"/>
      <w:lang w:eastAsia="bg-BG"/>
    </w:rPr>
  </w:style>
  <w:style w:type="paragraph" w:styleId="50">
    <w:name w:val="toc 5"/>
    <w:basedOn w:val="a"/>
    <w:next w:val="a"/>
    <w:autoRedefine/>
    <w:uiPriority w:val="39"/>
    <w:unhideWhenUsed/>
    <w:rsid w:val="00E7381E"/>
    <w:pPr>
      <w:spacing w:after="100"/>
      <w:ind w:left="880"/>
    </w:pPr>
    <w:rPr>
      <w:rFonts w:eastAsiaTheme="minorEastAsia"/>
      <w:lang w:eastAsia="bg-BG"/>
    </w:rPr>
  </w:style>
  <w:style w:type="paragraph" w:styleId="6">
    <w:name w:val="toc 6"/>
    <w:basedOn w:val="a"/>
    <w:next w:val="a"/>
    <w:autoRedefine/>
    <w:uiPriority w:val="39"/>
    <w:unhideWhenUsed/>
    <w:rsid w:val="00E7381E"/>
    <w:pPr>
      <w:spacing w:after="100"/>
      <w:ind w:left="1100"/>
    </w:pPr>
    <w:rPr>
      <w:rFonts w:eastAsiaTheme="minorEastAsia"/>
      <w:lang w:eastAsia="bg-BG"/>
    </w:rPr>
  </w:style>
  <w:style w:type="paragraph" w:styleId="7">
    <w:name w:val="toc 7"/>
    <w:basedOn w:val="a"/>
    <w:next w:val="a"/>
    <w:autoRedefine/>
    <w:uiPriority w:val="39"/>
    <w:unhideWhenUsed/>
    <w:rsid w:val="00E7381E"/>
    <w:pPr>
      <w:spacing w:after="100"/>
      <w:ind w:left="1320"/>
    </w:pPr>
    <w:rPr>
      <w:rFonts w:eastAsiaTheme="minorEastAsia"/>
      <w:lang w:eastAsia="bg-BG"/>
    </w:rPr>
  </w:style>
  <w:style w:type="paragraph" w:styleId="8">
    <w:name w:val="toc 8"/>
    <w:basedOn w:val="a"/>
    <w:next w:val="a"/>
    <w:autoRedefine/>
    <w:uiPriority w:val="39"/>
    <w:unhideWhenUsed/>
    <w:rsid w:val="00E7381E"/>
    <w:pPr>
      <w:spacing w:after="100"/>
      <w:ind w:left="1540"/>
    </w:pPr>
    <w:rPr>
      <w:rFonts w:eastAsiaTheme="minorEastAsia"/>
      <w:lang w:eastAsia="bg-BG"/>
    </w:rPr>
  </w:style>
  <w:style w:type="paragraph" w:styleId="9">
    <w:name w:val="toc 9"/>
    <w:basedOn w:val="a"/>
    <w:next w:val="a"/>
    <w:autoRedefine/>
    <w:uiPriority w:val="39"/>
    <w:unhideWhenUsed/>
    <w:rsid w:val="00E7381E"/>
    <w:pPr>
      <w:spacing w:after="100"/>
      <w:ind w:left="1760"/>
    </w:pPr>
    <w:rPr>
      <w:rFonts w:eastAsiaTheme="minorEastAsia"/>
      <w:lang w:eastAsia="bg-BG"/>
    </w:rPr>
  </w:style>
  <w:style w:type="numbering" w:customStyle="1" w:styleId="60">
    <w:name w:val="Без списък6"/>
    <w:next w:val="a2"/>
    <w:uiPriority w:val="99"/>
    <w:semiHidden/>
    <w:unhideWhenUsed/>
    <w:rsid w:val="00F0746D"/>
  </w:style>
  <w:style w:type="numbering" w:customStyle="1" w:styleId="70">
    <w:name w:val="Без списък7"/>
    <w:next w:val="a2"/>
    <w:uiPriority w:val="99"/>
    <w:semiHidden/>
    <w:unhideWhenUsed/>
    <w:rsid w:val="0023213C"/>
  </w:style>
  <w:style w:type="paragraph" w:styleId="afe">
    <w:name w:val="Normal (Web)"/>
    <w:basedOn w:val="a"/>
    <w:uiPriority w:val="99"/>
    <w:semiHidden/>
    <w:unhideWhenUsed/>
    <w:rsid w:val="0023213C"/>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87">
      <w:bodyDiv w:val="1"/>
      <w:marLeft w:val="0"/>
      <w:marRight w:val="0"/>
      <w:marTop w:val="0"/>
      <w:marBottom w:val="0"/>
      <w:divBdr>
        <w:top w:val="none" w:sz="0" w:space="0" w:color="auto"/>
        <w:left w:val="none" w:sz="0" w:space="0" w:color="auto"/>
        <w:bottom w:val="none" w:sz="0" w:space="0" w:color="auto"/>
        <w:right w:val="none" w:sz="0" w:space="0" w:color="auto"/>
      </w:divBdr>
    </w:div>
    <w:div w:id="55052090">
      <w:bodyDiv w:val="1"/>
      <w:marLeft w:val="0"/>
      <w:marRight w:val="0"/>
      <w:marTop w:val="0"/>
      <w:marBottom w:val="0"/>
      <w:divBdr>
        <w:top w:val="none" w:sz="0" w:space="0" w:color="auto"/>
        <w:left w:val="none" w:sz="0" w:space="0" w:color="auto"/>
        <w:bottom w:val="none" w:sz="0" w:space="0" w:color="auto"/>
        <w:right w:val="none" w:sz="0" w:space="0" w:color="auto"/>
      </w:divBdr>
    </w:div>
    <w:div w:id="77017813">
      <w:bodyDiv w:val="1"/>
      <w:marLeft w:val="0"/>
      <w:marRight w:val="0"/>
      <w:marTop w:val="0"/>
      <w:marBottom w:val="0"/>
      <w:divBdr>
        <w:top w:val="none" w:sz="0" w:space="0" w:color="auto"/>
        <w:left w:val="none" w:sz="0" w:space="0" w:color="auto"/>
        <w:bottom w:val="none" w:sz="0" w:space="0" w:color="auto"/>
        <w:right w:val="none" w:sz="0" w:space="0" w:color="auto"/>
      </w:divBdr>
    </w:div>
    <w:div w:id="79374782">
      <w:bodyDiv w:val="1"/>
      <w:marLeft w:val="0"/>
      <w:marRight w:val="0"/>
      <w:marTop w:val="0"/>
      <w:marBottom w:val="0"/>
      <w:divBdr>
        <w:top w:val="none" w:sz="0" w:space="0" w:color="auto"/>
        <w:left w:val="none" w:sz="0" w:space="0" w:color="auto"/>
        <w:bottom w:val="none" w:sz="0" w:space="0" w:color="auto"/>
        <w:right w:val="none" w:sz="0" w:space="0" w:color="auto"/>
      </w:divBdr>
    </w:div>
    <w:div w:id="108670391">
      <w:bodyDiv w:val="1"/>
      <w:marLeft w:val="0"/>
      <w:marRight w:val="0"/>
      <w:marTop w:val="0"/>
      <w:marBottom w:val="0"/>
      <w:divBdr>
        <w:top w:val="none" w:sz="0" w:space="0" w:color="auto"/>
        <w:left w:val="none" w:sz="0" w:space="0" w:color="auto"/>
        <w:bottom w:val="none" w:sz="0" w:space="0" w:color="auto"/>
        <w:right w:val="none" w:sz="0" w:space="0" w:color="auto"/>
      </w:divBdr>
    </w:div>
    <w:div w:id="143551598">
      <w:bodyDiv w:val="1"/>
      <w:marLeft w:val="0"/>
      <w:marRight w:val="0"/>
      <w:marTop w:val="0"/>
      <w:marBottom w:val="0"/>
      <w:divBdr>
        <w:top w:val="none" w:sz="0" w:space="0" w:color="auto"/>
        <w:left w:val="none" w:sz="0" w:space="0" w:color="auto"/>
        <w:bottom w:val="none" w:sz="0" w:space="0" w:color="auto"/>
        <w:right w:val="none" w:sz="0" w:space="0" w:color="auto"/>
      </w:divBdr>
    </w:div>
    <w:div w:id="173612468">
      <w:bodyDiv w:val="1"/>
      <w:marLeft w:val="0"/>
      <w:marRight w:val="0"/>
      <w:marTop w:val="0"/>
      <w:marBottom w:val="0"/>
      <w:divBdr>
        <w:top w:val="none" w:sz="0" w:space="0" w:color="auto"/>
        <w:left w:val="none" w:sz="0" w:space="0" w:color="auto"/>
        <w:bottom w:val="none" w:sz="0" w:space="0" w:color="auto"/>
        <w:right w:val="none" w:sz="0" w:space="0" w:color="auto"/>
      </w:divBdr>
    </w:div>
    <w:div w:id="196284683">
      <w:bodyDiv w:val="1"/>
      <w:marLeft w:val="0"/>
      <w:marRight w:val="0"/>
      <w:marTop w:val="0"/>
      <w:marBottom w:val="0"/>
      <w:divBdr>
        <w:top w:val="none" w:sz="0" w:space="0" w:color="auto"/>
        <w:left w:val="none" w:sz="0" w:space="0" w:color="auto"/>
        <w:bottom w:val="none" w:sz="0" w:space="0" w:color="auto"/>
        <w:right w:val="none" w:sz="0" w:space="0" w:color="auto"/>
      </w:divBdr>
    </w:div>
    <w:div w:id="198518074">
      <w:bodyDiv w:val="1"/>
      <w:marLeft w:val="0"/>
      <w:marRight w:val="0"/>
      <w:marTop w:val="0"/>
      <w:marBottom w:val="0"/>
      <w:divBdr>
        <w:top w:val="none" w:sz="0" w:space="0" w:color="auto"/>
        <w:left w:val="none" w:sz="0" w:space="0" w:color="auto"/>
        <w:bottom w:val="none" w:sz="0" w:space="0" w:color="auto"/>
        <w:right w:val="none" w:sz="0" w:space="0" w:color="auto"/>
      </w:divBdr>
    </w:div>
    <w:div w:id="199365194">
      <w:bodyDiv w:val="1"/>
      <w:marLeft w:val="0"/>
      <w:marRight w:val="0"/>
      <w:marTop w:val="0"/>
      <w:marBottom w:val="0"/>
      <w:divBdr>
        <w:top w:val="none" w:sz="0" w:space="0" w:color="auto"/>
        <w:left w:val="none" w:sz="0" w:space="0" w:color="auto"/>
        <w:bottom w:val="none" w:sz="0" w:space="0" w:color="auto"/>
        <w:right w:val="none" w:sz="0" w:space="0" w:color="auto"/>
      </w:divBdr>
    </w:div>
    <w:div w:id="215702801">
      <w:bodyDiv w:val="1"/>
      <w:marLeft w:val="0"/>
      <w:marRight w:val="0"/>
      <w:marTop w:val="0"/>
      <w:marBottom w:val="0"/>
      <w:divBdr>
        <w:top w:val="none" w:sz="0" w:space="0" w:color="auto"/>
        <w:left w:val="none" w:sz="0" w:space="0" w:color="auto"/>
        <w:bottom w:val="none" w:sz="0" w:space="0" w:color="auto"/>
        <w:right w:val="none" w:sz="0" w:space="0" w:color="auto"/>
      </w:divBdr>
    </w:div>
    <w:div w:id="225729601">
      <w:bodyDiv w:val="1"/>
      <w:marLeft w:val="0"/>
      <w:marRight w:val="0"/>
      <w:marTop w:val="0"/>
      <w:marBottom w:val="0"/>
      <w:divBdr>
        <w:top w:val="none" w:sz="0" w:space="0" w:color="auto"/>
        <w:left w:val="none" w:sz="0" w:space="0" w:color="auto"/>
        <w:bottom w:val="none" w:sz="0" w:space="0" w:color="auto"/>
        <w:right w:val="none" w:sz="0" w:space="0" w:color="auto"/>
      </w:divBdr>
    </w:div>
    <w:div w:id="226427093">
      <w:bodyDiv w:val="1"/>
      <w:marLeft w:val="0"/>
      <w:marRight w:val="0"/>
      <w:marTop w:val="0"/>
      <w:marBottom w:val="0"/>
      <w:divBdr>
        <w:top w:val="none" w:sz="0" w:space="0" w:color="auto"/>
        <w:left w:val="none" w:sz="0" w:space="0" w:color="auto"/>
        <w:bottom w:val="none" w:sz="0" w:space="0" w:color="auto"/>
        <w:right w:val="none" w:sz="0" w:space="0" w:color="auto"/>
      </w:divBdr>
    </w:div>
    <w:div w:id="253248131">
      <w:bodyDiv w:val="1"/>
      <w:marLeft w:val="0"/>
      <w:marRight w:val="0"/>
      <w:marTop w:val="0"/>
      <w:marBottom w:val="0"/>
      <w:divBdr>
        <w:top w:val="none" w:sz="0" w:space="0" w:color="auto"/>
        <w:left w:val="none" w:sz="0" w:space="0" w:color="auto"/>
        <w:bottom w:val="none" w:sz="0" w:space="0" w:color="auto"/>
        <w:right w:val="none" w:sz="0" w:space="0" w:color="auto"/>
      </w:divBdr>
    </w:div>
    <w:div w:id="268978177">
      <w:bodyDiv w:val="1"/>
      <w:marLeft w:val="0"/>
      <w:marRight w:val="0"/>
      <w:marTop w:val="0"/>
      <w:marBottom w:val="0"/>
      <w:divBdr>
        <w:top w:val="none" w:sz="0" w:space="0" w:color="auto"/>
        <w:left w:val="none" w:sz="0" w:space="0" w:color="auto"/>
        <w:bottom w:val="none" w:sz="0" w:space="0" w:color="auto"/>
        <w:right w:val="none" w:sz="0" w:space="0" w:color="auto"/>
      </w:divBdr>
    </w:div>
    <w:div w:id="291332287">
      <w:bodyDiv w:val="1"/>
      <w:marLeft w:val="0"/>
      <w:marRight w:val="0"/>
      <w:marTop w:val="0"/>
      <w:marBottom w:val="0"/>
      <w:divBdr>
        <w:top w:val="none" w:sz="0" w:space="0" w:color="auto"/>
        <w:left w:val="none" w:sz="0" w:space="0" w:color="auto"/>
        <w:bottom w:val="none" w:sz="0" w:space="0" w:color="auto"/>
        <w:right w:val="none" w:sz="0" w:space="0" w:color="auto"/>
      </w:divBdr>
    </w:div>
    <w:div w:id="293874626">
      <w:bodyDiv w:val="1"/>
      <w:marLeft w:val="0"/>
      <w:marRight w:val="0"/>
      <w:marTop w:val="0"/>
      <w:marBottom w:val="0"/>
      <w:divBdr>
        <w:top w:val="none" w:sz="0" w:space="0" w:color="auto"/>
        <w:left w:val="none" w:sz="0" w:space="0" w:color="auto"/>
        <w:bottom w:val="none" w:sz="0" w:space="0" w:color="auto"/>
        <w:right w:val="none" w:sz="0" w:space="0" w:color="auto"/>
      </w:divBdr>
    </w:div>
    <w:div w:id="299648587">
      <w:bodyDiv w:val="1"/>
      <w:marLeft w:val="0"/>
      <w:marRight w:val="0"/>
      <w:marTop w:val="0"/>
      <w:marBottom w:val="0"/>
      <w:divBdr>
        <w:top w:val="none" w:sz="0" w:space="0" w:color="auto"/>
        <w:left w:val="none" w:sz="0" w:space="0" w:color="auto"/>
        <w:bottom w:val="none" w:sz="0" w:space="0" w:color="auto"/>
        <w:right w:val="none" w:sz="0" w:space="0" w:color="auto"/>
      </w:divBdr>
    </w:div>
    <w:div w:id="320012500">
      <w:bodyDiv w:val="1"/>
      <w:marLeft w:val="0"/>
      <w:marRight w:val="0"/>
      <w:marTop w:val="0"/>
      <w:marBottom w:val="0"/>
      <w:divBdr>
        <w:top w:val="none" w:sz="0" w:space="0" w:color="auto"/>
        <w:left w:val="none" w:sz="0" w:space="0" w:color="auto"/>
        <w:bottom w:val="none" w:sz="0" w:space="0" w:color="auto"/>
        <w:right w:val="none" w:sz="0" w:space="0" w:color="auto"/>
      </w:divBdr>
    </w:div>
    <w:div w:id="348139803">
      <w:bodyDiv w:val="1"/>
      <w:marLeft w:val="0"/>
      <w:marRight w:val="0"/>
      <w:marTop w:val="0"/>
      <w:marBottom w:val="0"/>
      <w:divBdr>
        <w:top w:val="none" w:sz="0" w:space="0" w:color="auto"/>
        <w:left w:val="none" w:sz="0" w:space="0" w:color="auto"/>
        <w:bottom w:val="none" w:sz="0" w:space="0" w:color="auto"/>
        <w:right w:val="none" w:sz="0" w:space="0" w:color="auto"/>
      </w:divBdr>
    </w:div>
    <w:div w:id="351490912">
      <w:bodyDiv w:val="1"/>
      <w:marLeft w:val="0"/>
      <w:marRight w:val="0"/>
      <w:marTop w:val="0"/>
      <w:marBottom w:val="0"/>
      <w:divBdr>
        <w:top w:val="none" w:sz="0" w:space="0" w:color="auto"/>
        <w:left w:val="none" w:sz="0" w:space="0" w:color="auto"/>
        <w:bottom w:val="none" w:sz="0" w:space="0" w:color="auto"/>
        <w:right w:val="none" w:sz="0" w:space="0" w:color="auto"/>
      </w:divBdr>
    </w:div>
    <w:div w:id="360782383">
      <w:bodyDiv w:val="1"/>
      <w:marLeft w:val="0"/>
      <w:marRight w:val="0"/>
      <w:marTop w:val="0"/>
      <w:marBottom w:val="0"/>
      <w:divBdr>
        <w:top w:val="none" w:sz="0" w:space="0" w:color="auto"/>
        <w:left w:val="none" w:sz="0" w:space="0" w:color="auto"/>
        <w:bottom w:val="none" w:sz="0" w:space="0" w:color="auto"/>
        <w:right w:val="none" w:sz="0" w:space="0" w:color="auto"/>
      </w:divBdr>
    </w:div>
    <w:div w:id="506597578">
      <w:bodyDiv w:val="1"/>
      <w:marLeft w:val="0"/>
      <w:marRight w:val="0"/>
      <w:marTop w:val="0"/>
      <w:marBottom w:val="0"/>
      <w:divBdr>
        <w:top w:val="none" w:sz="0" w:space="0" w:color="auto"/>
        <w:left w:val="none" w:sz="0" w:space="0" w:color="auto"/>
        <w:bottom w:val="none" w:sz="0" w:space="0" w:color="auto"/>
        <w:right w:val="none" w:sz="0" w:space="0" w:color="auto"/>
      </w:divBdr>
    </w:div>
    <w:div w:id="518472993">
      <w:bodyDiv w:val="1"/>
      <w:marLeft w:val="0"/>
      <w:marRight w:val="0"/>
      <w:marTop w:val="0"/>
      <w:marBottom w:val="0"/>
      <w:divBdr>
        <w:top w:val="none" w:sz="0" w:space="0" w:color="auto"/>
        <w:left w:val="none" w:sz="0" w:space="0" w:color="auto"/>
        <w:bottom w:val="none" w:sz="0" w:space="0" w:color="auto"/>
        <w:right w:val="none" w:sz="0" w:space="0" w:color="auto"/>
      </w:divBdr>
    </w:div>
    <w:div w:id="527453138">
      <w:bodyDiv w:val="1"/>
      <w:marLeft w:val="0"/>
      <w:marRight w:val="0"/>
      <w:marTop w:val="0"/>
      <w:marBottom w:val="0"/>
      <w:divBdr>
        <w:top w:val="none" w:sz="0" w:space="0" w:color="auto"/>
        <w:left w:val="none" w:sz="0" w:space="0" w:color="auto"/>
        <w:bottom w:val="none" w:sz="0" w:space="0" w:color="auto"/>
        <w:right w:val="none" w:sz="0" w:space="0" w:color="auto"/>
      </w:divBdr>
    </w:div>
    <w:div w:id="531725873">
      <w:bodyDiv w:val="1"/>
      <w:marLeft w:val="0"/>
      <w:marRight w:val="0"/>
      <w:marTop w:val="0"/>
      <w:marBottom w:val="0"/>
      <w:divBdr>
        <w:top w:val="none" w:sz="0" w:space="0" w:color="auto"/>
        <w:left w:val="none" w:sz="0" w:space="0" w:color="auto"/>
        <w:bottom w:val="none" w:sz="0" w:space="0" w:color="auto"/>
        <w:right w:val="none" w:sz="0" w:space="0" w:color="auto"/>
      </w:divBdr>
    </w:div>
    <w:div w:id="588856986">
      <w:bodyDiv w:val="1"/>
      <w:marLeft w:val="0"/>
      <w:marRight w:val="0"/>
      <w:marTop w:val="0"/>
      <w:marBottom w:val="0"/>
      <w:divBdr>
        <w:top w:val="none" w:sz="0" w:space="0" w:color="auto"/>
        <w:left w:val="none" w:sz="0" w:space="0" w:color="auto"/>
        <w:bottom w:val="none" w:sz="0" w:space="0" w:color="auto"/>
        <w:right w:val="none" w:sz="0" w:space="0" w:color="auto"/>
      </w:divBdr>
    </w:div>
    <w:div w:id="626549460">
      <w:bodyDiv w:val="1"/>
      <w:marLeft w:val="0"/>
      <w:marRight w:val="0"/>
      <w:marTop w:val="0"/>
      <w:marBottom w:val="0"/>
      <w:divBdr>
        <w:top w:val="none" w:sz="0" w:space="0" w:color="auto"/>
        <w:left w:val="none" w:sz="0" w:space="0" w:color="auto"/>
        <w:bottom w:val="none" w:sz="0" w:space="0" w:color="auto"/>
        <w:right w:val="none" w:sz="0" w:space="0" w:color="auto"/>
      </w:divBdr>
    </w:div>
    <w:div w:id="723335258">
      <w:bodyDiv w:val="1"/>
      <w:marLeft w:val="0"/>
      <w:marRight w:val="0"/>
      <w:marTop w:val="0"/>
      <w:marBottom w:val="0"/>
      <w:divBdr>
        <w:top w:val="none" w:sz="0" w:space="0" w:color="auto"/>
        <w:left w:val="none" w:sz="0" w:space="0" w:color="auto"/>
        <w:bottom w:val="none" w:sz="0" w:space="0" w:color="auto"/>
        <w:right w:val="none" w:sz="0" w:space="0" w:color="auto"/>
      </w:divBdr>
    </w:div>
    <w:div w:id="773017303">
      <w:bodyDiv w:val="1"/>
      <w:marLeft w:val="0"/>
      <w:marRight w:val="0"/>
      <w:marTop w:val="0"/>
      <w:marBottom w:val="0"/>
      <w:divBdr>
        <w:top w:val="none" w:sz="0" w:space="0" w:color="auto"/>
        <w:left w:val="none" w:sz="0" w:space="0" w:color="auto"/>
        <w:bottom w:val="none" w:sz="0" w:space="0" w:color="auto"/>
        <w:right w:val="none" w:sz="0" w:space="0" w:color="auto"/>
      </w:divBdr>
    </w:div>
    <w:div w:id="841356978">
      <w:bodyDiv w:val="1"/>
      <w:marLeft w:val="0"/>
      <w:marRight w:val="0"/>
      <w:marTop w:val="0"/>
      <w:marBottom w:val="0"/>
      <w:divBdr>
        <w:top w:val="none" w:sz="0" w:space="0" w:color="auto"/>
        <w:left w:val="none" w:sz="0" w:space="0" w:color="auto"/>
        <w:bottom w:val="none" w:sz="0" w:space="0" w:color="auto"/>
        <w:right w:val="none" w:sz="0" w:space="0" w:color="auto"/>
      </w:divBdr>
    </w:div>
    <w:div w:id="857161579">
      <w:bodyDiv w:val="1"/>
      <w:marLeft w:val="0"/>
      <w:marRight w:val="0"/>
      <w:marTop w:val="0"/>
      <w:marBottom w:val="0"/>
      <w:divBdr>
        <w:top w:val="none" w:sz="0" w:space="0" w:color="auto"/>
        <w:left w:val="none" w:sz="0" w:space="0" w:color="auto"/>
        <w:bottom w:val="none" w:sz="0" w:space="0" w:color="auto"/>
        <w:right w:val="none" w:sz="0" w:space="0" w:color="auto"/>
      </w:divBdr>
    </w:div>
    <w:div w:id="963387741">
      <w:bodyDiv w:val="1"/>
      <w:marLeft w:val="0"/>
      <w:marRight w:val="0"/>
      <w:marTop w:val="0"/>
      <w:marBottom w:val="0"/>
      <w:divBdr>
        <w:top w:val="none" w:sz="0" w:space="0" w:color="auto"/>
        <w:left w:val="none" w:sz="0" w:space="0" w:color="auto"/>
        <w:bottom w:val="none" w:sz="0" w:space="0" w:color="auto"/>
        <w:right w:val="none" w:sz="0" w:space="0" w:color="auto"/>
      </w:divBdr>
    </w:div>
    <w:div w:id="981424618">
      <w:bodyDiv w:val="1"/>
      <w:marLeft w:val="0"/>
      <w:marRight w:val="0"/>
      <w:marTop w:val="0"/>
      <w:marBottom w:val="0"/>
      <w:divBdr>
        <w:top w:val="none" w:sz="0" w:space="0" w:color="auto"/>
        <w:left w:val="none" w:sz="0" w:space="0" w:color="auto"/>
        <w:bottom w:val="none" w:sz="0" w:space="0" w:color="auto"/>
        <w:right w:val="none" w:sz="0" w:space="0" w:color="auto"/>
      </w:divBdr>
    </w:div>
    <w:div w:id="982581271">
      <w:bodyDiv w:val="1"/>
      <w:marLeft w:val="0"/>
      <w:marRight w:val="0"/>
      <w:marTop w:val="0"/>
      <w:marBottom w:val="0"/>
      <w:divBdr>
        <w:top w:val="none" w:sz="0" w:space="0" w:color="auto"/>
        <w:left w:val="none" w:sz="0" w:space="0" w:color="auto"/>
        <w:bottom w:val="none" w:sz="0" w:space="0" w:color="auto"/>
        <w:right w:val="none" w:sz="0" w:space="0" w:color="auto"/>
      </w:divBdr>
    </w:div>
    <w:div w:id="992176622">
      <w:bodyDiv w:val="1"/>
      <w:marLeft w:val="0"/>
      <w:marRight w:val="0"/>
      <w:marTop w:val="0"/>
      <w:marBottom w:val="0"/>
      <w:divBdr>
        <w:top w:val="none" w:sz="0" w:space="0" w:color="auto"/>
        <w:left w:val="none" w:sz="0" w:space="0" w:color="auto"/>
        <w:bottom w:val="none" w:sz="0" w:space="0" w:color="auto"/>
        <w:right w:val="none" w:sz="0" w:space="0" w:color="auto"/>
      </w:divBdr>
    </w:div>
    <w:div w:id="1010791688">
      <w:bodyDiv w:val="1"/>
      <w:marLeft w:val="0"/>
      <w:marRight w:val="0"/>
      <w:marTop w:val="0"/>
      <w:marBottom w:val="0"/>
      <w:divBdr>
        <w:top w:val="none" w:sz="0" w:space="0" w:color="auto"/>
        <w:left w:val="none" w:sz="0" w:space="0" w:color="auto"/>
        <w:bottom w:val="none" w:sz="0" w:space="0" w:color="auto"/>
        <w:right w:val="none" w:sz="0" w:space="0" w:color="auto"/>
      </w:divBdr>
    </w:div>
    <w:div w:id="1083532984">
      <w:bodyDiv w:val="1"/>
      <w:marLeft w:val="0"/>
      <w:marRight w:val="0"/>
      <w:marTop w:val="0"/>
      <w:marBottom w:val="0"/>
      <w:divBdr>
        <w:top w:val="none" w:sz="0" w:space="0" w:color="auto"/>
        <w:left w:val="none" w:sz="0" w:space="0" w:color="auto"/>
        <w:bottom w:val="none" w:sz="0" w:space="0" w:color="auto"/>
        <w:right w:val="none" w:sz="0" w:space="0" w:color="auto"/>
      </w:divBdr>
    </w:div>
    <w:div w:id="1085767337">
      <w:bodyDiv w:val="1"/>
      <w:marLeft w:val="0"/>
      <w:marRight w:val="0"/>
      <w:marTop w:val="0"/>
      <w:marBottom w:val="0"/>
      <w:divBdr>
        <w:top w:val="none" w:sz="0" w:space="0" w:color="auto"/>
        <w:left w:val="none" w:sz="0" w:space="0" w:color="auto"/>
        <w:bottom w:val="none" w:sz="0" w:space="0" w:color="auto"/>
        <w:right w:val="none" w:sz="0" w:space="0" w:color="auto"/>
      </w:divBdr>
    </w:div>
    <w:div w:id="1232929541">
      <w:bodyDiv w:val="1"/>
      <w:marLeft w:val="0"/>
      <w:marRight w:val="0"/>
      <w:marTop w:val="0"/>
      <w:marBottom w:val="0"/>
      <w:divBdr>
        <w:top w:val="none" w:sz="0" w:space="0" w:color="auto"/>
        <w:left w:val="none" w:sz="0" w:space="0" w:color="auto"/>
        <w:bottom w:val="none" w:sz="0" w:space="0" w:color="auto"/>
        <w:right w:val="none" w:sz="0" w:space="0" w:color="auto"/>
      </w:divBdr>
    </w:div>
    <w:div w:id="1238982841">
      <w:bodyDiv w:val="1"/>
      <w:marLeft w:val="0"/>
      <w:marRight w:val="0"/>
      <w:marTop w:val="0"/>
      <w:marBottom w:val="0"/>
      <w:divBdr>
        <w:top w:val="none" w:sz="0" w:space="0" w:color="auto"/>
        <w:left w:val="none" w:sz="0" w:space="0" w:color="auto"/>
        <w:bottom w:val="none" w:sz="0" w:space="0" w:color="auto"/>
        <w:right w:val="none" w:sz="0" w:space="0" w:color="auto"/>
      </w:divBdr>
    </w:div>
    <w:div w:id="1349674374">
      <w:bodyDiv w:val="1"/>
      <w:marLeft w:val="0"/>
      <w:marRight w:val="0"/>
      <w:marTop w:val="0"/>
      <w:marBottom w:val="0"/>
      <w:divBdr>
        <w:top w:val="none" w:sz="0" w:space="0" w:color="auto"/>
        <w:left w:val="none" w:sz="0" w:space="0" w:color="auto"/>
        <w:bottom w:val="none" w:sz="0" w:space="0" w:color="auto"/>
        <w:right w:val="none" w:sz="0" w:space="0" w:color="auto"/>
      </w:divBdr>
    </w:div>
    <w:div w:id="1371877023">
      <w:bodyDiv w:val="1"/>
      <w:marLeft w:val="0"/>
      <w:marRight w:val="0"/>
      <w:marTop w:val="0"/>
      <w:marBottom w:val="0"/>
      <w:divBdr>
        <w:top w:val="none" w:sz="0" w:space="0" w:color="auto"/>
        <w:left w:val="none" w:sz="0" w:space="0" w:color="auto"/>
        <w:bottom w:val="none" w:sz="0" w:space="0" w:color="auto"/>
        <w:right w:val="none" w:sz="0" w:space="0" w:color="auto"/>
      </w:divBdr>
    </w:div>
    <w:div w:id="1434667757">
      <w:bodyDiv w:val="1"/>
      <w:marLeft w:val="0"/>
      <w:marRight w:val="0"/>
      <w:marTop w:val="0"/>
      <w:marBottom w:val="0"/>
      <w:divBdr>
        <w:top w:val="none" w:sz="0" w:space="0" w:color="auto"/>
        <w:left w:val="none" w:sz="0" w:space="0" w:color="auto"/>
        <w:bottom w:val="none" w:sz="0" w:space="0" w:color="auto"/>
        <w:right w:val="none" w:sz="0" w:space="0" w:color="auto"/>
      </w:divBdr>
    </w:div>
    <w:div w:id="1462652225">
      <w:bodyDiv w:val="1"/>
      <w:marLeft w:val="0"/>
      <w:marRight w:val="0"/>
      <w:marTop w:val="0"/>
      <w:marBottom w:val="0"/>
      <w:divBdr>
        <w:top w:val="none" w:sz="0" w:space="0" w:color="auto"/>
        <w:left w:val="none" w:sz="0" w:space="0" w:color="auto"/>
        <w:bottom w:val="none" w:sz="0" w:space="0" w:color="auto"/>
        <w:right w:val="none" w:sz="0" w:space="0" w:color="auto"/>
      </w:divBdr>
    </w:div>
    <w:div w:id="1500660636">
      <w:bodyDiv w:val="1"/>
      <w:marLeft w:val="0"/>
      <w:marRight w:val="0"/>
      <w:marTop w:val="0"/>
      <w:marBottom w:val="0"/>
      <w:divBdr>
        <w:top w:val="none" w:sz="0" w:space="0" w:color="auto"/>
        <w:left w:val="none" w:sz="0" w:space="0" w:color="auto"/>
        <w:bottom w:val="none" w:sz="0" w:space="0" w:color="auto"/>
        <w:right w:val="none" w:sz="0" w:space="0" w:color="auto"/>
      </w:divBdr>
    </w:div>
    <w:div w:id="1517234795">
      <w:bodyDiv w:val="1"/>
      <w:marLeft w:val="0"/>
      <w:marRight w:val="0"/>
      <w:marTop w:val="0"/>
      <w:marBottom w:val="0"/>
      <w:divBdr>
        <w:top w:val="none" w:sz="0" w:space="0" w:color="auto"/>
        <w:left w:val="none" w:sz="0" w:space="0" w:color="auto"/>
        <w:bottom w:val="none" w:sz="0" w:space="0" w:color="auto"/>
        <w:right w:val="none" w:sz="0" w:space="0" w:color="auto"/>
      </w:divBdr>
    </w:div>
    <w:div w:id="1564563104">
      <w:bodyDiv w:val="1"/>
      <w:marLeft w:val="0"/>
      <w:marRight w:val="0"/>
      <w:marTop w:val="0"/>
      <w:marBottom w:val="0"/>
      <w:divBdr>
        <w:top w:val="none" w:sz="0" w:space="0" w:color="auto"/>
        <w:left w:val="none" w:sz="0" w:space="0" w:color="auto"/>
        <w:bottom w:val="none" w:sz="0" w:space="0" w:color="auto"/>
        <w:right w:val="none" w:sz="0" w:space="0" w:color="auto"/>
      </w:divBdr>
    </w:div>
    <w:div w:id="1604222697">
      <w:bodyDiv w:val="1"/>
      <w:marLeft w:val="0"/>
      <w:marRight w:val="0"/>
      <w:marTop w:val="0"/>
      <w:marBottom w:val="0"/>
      <w:divBdr>
        <w:top w:val="none" w:sz="0" w:space="0" w:color="auto"/>
        <w:left w:val="none" w:sz="0" w:space="0" w:color="auto"/>
        <w:bottom w:val="none" w:sz="0" w:space="0" w:color="auto"/>
        <w:right w:val="none" w:sz="0" w:space="0" w:color="auto"/>
      </w:divBdr>
    </w:div>
    <w:div w:id="1614096384">
      <w:bodyDiv w:val="1"/>
      <w:marLeft w:val="0"/>
      <w:marRight w:val="0"/>
      <w:marTop w:val="0"/>
      <w:marBottom w:val="0"/>
      <w:divBdr>
        <w:top w:val="none" w:sz="0" w:space="0" w:color="auto"/>
        <w:left w:val="none" w:sz="0" w:space="0" w:color="auto"/>
        <w:bottom w:val="none" w:sz="0" w:space="0" w:color="auto"/>
        <w:right w:val="none" w:sz="0" w:space="0" w:color="auto"/>
      </w:divBdr>
    </w:div>
    <w:div w:id="1616015288">
      <w:bodyDiv w:val="1"/>
      <w:marLeft w:val="0"/>
      <w:marRight w:val="0"/>
      <w:marTop w:val="0"/>
      <w:marBottom w:val="0"/>
      <w:divBdr>
        <w:top w:val="none" w:sz="0" w:space="0" w:color="auto"/>
        <w:left w:val="none" w:sz="0" w:space="0" w:color="auto"/>
        <w:bottom w:val="none" w:sz="0" w:space="0" w:color="auto"/>
        <w:right w:val="none" w:sz="0" w:space="0" w:color="auto"/>
      </w:divBdr>
    </w:div>
    <w:div w:id="1620065567">
      <w:bodyDiv w:val="1"/>
      <w:marLeft w:val="0"/>
      <w:marRight w:val="0"/>
      <w:marTop w:val="0"/>
      <w:marBottom w:val="0"/>
      <w:divBdr>
        <w:top w:val="none" w:sz="0" w:space="0" w:color="auto"/>
        <w:left w:val="none" w:sz="0" w:space="0" w:color="auto"/>
        <w:bottom w:val="none" w:sz="0" w:space="0" w:color="auto"/>
        <w:right w:val="none" w:sz="0" w:space="0" w:color="auto"/>
      </w:divBdr>
    </w:div>
    <w:div w:id="1653094587">
      <w:bodyDiv w:val="1"/>
      <w:marLeft w:val="0"/>
      <w:marRight w:val="0"/>
      <w:marTop w:val="0"/>
      <w:marBottom w:val="0"/>
      <w:divBdr>
        <w:top w:val="none" w:sz="0" w:space="0" w:color="auto"/>
        <w:left w:val="none" w:sz="0" w:space="0" w:color="auto"/>
        <w:bottom w:val="none" w:sz="0" w:space="0" w:color="auto"/>
        <w:right w:val="none" w:sz="0" w:space="0" w:color="auto"/>
      </w:divBdr>
    </w:div>
    <w:div w:id="1675764492">
      <w:bodyDiv w:val="1"/>
      <w:marLeft w:val="0"/>
      <w:marRight w:val="0"/>
      <w:marTop w:val="0"/>
      <w:marBottom w:val="0"/>
      <w:divBdr>
        <w:top w:val="none" w:sz="0" w:space="0" w:color="auto"/>
        <w:left w:val="none" w:sz="0" w:space="0" w:color="auto"/>
        <w:bottom w:val="none" w:sz="0" w:space="0" w:color="auto"/>
        <w:right w:val="none" w:sz="0" w:space="0" w:color="auto"/>
      </w:divBdr>
    </w:div>
    <w:div w:id="1747998327">
      <w:bodyDiv w:val="1"/>
      <w:marLeft w:val="0"/>
      <w:marRight w:val="0"/>
      <w:marTop w:val="0"/>
      <w:marBottom w:val="0"/>
      <w:divBdr>
        <w:top w:val="none" w:sz="0" w:space="0" w:color="auto"/>
        <w:left w:val="none" w:sz="0" w:space="0" w:color="auto"/>
        <w:bottom w:val="none" w:sz="0" w:space="0" w:color="auto"/>
        <w:right w:val="none" w:sz="0" w:space="0" w:color="auto"/>
      </w:divBdr>
    </w:div>
    <w:div w:id="1756633714">
      <w:bodyDiv w:val="1"/>
      <w:marLeft w:val="0"/>
      <w:marRight w:val="0"/>
      <w:marTop w:val="0"/>
      <w:marBottom w:val="0"/>
      <w:divBdr>
        <w:top w:val="none" w:sz="0" w:space="0" w:color="auto"/>
        <w:left w:val="none" w:sz="0" w:space="0" w:color="auto"/>
        <w:bottom w:val="none" w:sz="0" w:space="0" w:color="auto"/>
        <w:right w:val="none" w:sz="0" w:space="0" w:color="auto"/>
      </w:divBdr>
    </w:div>
    <w:div w:id="1757046233">
      <w:bodyDiv w:val="1"/>
      <w:marLeft w:val="0"/>
      <w:marRight w:val="0"/>
      <w:marTop w:val="0"/>
      <w:marBottom w:val="0"/>
      <w:divBdr>
        <w:top w:val="none" w:sz="0" w:space="0" w:color="auto"/>
        <w:left w:val="none" w:sz="0" w:space="0" w:color="auto"/>
        <w:bottom w:val="none" w:sz="0" w:space="0" w:color="auto"/>
        <w:right w:val="none" w:sz="0" w:space="0" w:color="auto"/>
      </w:divBdr>
    </w:div>
    <w:div w:id="1802847022">
      <w:bodyDiv w:val="1"/>
      <w:marLeft w:val="0"/>
      <w:marRight w:val="0"/>
      <w:marTop w:val="0"/>
      <w:marBottom w:val="0"/>
      <w:divBdr>
        <w:top w:val="none" w:sz="0" w:space="0" w:color="auto"/>
        <w:left w:val="none" w:sz="0" w:space="0" w:color="auto"/>
        <w:bottom w:val="none" w:sz="0" w:space="0" w:color="auto"/>
        <w:right w:val="none" w:sz="0" w:space="0" w:color="auto"/>
      </w:divBdr>
    </w:div>
    <w:div w:id="1853955038">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42494312">
      <w:bodyDiv w:val="1"/>
      <w:marLeft w:val="0"/>
      <w:marRight w:val="0"/>
      <w:marTop w:val="0"/>
      <w:marBottom w:val="0"/>
      <w:divBdr>
        <w:top w:val="none" w:sz="0" w:space="0" w:color="auto"/>
        <w:left w:val="none" w:sz="0" w:space="0" w:color="auto"/>
        <w:bottom w:val="none" w:sz="0" w:space="0" w:color="auto"/>
        <w:right w:val="none" w:sz="0" w:space="0" w:color="auto"/>
      </w:divBdr>
    </w:div>
    <w:div w:id="1960722687">
      <w:bodyDiv w:val="1"/>
      <w:marLeft w:val="0"/>
      <w:marRight w:val="0"/>
      <w:marTop w:val="0"/>
      <w:marBottom w:val="0"/>
      <w:divBdr>
        <w:top w:val="none" w:sz="0" w:space="0" w:color="auto"/>
        <w:left w:val="none" w:sz="0" w:space="0" w:color="auto"/>
        <w:bottom w:val="none" w:sz="0" w:space="0" w:color="auto"/>
        <w:right w:val="none" w:sz="0" w:space="0" w:color="auto"/>
      </w:divBdr>
    </w:div>
    <w:div w:id="1975675413">
      <w:bodyDiv w:val="1"/>
      <w:marLeft w:val="0"/>
      <w:marRight w:val="0"/>
      <w:marTop w:val="0"/>
      <w:marBottom w:val="0"/>
      <w:divBdr>
        <w:top w:val="none" w:sz="0" w:space="0" w:color="auto"/>
        <w:left w:val="none" w:sz="0" w:space="0" w:color="auto"/>
        <w:bottom w:val="none" w:sz="0" w:space="0" w:color="auto"/>
        <w:right w:val="none" w:sz="0" w:space="0" w:color="auto"/>
      </w:divBdr>
    </w:div>
    <w:div w:id="2006350976">
      <w:bodyDiv w:val="1"/>
      <w:marLeft w:val="0"/>
      <w:marRight w:val="0"/>
      <w:marTop w:val="0"/>
      <w:marBottom w:val="0"/>
      <w:divBdr>
        <w:top w:val="none" w:sz="0" w:space="0" w:color="auto"/>
        <w:left w:val="none" w:sz="0" w:space="0" w:color="auto"/>
        <w:bottom w:val="none" w:sz="0" w:space="0" w:color="auto"/>
        <w:right w:val="none" w:sz="0" w:space="0" w:color="auto"/>
      </w:divBdr>
    </w:div>
    <w:div w:id="2048023318">
      <w:bodyDiv w:val="1"/>
      <w:marLeft w:val="0"/>
      <w:marRight w:val="0"/>
      <w:marTop w:val="0"/>
      <w:marBottom w:val="0"/>
      <w:divBdr>
        <w:top w:val="none" w:sz="0" w:space="0" w:color="auto"/>
        <w:left w:val="none" w:sz="0" w:space="0" w:color="auto"/>
        <w:bottom w:val="none" w:sz="0" w:space="0" w:color="auto"/>
        <w:right w:val="none" w:sz="0" w:space="0" w:color="auto"/>
      </w:divBdr>
    </w:div>
    <w:div w:id="2059742893">
      <w:bodyDiv w:val="1"/>
      <w:marLeft w:val="0"/>
      <w:marRight w:val="0"/>
      <w:marTop w:val="0"/>
      <w:marBottom w:val="0"/>
      <w:divBdr>
        <w:top w:val="none" w:sz="0" w:space="0" w:color="auto"/>
        <w:left w:val="none" w:sz="0" w:space="0" w:color="auto"/>
        <w:bottom w:val="none" w:sz="0" w:space="0" w:color="auto"/>
        <w:right w:val="none" w:sz="0" w:space="0" w:color="auto"/>
      </w:divBdr>
    </w:div>
    <w:div w:id="21408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190"/>
      <c:rAngAx val="0"/>
      <c:perspective val="80"/>
    </c:view3D>
    <c:floor>
      <c:thickness val="0"/>
    </c:floor>
    <c:sideWall>
      <c:thickness val="0"/>
    </c:sideWall>
    <c:backWall>
      <c:thickness val="0"/>
    </c:backWall>
    <c:plotArea>
      <c:layout>
        <c:manualLayout>
          <c:layoutTarget val="inner"/>
          <c:xMode val="edge"/>
          <c:yMode val="edge"/>
          <c:x val="0"/>
          <c:y val="7.5504065302098688E-2"/>
          <c:w val="0.95222584147665579"/>
          <c:h val="0.92449593469790137"/>
        </c:manualLayout>
      </c:layout>
      <c:pie3DChart>
        <c:varyColors val="1"/>
        <c:ser>
          <c:idx val="0"/>
          <c:order val="0"/>
          <c:spPr>
            <a:scene3d>
              <a:camera prst="orthographicFront"/>
              <a:lightRig rig="threePt" dir="t"/>
            </a:scene3d>
          </c:spPr>
          <c:explosion val="23"/>
          <c:dLbls>
            <c:dLbl>
              <c:idx val="0"/>
              <c:layout>
                <c:manualLayout>
                  <c:x val="1.2292612446245523E-2"/>
                  <c:y val="9.5579661247795211E-2"/>
                </c:manualLayout>
              </c:layout>
              <c:showLegendKey val="0"/>
              <c:showVal val="1"/>
              <c:showCatName val="1"/>
              <c:showSerName val="0"/>
              <c:showPercent val="0"/>
              <c:showBubbleSize val="0"/>
            </c:dLbl>
            <c:dLbl>
              <c:idx val="1"/>
              <c:layout>
                <c:manualLayout>
                  <c:x val="2.1715526601520086E-2"/>
                  <c:y val="-0.30702212128590395"/>
                </c:manualLayout>
              </c:layout>
              <c:showLegendKey val="0"/>
              <c:showVal val="1"/>
              <c:showCatName val="1"/>
              <c:showSerName val="0"/>
              <c:showPercent val="0"/>
              <c:showBubbleSize val="0"/>
            </c:dLbl>
            <c:dLbl>
              <c:idx val="2"/>
              <c:layout>
                <c:manualLayout>
                  <c:x val="-6.3679499345969375E-3"/>
                  <c:y val="-6.8520074379881654E-2"/>
                </c:manualLayout>
              </c:layout>
              <c:showLegendKey val="0"/>
              <c:showVal val="1"/>
              <c:showCatName val="1"/>
              <c:showSerName val="0"/>
              <c:showPercent val="0"/>
              <c:showBubbleSize val="0"/>
            </c:dLbl>
            <c:dLbl>
              <c:idx val="3"/>
              <c:layout>
                <c:manualLayout>
                  <c:x val="-6.5146579804560263E-3"/>
                  <c:y val="0.18805079256298482"/>
                </c:manualLayout>
              </c:layout>
              <c:showLegendKey val="0"/>
              <c:showVal val="1"/>
              <c:showCatName val="1"/>
              <c:showSerName val="0"/>
              <c:showPercent val="0"/>
              <c:showBubbleSize val="0"/>
            </c:dLbl>
            <c:dLbl>
              <c:idx val="4"/>
              <c:layout>
                <c:manualLayout>
                  <c:x val="0.15455709730094816"/>
                  <c:y val="5.8334321948361474E-2"/>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'[Диаграми.xlsx]Лист3 (3)'!$B$1:$F$1</c:f>
              <c:strCache>
                <c:ptCount val="5"/>
                <c:pt idx="0">
                  <c:v>Престъпления против личността</c:v>
                </c:pt>
                <c:pt idx="1">
                  <c:v>Престъпления против собствеността</c:v>
                </c:pt>
                <c:pt idx="2">
                  <c:v>Общоопасни престъпления</c:v>
                </c:pt>
                <c:pt idx="3">
                  <c:v>Икономически престъпления</c:v>
                </c:pt>
                <c:pt idx="4">
                  <c:v>Други криминални престъпления</c:v>
                </c:pt>
              </c:strCache>
            </c:strRef>
          </c:cat>
          <c:val>
            <c:numRef>
              <c:f>'[Диаграми.xlsx]Лист3 (3)'!$B$2:$F$2</c:f>
              <c:numCache>
                <c:formatCode>0%</c:formatCode>
                <c:ptCount val="5"/>
                <c:pt idx="0">
                  <c:v>0.05</c:v>
                </c:pt>
                <c:pt idx="1">
                  <c:v>0.32</c:v>
                </c:pt>
                <c:pt idx="2">
                  <c:v>0.33</c:v>
                </c:pt>
                <c:pt idx="3">
                  <c:v>0.23</c:v>
                </c:pt>
                <c:pt idx="4">
                  <c:v>7.0000000000000007E-2</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588956754237494"/>
          <c:y val="5.6653176568558831E-2"/>
          <c:w val="0.56561712496218342"/>
          <c:h val="0.86401817442508222"/>
        </c:manualLayout>
      </c:layout>
      <c:barChart>
        <c:barDir val="col"/>
        <c:grouping val="clustered"/>
        <c:varyColors val="0"/>
        <c:ser>
          <c:idx val="0"/>
          <c:order val="0"/>
          <c:tx>
            <c:strRef>
              <c:f>'Лист3 (3)'!$B$50</c:f>
              <c:strCache>
                <c:ptCount val="1"/>
                <c:pt idx="0">
                  <c:v>Доживотен затвор</c:v>
                </c:pt>
              </c:strCache>
            </c:strRef>
          </c:tx>
          <c:invertIfNegative val="0"/>
          <c:cat>
            <c:numRef>
              <c:f>'Лист3 (3)'!$A$51:$A$53</c:f>
              <c:numCache>
                <c:formatCode>General</c:formatCode>
                <c:ptCount val="3"/>
                <c:pt idx="0">
                  <c:v>2022</c:v>
                </c:pt>
                <c:pt idx="1">
                  <c:v>2021</c:v>
                </c:pt>
                <c:pt idx="2">
                  <c:v>2020</c:v>
                </c:pt>
              </c:numCache>
            </c:numRef>
          </c:cat>
          <c:val>
            <c:numRef>
              <c:f>'Лист3 (3)'!$B$51:$B$53</c:f>
              <c:numCache>
                <c:formatCode>General</c:formatCode>
                <c:ptCount val="3"/>
                <c:pt idx="0">
                  <c:v>0</c:v>
                </c:pt>
                <c:pt idx="1">
                  <c:v>0</c:v>
                </c:pt>
                <c:pt idx="2">
                  <c:v>0</c:v>
                </c:pt>
              </c:numCache>
            </c:numRef>
          </c:val>
        </c:ser>
        <c:ser>
          <c:idx val="1"/>
          <c:order val="1"/>
          <c:tx>
            <c:strRef>
              <c:f>'Лист3 (3)'!$C$50</c:f>
              <c:strCache>
                <c:ptCount val="1"/>
                <c:pt idx="0">
                  <c:v>Лишаване от свобода</c:v>
                </c:pt>
              </c:strCache>
            </c:strRef>
          </c:tx>
          <c:invertIfNegative val="0"/>
          <c:dLbls>
            <c:showLegendKey val="0"/>
            <c:showVal val="1"/>
            <c:showCatName val="0"/>
            <c:showSerName val="0"/>
            <c:showPercent val="0"/>
            <c:showBubbleSize val="0"/>
            <c:showLeaderLines val="0"/>
          </c:dLbls>
          <c:cat>
            <c:numRef>
              <c:f>'Лист3 (3)'!$A$51:$A$53</c:f>
              <c:numCache>
                <c:formatCode>General</c:formatCode>
                <c:ptCount val="3"/>
                <c:pt idx="0">
                  <c:v>2022</c:v>
                </c:pt>
                <c:pt idx="1">
                  <c:v>2021</c:v>
                </c:pt>
                <c:pt idx="2">
                  <c:v>2020</c:v>
                </c:pt>
              </c:numCache>
            </c:numRef>
          </c:cat>
          <c:val>
            <c:numRef>
              <c:f>'Лист3 (3)'!$C$51:$C$53</c:f>
              <c:numCache>
                <c:formatCode>General</c:formatCode>
                <c:ptCount val="3"/>
                <c:pt idx="0">
                  <c:v>123</c:v>
                </c:pt>
                <c:pt idx="1">
                  <c:v>126</c:v>
                </c:pt>
                <c:pt idx="2">
                  <c:v>130</c:v>
                </c:pt>
              </c:numCache>
            </c:numRef>
          </c:val>
        </c:ser>
        <c:ser>
          <c:idx val="2"/>
          <c:order val="2"/>
          <c:tx>
            <c:strRef>
              <c:f>'Лист3 (3)'!$D$50</c:f>
              <c:strCache>
                <c:ptCount val="1"/>
                <c:pt idx="0">
                  <c:v>Лишаване от права по чл.37, ал.1, т.6-10 от НК</c:v>
                </c:pt>
              </c:strCache>
            </c:strRef>
          </c:tx>
          <c:invertIfNegative val="0"/>
          <c:dLbls>
            <c:showLegendKey val="0"/>
            <c:showVal val="1"/>
            <c:showCatName val="0"/>
            <c:showSerName val="0"/>
            <c:showPercent val="0"/>
            <c:showBubbleSize val="0"/>
            <c:showLeaderLines val="0"/>
          </c:dLbls>
          <c:cat>
            <c:numRef>
              <c:f>'Лист3 (3)'!$A$51:$A$53</c:f>
              <c:numCache>
                <c:formatCode>General</c:formatCode>
                <c:ptCount val="3"/>
                <c:pt idx="0">
                  <c:v>2022</c:v>
                </c:pt>
                <c:pt idx="1">
                  <c:v>2021</c:v>
                </c:pt>
                <c:pt idx="2">
                  <c:v>2020</c:v>
                </c:pt>
              </c:numCache>
            </c:numRef>
          </c:cat>
          <c:val>
            <c:numRef>
              <c:f>'Лист3 (3)'!$D$51:$D$53</c:f>
              <c:numCache>
                <c:formatCode>General</c:formatCode>
                <c:ptCount val="3"/>
                <c:pt idx="0">
                  <c:v>142</c:v>
                </c:pt>
                <c:pt idx="1">
                  <c:v>139</c:v>
                </c:pt>
                <c:pt idx="2">
                  <c:v>111</c:v>
                </c:pt>
              </c:numCache>
            </c:numRef>
          </c:val>
        </c:ser>
        <c:ser>
          <c:idx val="3"/>
          <c:order val="3"/>
          <c:tx>
            <c:strRef>
              <c:f>'Лист3 (3)'!$E$50</c:f>
              <c:strCache>
                <c:ptCount val="1"/>
                <c:pt idx="0">
                  <c:v>Пробация</c:v>
                </c:pt>
              </c:strCache>
            </c:strRef>
          </c:tx>
          <c:invertIfNegative val="0"/>
          <c:dLbls>
            <c:showLegendKey val="0"/>
            <c:showVal val="1"/>
            <c:showCatName val="0"/>
            <c:showSerName val="0"/>
            <c:showPercent val="0"/>
            <c:showBubbleSize val="0"/>
            <c:showLeaderLines val="0"/>
          </c:dLbls>
          <c:cat>
            <c:numRef>
              <c:f>'Лист3 (3)'!$A$51:$A$53</c:f>
              <c:numCache>
                <c:formatCode>General</c:formatCode>
                <c:ptCount val="3"/>
                <c:pt idx="0">
                  <c:v>2022</c:v>
                </c:pt>
                <c:pt idx="1">
                  <c:v>2021</c:v>
                </c:pt>
                <c:pt idx="2">
                  <c:v>2020</c:v>
                </c:pt>
              </c:numCache>
            </c:numRef>
          </c:cat>
          <c:val>
            <c:numRef>
              <c:f>'Лист3 (3)'!$E$51:$E$53</c:f>
              <c:numCache>
                <c:formatCode>General</c:formatCode>
                <c:ptCount val="3"/>
                <c:pt idx="0">
                  <c:v>120</c:v>
                </c:pt>
                <c:pt idx="1">
                  <c:v>126</c:v>
                </c:pt>
                <c:pt idx="2">
                  <c:v>98</c:v>
                </c:pt>
              </c:numCache>
            </c:numRef>
          </c:val>
        </c:ser>
        <c:ser>
          <c:idx val="4"/>
          <c:order val="4"/>
          <c:tx>
            <c:strRef>
              <c:f>'Лист3 (3)'!$F$50</c:f>
              <c:strCache>
                <c:ptCount val="1"/>
                <c:pt idx="0">
                  <c:v>Обществено порицание</c:v>
                </c:pt>
              </c:strCache>
            </c:strRef>
          </c:tx>
          <c:invertIfNegative val="0"/>
          <c:dLbls>
            <c:showLegendKey val="0"/>
            <c:showVal val="1"/>
            <c:showCatName val="0"/>
            <c:showSerName val="0"/>
            <c:showPercent val="0"/>
            <c:showBubbleSize val="0"/>
            <c:showLeaderLines val="0"/>
          </c:dLbls>
          <c:cat>
            <c:numRef>
              <c:f>'Лист3 (3)'!$A$51:$A$53</c:f>
              <c:numCache>
                <c:formatCode>General</c:formatCode>
                <c:ptCount val="3"/>
                <c:pt idx="0">
                  <c:v>2022</c:v>
                </c:pt>
                <c:pt idx="1">
                  <c:v>2021</c:v>
                </c:pt>
                <c:pt idx="2">
                  <c:v>2020</c:v>
                </c:pt>
              </c:numCache>
            </c:numRef>
          </c:cat>
          <c:val>
            <c:numRef>
              <c:f>'Лист3 (3)'!$F$51:$F$53</c:f>
              <c:numCache>
                <c:formatCode>General</c:formatCode>
                <c:ptCount val="3"/>
                <c:pt idx="0">
                  <c:v>12</c:v>
                </c:pt>
                <c:pt idx="1">
                  <c:v>11</c:v>
                </c:pt>
                <c:pt idx="2">
                  <c:v>17</c:v>
                </c:pt>
              </c:numCache>
            </c:numRef>
          </c:val>
        </c:ser>
        <c:dLbls>
          <c:showLegendKey val="0"/>
          <c:showVal val="0"/>
          <c:showCatName val="0"/>
          <c:showSerName val="0"/>
          <c:showPercent val="0"/>
          <c:showBubbleSize val="0"/>
        </c:dLbls>
        <c:gapWidth val="150"/>
        <c:axId val="127248896"/>
        <c:axId val="127668160"/>
      </c:barChart>
      <c:catAx>
        <c:axId val="127248896"/>
        <c:scaling>
          <c:orientation val="minMax"/>
        </c:scaling>
        <c:delete val="0"/>
        <c:axPos val="b"/>
        <c:numFmt formatCode="General" sourceLinked="1"/>
        <c:majorTickMark val="out"/>
        <c:minorTickMark val="none"/>
        <c:tickLblPos val="nextTo"/>
        <c:crossAx val="127668160"/>
        <c:crosses val="autoZero"/>
        <c:auto val="1"/>
        <c:lblAlgn val="ctr"/>
        <c:lblOffset val="100"/>
        <c:noMultiLvlLbl val="0"/>
      </c:catAx>
      <c:valAx>
        <c:axId val="127668160"/>
        <c:scaling>
          <c:orientation val="minMax"/>
        </c:scaling>
        <c:delete val="0"/>
        <c:axPos val="l"/>
        <c:majorGridlines/>
        <c:numFmt formatCode="General" sourceLinked="1"/>
        <c:majorTickMark val="out"/>
        <c:minorTickMark val="none"/>
        <c:tickLblPos val="nextTo"/>
        <c:crossAx val="127248896"/>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effectLst/>
      </c:spPr>
    </c:plotArea>
    <c:legend>
      <c:legendPos val="r"/>
      <c:layout>
        <c:manualLayout>
          <c:xMode val="edge"/>
          <c:yMode val="edge"/>
          <c:x val="0.70065068137669229"/>
          <c:y val="0.20764406542743044"/>
          <c:w val="0.28051692690956004"/>
          <c:h val="0.57706003137855988"/>
        </c:manualLayout>
      </c:layout>
      <c:overlay val="0"/>
    </c:legend>
    <c:plotVisOnly val="1"/>
    <c:dispBlanksAs val="gap"/>
    <c:showDLblsOverMax val="0"/>
  </c:chart>
  <c:spPr>
    <a:noFill/>
    <a:ln>
      <a:noFill/>
    </a:ln>
  </c:spPr>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0.99994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047" y="0"/>
          <a:ext cx="5873115" cy="3700558"/>
        </a:xfrm>
        <a:prstGeom xmlns:a="http://schemas.openxmlformats.org/drawingml/2006/main" prst="rect">
          <a:avLst/>
        </a:prstGeom>
      </cdr:spPr>
    </cdr:pic>
  </cdr:relSizeAnchor>
</c:userShape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7C6F1-44B0-45BF-8B01-E89BC66E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117</Pages>
  <Words>41570</Words>
  <Characters>236955</Characters>
  <Application>Microsoft Office Word</Application>
  <DocSecurity>0</DocSecurity>
  <Lines>1974</Lines>
  <Paragraphs>555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 Angelova</dc:creator>
  <cp:lastModifiedBy>Irina Todorova</cp:lastModifiedBy>
  <cp:revision>65</cp:revision>
  <cp:lastPrinted>2022-02-11T09:51:00Z</cp:lastPrinted>
  <dcterms:created xsi:type="dcterms:W3CDTF">2023-02-14T13:54:00Z</dcterms:created>
  <dcterms:modified xsi:type="dcterms:W3CDTF">2023-02-15T14:24:00Z</dcterms:modified>
</cp:coreProperties>
</file>